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0"/>
        </w:rPr>
        <w:t>CLINIC-CLOUD</w:t>
        <w:br/>
      </w:r>
      <w:r>
        <w:rPr>
          <w:b/>
          <w:color w:val="168C8C"/>
          <w:sz w:val="34"/>
        </w:rPr>
        <w:t>ĐẶC TẢ YÊU CẦU PHẦN MỀM (SRS)</w:t>
        <w:br/>
      </w:r>
      <w:r>
        <w:rPr>
          <w:sz w:val="24"/>
        </w:rPr>
        <w:t>Module: Bệnh án điện tử</w:t>
      </w:r>
    </w:p>
    <w:p>
      <w:pPr>
        <w:jc w:val="center"/>
      </w:pPr>
      <w:r>
        <w:t>Phiên bản 1.0 | Ngày 26/10/2026 | Bản dự thảo</w:t>
      </w:r>
    </w:p>
    <w:p>
      <w:r>
        <w:t>Tài liệu mẫu phục vụ thiết kế hệ thống quản lý hồ sơ y tế. Không sử dụng dữ liệu giả lập trong tài liệu này để ra quyết định khám chữa bệnh.</w:t>
      </w:r>
    </w:p>
    <w:p>
      <w:pPr>
        <w:pStyle w:val="Heading1"/>
      </w:pPr>
      <w:r>
        <w:t>Mục lục</w:t>
      </w:r>
    </w:p>
    <w:p>
      <w:fldChar w:fldCharType="begin"/>
      <w:instrText xml:space="preserve"> TOC \o "1-2" \h \z \u </w:instrText>
      <w:fldChar w:fldCharType="separate">
        <w:t>Mở trong Word, nhấp phải mục lục → Update Field → Update entire table.</w:t>
      </w:fldChar>
      <w:fldChar w:fldCharType="end"/>
    </w:p>
    <w:p>
      <w:pPr>
        <w:pStyle w:val="Heading2"/>
      </w:pPr>
      <w:r>
        <w:t>1. Giới thiệu</w:t>
      </w:r>
    </w:p>
    <w:p>
      <w:pPr>
        <w:pStyle w:val="Heading3"/>
      </w:pPr>
      <w:r>
        <w:t>1.1 Mục đích</w:t>
      </w:r>
    </w:p>
    <w:p>
      <w:r>
        <w:t>Xác định yêu cầu cho module Bệnh án điện tử (EMR) thuộc Clinic-Cloud, hỗ trợ lưu trữ, tra cứu và cập nhật thông tin khám chữa bệnh an toàn.</w:t>
      </w:r>
    </w:p>
    <w:p>
      <w:pPr>
        <w:pStyle w:val="Heading3"/>
      </w:pPr>
      <w:r>
        <w:t>1.2 Phạm vi</w:t>
      </w:r>
    </w:p>
    <w:p>
      <w:r>
        <w:t>Quản lý hồ sơ bệnh nhân, lượt khám, tiền sử, chẩn đoán, chỉ định, kết quả, đơn thuốc và lịch sử truy cập. Phạm vi không thay thế đánh giá chuyên môn của nhân viên y tế.</w:t>
      </w:r>
    </w:p>
    <w:p>
      <w:pPr>
        <w:pStyle w:val="Heading2"/>
      </w:pPr>
      <w:r>
        <w:t>2. Bối cảnh hệ thống</w:t>
      </w:r>
    </w:p>
    <w:p>
      <w:pPr>
        <w:pStyle w:val="Heading3"/>
      </w:pPr>
      <w:r>
        <w:t>2.1 Người dùng</w:t>
      </w:r>
    </w:p>
    <w:p>
      <w:r>
        <w:t>Bác sĩ, điều dưỡng, lễ tân, dược sĩ, quản trị hệ thống và kiểm toán viên; mỗi vai trò chỉ được truy cập dữ liệu phù hợp nhiệm vụ.</w:t>
      </w:r>
    </w:p>
    <w:p>
      <w:pPr>
        <w:pStyle w:val="Heading3"/>
      </w:pPr>
      <w:r>
        <w:t>2.2 Tích hợp</w:t>
      </w:r>
    </w:p>
    <w:p>
      <w:r>
        <w:t>Có thể tích hợp hệ thống đặt lịch, thanh toán, xét nghiệm và nhà thuốc qua API có xác thực; cần thống nhất định dạng và quy tắc đối soát.</w:t>
      </w:r>
    </w:p>
    <w:p>
      <w:pPr>
        <w:pStyle w:val="Heading2"/>
      </w:pPr>
      <w:r>
        <w:t>3. Yêu cầu chức năng (Functional Requirements)</w:t>
      </w:r>
    </w:p>
    <w:p>
      <w:pPr>
        <w:pStyle w:val="Heading3"/>
      </w:pPr>
      <w:r>
        <w:t>3.1 Quản lý hồ sơ</w:t>
      </w:r>
    </w:p>
    <w:p>
      <w:r>
        <w:t>FR-01: Tạo mã bệnh nhân duy nhất. FR-02: Cập nhật thông tin nhân khẩu học và liên hệ. FR-03: Tìm kiếm theo mã hồ sơ hoặc tiêu chí được phân quyền.</w:t>
      </w:r>
    </w:p>
    <w:p>
      <w:pPr>
        <w:pStyle w:val="Heading3"/>
      </w:pPr>
      <w:r>
        <w:t>3.2 Quản lý lượt khám</w:t>
      </w:r>
    </w:p>
    <w:p>
      <w:r>
        <w:t>FR-04: Ghi nhận triệu chứng, tiền sử, dị ứng, dấu hiệu sinh tồn và ghi chú lâm sàng. FR-05: Lưu chẩn đoán, chỉ định và kế hoạch điều trị do người có thẩm quyền nhập.</w:t>
      </w:r>
    </w:p>
    <w:p>
      <w:pPr>
        <w:pStyle w:val="Heading3"/>
      </w:pPr>
      <w:r>
        <w:t>3.3 Đơn thuốc và kết quả</w:t>
      </w:r>
    </w:p>
    <w:p>
      <w:r>
        <w:t>FR-06: Lưu đơn thuốc, kết quả xét nghiệm và tệp đính kèm. FR-07: Hiển thị lịch sử thay đổi và người thực hiện.</w:t>
      </w:r>
    </w:p>
    <w:p>
      <w:pPr>
        <w:pStyle w:val="Heading3"/>
      </w:pPr>
      <w:r>
        <w:t>3.4 Báo cáo và xuất dữ liệu</w:t>
      </w:r>
    </w:p>
    <w:p>
      <w:r>
        <w:t>FR-08: Báo cáo số lượt khám theo khoảng thời gian. FR-09: Chỉ xuất dữ liệu theo quyền, mục đích và phạm vi đã được phê duyệt.</w:t>
      </w:r>
    </w:p>
    <w:p>
      <w:pPr>
        <w:pStyle w:val="Heading2"/>
      </w:pPr>
      <w:r>
        <w:t>4. Yêu cầu phi chức năng (Non-functional Requirements)</w:t>
      </w:r>
    </w:p>
    <w:p>
      <w:pPr>
        <w:pStyle w:val="Heading3"/>
      </w:pPr>
      <w:r>
        <w:t>4.1 Bảo mật và phân quyền</w:t>
      </w:r>
    </w:p>
    <w:p>
      <w:r>
        <w:t>NFR-01: Áp dụng quyền tối thiểu theo vai trò; tài khoản quản trị dùng xác thực đa yếu tố khi khả thi. NFR-02: Mã hóa dữ liệu khi truyền và khi lưu theo tiêu chuẩn được tổ chức phê duyệt.</w:t>
      </w:r>
    </w:p>
    <w:p>
      <w:pPr>
        <w:pStyle w:val="Heading3"/>
      </w:pPr>
      <w:r>
        <w:t>4.2 Nhật ký và kiểm toán</w:t>
      </w:r>
    </w:p>
    <w:p>
      <w:r>
        <w:t>NFR-03: Ghi log truy cập, xem, sửa, xuất và xóa; log không chứa nội dung nhạy cảm không cần thiết và được bảo vệ khỏi chỉnh sửa trái phép.</w:t>
      </w:r>
    </w:p>
    <w:p>
      <w:pPr>
        <w:pStyle w:val="Heading3"/>
      </w:pPr>
      <w:r>
        <w:t>4.3 Sao lưu và khôi phục</w:t>
      </w:r>
    </w:p>
    <w:p>
      <w:r>
        <w:t>NFR-04: Sao lưu định kỳ, mã hóa bản sao và kiểm tra phục hồi theo lịch; mục tiêu RPO/RTO cần được chủ hệ thống phê duyệt.</w:t>
      </w:r>
    </w:p>
    <w:p>
      <w:pPr>
        <w:pStyle w:val="Heading3"/>
      </w:pPr>
      <w:r>
        <w:t>4.4 Hiệu năng và sẵn sàng</w:t>
      </w:r>
    </w:p>
    <w:p>
      <w:r>
        <w:t>NFR-05: Đề xuất tra cứu hồ sơ phổ biến dưới 3 giây ở tải mục tiêu; kiểm thử tải trước triển khai. NFR-06: Giám sát lỗi và cảnh báo gián đoạn dịch vụ.</w:t>
      </w:r>
    </w:p>
    <w:p>
      <w:pPr>
        <w:pStyle w:val="Heading3"/>
      </w:pPr>
      <w:r>
        <w:t>4.5 Quyền riêng tư và lưu trữ</w:t>
      </w:r>
    </w:p>
    <w:p>
      <w:r>
        <w:t>NFR-07: Chỉ thu thập dữ liệu cần thiết; quy định rõ thời hạn lưu, quy trình cung cấp/xóa theo luật và chính sách áp dụng; không dùng dữ liệu thật trong môi trường thử nghiệm.</w:t>
      </w:r>
    </w:p>
    <w:p>
      <w:pPr>
        <w:pStyle w:val="Heading2"/>
      </w:pPr>
      <w:r>
        <w:t>5. Mô hình dữ liệu</w:t>
      </w:r>
    </w:p>
    <w:p>
      <w:pPr>
        <w:pStyle w:val="Heading3"/>
      </w:pPr>
      <w:r>
        <w:t>5.1 Các thực thể chính</w:t>
      </w:r>
    </w:p>
    <w:p>
      <w:r>
        <w:t>Patient, Encounter, Allergy, Diagnosis, Prescription, LabResult, User, Role và AuditLog. Mỗi thực thể có khóa định danh; liên kết giữa bảng bằng khóa ngoại.</w:t>
      </w:r>
    </w:p>
    <w:p>
      <w:pPr>
        <w:pStyle w:val="Heading3"/>
      </w:pPr>
      <w:r>
        <w:t>5.2 Quy tắc dữ liệu</w:t>
      </w:r>
    </w:p>
    <w:p>
      <w:r>
        <w:t>Mỗi hàng là một bản ghi, mỗi cột là một thuộc tính; không gộp ô; mã hồ sơ không trùng; trường chưa biết để trống hoặc dùng trạng thái thiếu dữ liệu đã quy định, không tự điền giá trị giả.</w:t>
      </w:r>
    </w:p>
    <w:p>
      <w:pPr>
        <w:pStyle w:val="Heading2"/>
      </w:pPr>
      <w:r>
        <w:t>6. Giao diện và khả năng tiếp cận</w:t>
      </w:r>
    </w:p>
    <w:p>
      <w:pPr>
        <w:pStyle w:val="Heading3"/>
      </w:pPr>
      <w:r>
        <w:t>6.1 Giao diện theo vai trò</w:t>
      </w:r>
    </w:p>
    <w:p>
      <w:r>
        <w:t>Màn hình tìm kiếm, tóm tắt hồ sơ, lịch sử khám và biểu mẫu nhập liệu; nhãn trường rõ ràng và cảnh báo trước thao tác nhạy cảm.</w:t>
      </w:r>
    </w:p>
    <w:p>
      <w:pPr>
        <w:pStyle w:val="Heading3"/>
      </w:pPr>
      <w:r>
        <w:t>6.2 Khả năng tiếp cận</w:t>
      </w:r>
    </w:p>
    <w:p>
      <w:r>
        <w:t>Hỗ trợ bàn phím, thông báo lỗi rõ nghĩa, tương phản đủ cao và không dựa riêng vào màu sắc để phân biệt trạng thái.</w:t>
      </w:r>
    </w:p>
    <w:p>
      <w:pPr>
        <w:pStyle w:val="Heading2"/>
      </w:pPr>
      <w:r>
        <w:t>7. Quyền truy cập và quy trình nghiệp vụ</w:t>
      </w:r>
    </w:p>
    <w:p>
      <w:pPr>
        <w:pStyle w:val="Heading3"/>
      </w:pPr>
      <w:r>
        <w:t>7.1 Quy trình truy cập</w:t>
      </w:r>
    </w:p>
    <w:p>
      <w:r>
        <w:t>Đăng nhập → xác minh vai trò → tìm hồ sơ → kiểm tra quyền theo mục đích → xem/cập nhật → lưu thay đổi và ghi audit log.</w:t>
      </w:r>
    </w:p>
    <w:p>
      <w:pPr>
        <w:pStyle w:val="Heading3"/>
      </w:pPr>
      <w:r>
        <w:t>7.2 Xử lý truy cập khẩn cấp</w:t>
      </w:r>
    </w:p>
    <w:p>
      <w:r>
        <w:t>Nếu triển khai chế độ truy cập khẩn cấp, cần lý do bắt buộc, cảnh báo, ghi log tăng cường và hậu kiểm.</w:t>
      </w:r>
    </w:p>
    <w:p>
      <w:pPr>
        <w:pStyle w:val="Heading2"/>
      </w:pPr>
      <w:r>
        <w:t>8. Tích hợp và trao đổi dữ liệu</w:t>
      </w:r>
    </w:p>
    <w:p>
      <w:pPr>
        <w:pStyle w:val="Heading3"/>
      </w:pPr>
      <w:r>
        <w:t>8.1 API</w:t>
      </w:r>
    </w:p>
    <w:p>
      <w:r>
        <w:t>Dùng TLS, xác thực dịch vụ, giới hạn quyền token, kiểm tra schema và chống gửi lặp; không đưa thông tin bệnh nhân vào URL hoặc log ứng dụng.</w:t>
      </w:r>
    </w:p>
    <w:p>
      <w:pPr>
        <w:pStyle w:val="Heading3"/>
      </w:pPr>
      <w:r>
        <w:t>8.2 Nhập dữ liệu</w:t>
      </w:r>
    </w:p>
    <w:p>
      <w:r>
        <w:t>Kiểm tra định dạng, trùng lặp, nguồn dữ liệu và quyền sử dụng; lưu kết quả đối soát và danh sách bản ghi lỗi để xử lý có kiểm soát.</w:t>
      </w:r>
    </w:p>
    <w:p>
      <w:pPr>
        <w:pStyle w:val="Heading2"/>
      </w:pPr>
      <w:r>
        <w:t>9. Kiểm thử và tiêu chí chấp nhận</w:t>
      </w:r>
    </w:p>
    <w:p>
      <w:pPr>
        <w:pStyle w:val="Heading3"/>
      </w:pPr>
      <w:r>
        <w:t>9.1 Ca kiểm thử</w:t>
      </w:r>
    </w:p>
    <w:p>
      <w:r>
        <w:t>TC-01: người không có quyền bị từ chối. TC-02: người được cấp quyền chỉ xem đúng phạm vi. TC-03: thay đổi hồ sơ tạo audit log. TC-04: bản sao lưu khôi phục được. TC-05: bản ghi thiếu trường tùy chọn không làm gián đoạn bộ lọc.</w:t>
      </w:r>
    </w:p>
    <w:p>
      <w:pPr>
        <w:pStyle w:val="Heading3"/>
      </w:pPr>
      <w:r>
        <w:t>9.2 Tiêu chí chấp nhận</w:t>
      </w:r>
    </w:p>
    <w:p>
      <w:r>
        <w:t>Các FR/NFR được ánh xạ sang ca kiểm thử; không còn lỗi bảo mật nghiêm trọng chưa xử lý; chủ sản phẩm và phụ trách bảo mật phê duyệt trước triển khai.</w:t>
      </w:r>
    </w:p>
    <w:p>
      <w:pPr>
        <w:pStyle w:val="Heading2"/>
      </w:pPr>
      <w:r>
        <w:t>10. Rủi ro, giả định và phê duyệt</w:t>
      </w:r>
    </w:p>
    <w:p>
      <w:pPr>
        <w:pStyle w:val="Heading3"/>
      </w:pPr>
      <w:r>
        <w:t>10.1 Rủi ro</w:t>
      </w:r>
    </w:p>
    <w:p>
      <w:r>
        <w:t>Sai phân quyền, nhập trùng, mất dữ liệu hoặc tích hợp không tương thích. Giảm thiểu bằng kiểm thử, phân quyền tối thiểu, sao lưu và giám sát.</w:t>
      </w:r>
    </w:p>
    <w:p>
      <w:pPr>
        <w:pStyle w:val="Heading3"/>
      </w:pPr>
      <w:r>
        <w:t>10.2 Giả định cần xác nhận</w:t>
      </w:r>
    </w:p>
    <w:p>
      <w:r>
        <w:t>Cơ sở khám chữa bệnh cần xác nhận quy định pháp lý áp dụng, thời hạn lưu hồ sơ, nhà cung cấp cloud, RPO/RTO, và quy trình phản ứng sự cố.</w:t>
      </w:r>
    </w:p>
    <w:p>
      <w:pPr>
        <w:pStyle w:val="Heading3"/>
      </w:pPr>
      <w:r>
        <w:t>10.3 Lịch sử phiên bản</w:t>
      </w:r>
    </w:p>
    <w:p>
      <w:r>
        <w:t>v1.0 – 26/10/2026: Tạo bản dự thảo SRS Clinic-Cloud.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8C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66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