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LifeSync Development Plan</w:t>
      </w:r>
    </w:p>
    <w:p>
      <w:r>
        <w:t>Simulation first implementation  |  October 2, 2026</w:t>
      </w:r>
    </w:p>
    <w:p>
      <w:r>
        <w:t>Build the ClientWorks and Wealthbox simulations first, then add the LifeSync page using stable adapters. The result should demonstrate a realistic advisor journey through a confirmed divorce case, with real AI analysis and explicitly simulated external actions. Advisor Handover is outside this build.</w:t>
      </w:r>
    </w:p>
    <w:p>
      <w:pPr>
        <w:pStyle w:val="Heading1"/>
      </w:pPr>
      <w:r>
        <w:t>What the simulations reproduce</w:t>
      </w:r>
    </w:p>
    <w:p>
      <w:r>
        <w:t>Five supplied video screenshots now ground the ClientWorks simulation: two Home views, Practice Metrics, Clients, and Accounts. Full playback remains unavailable. The frames show a training environment with 2018 dates, so reproduce its relevant layout patterns without claiming current production fidelity. LifeSync navigation, client profiles, account servicing, and integration interactions remain proposed.</w:t>
      </w:r>
    </w:p>
    <w:tbl>
      <w:tblPr>
        <w:tblW w:type="auto" w:w="0"/>
        <w:tblLayout w:type="fixed"/>
        <w:tblLook w:firstColumn="1" w:firstRow="1" w:lastColumn="0" w:lastRow="0" w:noHBand="0" w:noVBand="1" w:val="04A0"/>
      </w:tblPr>
      <w:tblGrid>
        <w:gridCol w:w="2016"/>
        <w:gridCol w:w="8064"/>
      </w:tblGrid>
      <w:tr>
        <w:trPr>
          <w:tblHeader/>
        </w:trPr>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Simulation</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Required screens and behavior</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ClientWorks</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Advisor home with assigned clients and open work; client profile; account list/detail; Lifecycle navigation; linked Wealthbox contact entry; simulated servicing request status.</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Wealthbox CRM</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Contact list/detail; dated notes; tasks with owners and dates; contact-link/sync indicator; LPL account tab showing synthetic ClientWorks financial account information.</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Integration layer</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Explicit client/contact mapping; supported two-way contact field updates; read-only financial account projection; dedicated LifeSync notes/tasks adapter; visible errors and freshness.</w:t>
            </w:r>
          </w:p>
        </w:tc>
      </w:tr>
    </w:tbl>
    <w:p>
      <w:pPr>
        <w:pStyle w:val="Heading1"/>
      </w:pPr>
      <w:r>
        <w:t>Stage 1 Build the ClientWorks simulation</w:t>
      </w:r>
    </w:p>
    <w:p>
      <w:r>
        <w:rPr>
          <w:b/>
        </w:rPr>
        <w:t xml:space="preserve">Deliverable </w:t>
      </w:r>
      <w:r>
        <w:t>Working shell and synthetic account service. Use shared client routes so Lifecycle always receives the selected client ID.</w:t>
      </w:r>
    </w:p>
    <w:p>
      <w:r>
        <w:t>Create three clients and two or three accounts per client. Reproduce the observed Client Management header and tab bar. Build Home with working notifications and recent requests; Clients and Accounts use Quick Views, search, filter chips, and tables. Add a proposed LifeSync tab and client-row entry. Preserve client context and enforce advisor assignments server-side. Seed divorce plus small marriage/death review cases. Practice Metrics and unrelated tabs remain optional or visibly unavailable.</w:t>
      </w:r>
    </w:p>
    <w:p>
      <w:r>
        <w:rPr>
          <w:b/>
        </w:rPr>
        <w:t xml:space="preserve">Exit gate </w:t>
      </w:r>
      <w:r>
        <w:t>Advisor can select C001, inspect A101/A102, return to the client, and open an empty Lifecycle page. Unauthorized C002 requests fail at the backend.</w:t>
      </w:r>
    </w:p>
    <w:p>
      <w:pPr>
        <w:pStyle w:val="Heading1"/>
      </w:pPr>
      <w:r>
        <w:t>Stage 2 Build the Wealthbox simulation</w:t>
      </w:r>
    </w:p>
    <w:p>
      <w:r>
        <w:t>Create a separate CRM route with explicit client mapping. Use the supplied integration screenshot for the sidebar and LPL Financial launcher; the contact view has Activity, Email, and LPL Financial tabs. The LPL Financial tab contains Manage Linked Clients, an Open in LPL Financial action, total account value, and Account, Title, Type, Class, and Value columns. Seed dated notes and owned tasks. The screenshot verifies visible UI only; implement navigation and linked-client selection as proposed simulation behavior.</w:t>
      </w:r>
    </w:p>
    <w:p>
      <w:r>
        <w:rPr>
          <w:b/>
        </w:rPr>
        <w:t xml:space="preserve">Exit gate </w:t>
      </w:r>
      <w:r>
        <w:t>The linked contact shows the correct notes/tasks and accounts; missing links display Unlinked rather than guessed data.</w:t>
      </w:r>
    </w:p>
    <w:p>
      <w:r>
        <w:br w:type="page"/>
      </w:r>
    </w:p>
    <w:p>
      <w:pPr>
        <w:pStyle w:val="Heading1"/>
      </w:pPr>
      <w:r>
        <w:t>Integration contracts and LifeSync build</w:t>
      </w:r>
    </w:p>
    <w:p>
      <w:pPr>
        <w:pStyle w:val="Heading1"/>
      </w:pPr>
      <w:r>
        <w:t>Stage 3 Connect the simulations</w:t>
      </w:r>
    </w:p>
    <w:p>
      <w:r>
        <w:t>Synchronize only supported contact fields. The official mapping includes names, primary email, telephone fields, addresses, and birthdate [S2]. Start with address and primary email for the demo. Financial accounts are projected into the CRM for viewing [S3]. Keep beneficiary and ownership fields outside demographic synchronization.</w:t>
      </w:r>
    </w:p>
    <w:tbl>
      <w:tblPr>
        <w:tblW w:type="auto" w:w="0"/>
        <w:tblLayout w:type="fixed"/>
        <w:tblLook w:firstColumn="1" w:firstRow="1" w:lastColumn="0" w:lastRow="0" w:noHBand="0" w:noVBand="1" w:val="04A0"/>
      </w:tblPr>
      <w:tblGrid>
        <w:gridCol w:w="2376"/>
        <w:gridCol w:w="7704"/>
      </w:tblGrid>
      <w:tr>
        <w:trPr>
          <w:tblHeader/>
        </w:trPr>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Proposed adapter</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Contract</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ClientWorksAdapter</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get_client, list_accounts, get_account_snapshot, update_contact, submit_change, get_request_status</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WealthboxAdapter</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get_linked_contact, list_notes, list_tasks, update_contact, create_followup_task</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Rules and signatures</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get_sample_requirements, validate_draft, get_simulated_signature_status</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AI service</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analyze_authorized_sources → validated findings with source IDs; prepare draft text after confirmed instructions</w:t>
            </w:r>
          </w:p>
        </w:tc>
      </w:tr>
    </w:tbl>
    <w:p>
      <w:r>
        <w:t>Every read returns source_id, version, refreshed_at, and coverage status. Writes take an expected version and deduplication key. Use event IDs and origin metadata to avoid sync loops. A conflicting contact update enters review. These are internal prototype contracts, not published LPL API endpoints.</w:t>
      </w:r>
    </w:p>
    <w:p>
      <w:r>
        <w:rPr>
          <w:b/>
        </w:rPr>
        <w:t xml:space="preserve">Exit gate </w:t>
      </w:r>
      <w:r>
        <w:t>An approved synthetic contact-address update appears in both simulations once; a version conflict is visible. An account request remains separately tracked.</w:t>
      </w:r>
    </w:p>
    <w:p>
      <w:pPr>
        <w:pStyle w:val="Heading1"/>
      </w:pPr>
      <w:r>
        <w:t>Stage 4 Implement LifeSync without AI</w:t>
      </w:r>
    </w:p>
    <w:p>
      <w:r>
        <w:t>Build event confirmation, evidence viewer, findings review, instructions, draft comparison, approval/signature controls, request tracking, and audit history against seeded findings. Define states and validation in backend code. Mark seeded analysis as a fixture; it is not a live AI result. Persist state so refresh resumes the case.</w:t>
      </w:r>
    </w:p>
    <w:p>
      <w:r>
        <w:rPr>
          <w:b/>
        </w:rPr>
        <w:t xml:space="preserve">Exit gate </w:t>
      </w:r>
      <w:r>
        <w:t>Complete the workflow with deterministic findings; prove missing signatures and edited approvals are blocked through direct API calls.</w:t>
      </w:r>
    </w:p>
    <w:p>
      <w:pPr>
        <w:pStyle w:val="Heading1"/>
      </w:pPr>
      <w:r>
        <w:t>Stage 5 Add real Bedrock analysis</w:t>
      </w:r>
    </w:p>
    <w:p>
      <w:r>
        <w:t>Make a minimal Bedrock test call early, even while simulations are under construction. Verify the actual allowed model ID, region, and access. In this stage replace fixture analysis with authorized source retrieval and structured inference. Validate source references, field types, uncertainty, and missing-source coverage before displaying results. The model cannot choose beneficiaries, grant access, or approve submissions.</w:t>
      </w:r>
    </w:p>
    <w:p>
      <w:r>
        <w:rPr>
          <w:b/>
        </w:rPr>
        <w:t xml:space="preserve">Exit gate </w:t>
      </w:r>
      <w:r>
        <w:t>Live inference flags the seeded address and beneficiary issues with resolvable evidence. Invalid output and timeouts show a recoverable error.</w:t>
      </w:r>
    </w:p>
    <w:p>
      <w:r>
        <w:br w:type="page"/>
      </w:r>
    </w:p>
    <w:p>
      <w:pPr>
        <w:pStyle w:val="Heading1"/>
      </w:pPr>
      <w:r>
        <w:t>Implementation order and release checks</w:t>
      </w:r>
    </w:p>
    <w:p>
      <w:pPr>
        <w:pStyle w:val="Heading1"/>
      </w:pPr>
      <w:r>
        <w:t>Recommended starter architecture</w:t>
      </w:r>
    </w:p>
    <w:p>
      <w:r>
        <w:t>Use React with TypeScript for the shared shell and simulation pages; a Python FastAPI backend for adapters, rules, and Bedrock calls; S3 for source documents; and DynamoDB for cases and task state. This is a proposed stack, not an LPL architecture claim. A single backend is sufficient. Use the team’s existing frontend setup if it reduces setup time. Keep credentials server-side.</w:t>
      </w:r>
    </w:p>
    <w:p>
      <w:r>
        <w:t>Suggested folders: frontend for ClientWorks shell, Wealthbox simulation, and Lifecycle; backend for API routes, access checks, adapters, workflow rules, and AI; fixtures for synthetic records; tests for gates and integration scenarios; docs for setup and demo instructions. Share models across modules but keep source-system records distinct.</w:t>
      </w:r>
    </w:p>
    <w:p>
      <w:pPr>
        <w:pStyle w:val="Heading1"/>
      </w:pPr>
      <w:r>
        <w:t>Time box and checkpoints</w:t>
      </w:r>
    </w:p>
    <w:p>
      <w:r>
        <w:t>Suggested estimates below are effort allocations, not guaranteed durations. The opening deck sets submission at October 3, 9:00 AM PT. Aim to freeze the working demo by 6:30 AM PT and reserve the remaining time for the LPL presentation, code ZIP, submission form, upload, and rehearsal.</w:t>
      </w:r>
    </w:p>
    <w:tbl>
      <w:tblPr>
        <w:tblW w:type="auto" w:w="0"/>
        <w:tblLayout w:type="fixed"/>
        <w:tblLook w:firstColumn="1" w:firstRow="1" w:lastColumn="0" w:lastRow="0" w:noHBand="0" w:noVBand="1" w:val="04A0"/>
      </w:tblPr>
      <w:tblGrid>
        <w:gridCol w:w="3888"/>
        <w:gridCol w:w="1152"/>
        <w:gridCol w:w="5040"/>
      </w:tblGrid>
      <w:tr>
        <w:trPr>
          <w:tblHeader/>
        </w:trPr>
        <w:tc>
          <w:tcPr>
            <w:tcW w:type="dxa" w:w="336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Work block</w:t>
            </w:r>
          </w:p>
        </w:tc>
        <w:tc>
          <w:tcPr>
            <w:tcW w:type="dxa" w:w="336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Estimate</w:t>
            </w:r>
          </w:p>
        </w:tc>
        <w:tc>
          <w:tcPr>
            <w:tcW w:type="dxa" w:w="336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Owner role and checkpoint</w:t>
            </w:r>
          </w:p>
        </w:tc>
      </w:tr>
      <w:tr>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Fixtures and ClientWorks shell</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2 hours</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Frontend/backend: client and account journey works.</w:t>
            </w:r>
          </w:p>
        </w:tc>
      </w:tr>
      <w:tr>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Wealthbox and adapters</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2 hours</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Integration/data: notes, tasks, linking, and contact sync work.</w:t>
            </w:r>
          </w:p>
        </w:tc>
      </w:tr>
      <w:tr>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LifeSync review workflow</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3 hours</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Frontend/backend: gates and resume work without AI.</w:t>
            </w:r>
          </w:p>
        </w:tc>
      </w:tr>
      <w:tr>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Bedrock and evidence validation</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2 hours</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AI/backend: live findings pass annotated fixture checks.</w:t>
            </w:r>
          </w:p>
        </w:tc>
      </w:tr>
      <w:tr>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Reconciliation and verification</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2 hours</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Backend/QA: receipts, conflicts, and safe retries work.</w:t>
            </w:r>
          </w:p>
        </w:tc>
      </w:tr>
      <w:tr>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Demo and submission packaging</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2 hours</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Team lead/presenter: repeatable five-minute demo and final files.</w:t>
            </w:r>
          </w:p>
        </w:tc>
      </w:tr>
    </w:tbl>
    <w:p>
      <w:r>
        <w:t>If the team has several developers, these owner roles can share work once schemas are agreed. Confirm integration checkpoints frequently. Reserve extra time for cloud-access failures rather than adding more services.</w:t>
      </w:r>
    </w:p>
    <w:p>
      <w:pPr>
        <w:pStyle w:val="Heading1"/>
      </w:pPr>
      <w:r>
        <w:t>Stage 6 Verify and freeze</w:t>
      </w:r>
    </w:p>
    <w:p>
      <w:r>
        <w:t>Run the RAD acceptance scenarios, focusing on unauthorized access, missing instructions, source conflicts, invalid approvals, signatures, duplicate submissions, partial completion, and AI failure. Test after refresh. Record analysis latency and real preparation time. Check keyboard navigation, clear simulation labels, source dates, and account masking.</w:t>
      </w:r>
    </w:p>
    <w:p>
      <w:r>
        <w:rPr>
          <w:b/>
        </w:rPr>
        <w:t xml:space="preserve">Release gate </w:t>
      </w:r>
      <w:r>
        <w:t>The divorce journey works from a fresh fixture reset; no invented instructions; one logical submission per key; backend gates enforced; saved cases survive refresh.</w:t>
      </w:r>
    </w:p>
    <w:p>
      <w:r>
        <w:br w:type="page"/>
      </w:r>
    </w:p>
    <w:p>
      <w:pPr>
        <w:pStyle w:val="Heading1"/>
      </w:pPr>
      <w:r>
        <w:t>Demo script and production path</w:t>
      </w:r>
    </w:p>
    <w:p>
      <w:pPr>
        <w:pStyle w:val="Heading1"/>
      </w:pPr>
      <w:r>
        <w:t>Five minute demonstration</w:t>
      </w:r>
    </w:p>
    <w:p>
      <w:r>
        <w:rPr>
          <w:b/>
        </w:rPr>
        <w:t xml:space="preserve">0:00–0:40 Establish the problem </w:t>
      </w:r>
      <w:r>
        <w:t>Open the simulated ClientWorks client profile. Show the old account address and the related CRM note describing a divorce.</w:t>
      </w:r>
    </w:p>
    <w:p>
      <w:r>
        <w:rPr>
          <w:b/>
        </w:rPr>
        <w:t xml:space="preserve">0:40–1:15 Show connected context </w:t>
      </w:r>
      <w:r>
        <w:t>Open the linked Wealthbox simulation, inspect dated notes/tasks and financial account visibility, then return to Lifecycle.</w:t>
      </w:r>
    </w:p>
    <w:p>
      <w:r>
        <w:rPr>
          <w:b/>
        </w:rPr>
        <w:t xml:space="preserve">1:15–2:15 Analyze and review </w:t>
      </w:r>
      <w:r>
        <w:t>Confirm the divorce and run live Bedrock analysis. Open source evidence for the address mismatch and former-spouse beneficiary finding.</w:t>
      </w:r>
    </w:p>
    <w:p>
      <w:r>
        <w:rPr>
          <w:b/>
        </w:rPr>
        <w:t xml:space="preserve">2:15–3:15 Capture intent and prepare </w:t>
      </w:r>
      <w:r>
        <w:t>Confirm the new address. Leave beneficiary instructions unknown; show an owned follow-up instead of a guessed replacement. Review current/proposed values.</w:t>
      </w:r>
    </w:p>
    <w:p>
      <w:r>
        <w:rPr>
          <w:b/>
        </w:rPr>
        <w:t xml:space="preserve">3:15–4:10 Approve and track </w:t>
      </w:r>
      <w:r>
        <w:t>Demonstrate the signature gate, supply the simulated signature, submit once, and show a simulated account receipt. Show supported contact sync as a separate outcome.</w:t>
      </w:r>
    </w:p>
    <w:p>
      <w:r>
        <w:rPr>
          <w:b/>
        </w:rPr>
        <w:t xml:space="preserve">4:10–5:00 Explain value and limits </w:t>
      </w:r>
      <w:r>
        <w:t>Show that the address item completed while the beneficiary item keeps the case open. Present measured review results and the integration roadmap.</w:t>
      </w:r>
    </w:p>
    <w:p>
      <w:pPr>
        <w:pStyle w:val="Heading1"/>
      </w:pPr>
      <w:r>
        <w:t>Scope cuts if time is tight</w:t>
      </w:r>
    </w:p>
    <w:p>
      <w:r>
        <w:t>Keep one divorce case, two accounts, one confirmed address update, one unresolved beneficiary task, and one live AI call. Reduce marriage/death to review fixtures. Defer scanned-document extraction, advanced CRM search, custom model training, real signatures, external messaging, and additional orchestration services. Preserve access checks, source citations, approval gates, persistence, and simulation labels.</w:t>
      </w:r>
    </w:p>
    <w:p>
      <w:pPr>
        <w:pStyle w:val="Heading1"/>
      </w:pPr>
      <w:r>
        <w:t>Video validation and production follow-up</w:t>
      </w:r>
    </w:p>
    <w:p>
      <w:r>
        <w:t>The supplied frames now ground Home, Practice Metrics, Clients, and Accounts. Full playback or additional frames can verify client-detail navigation, account servicing, and integrations. Capture video timestamps for further observations; preserve stable backend contracts while refining visual fidelity.</w:t>
      </w:r>
    </w:p>
    <w:p>
      <w:r>
        <w:t>For production, validate the ClientWorks embedding mechanism, approved identity and client-assignment model, Wealthbox notes/task API permissions, supported account write operations, signature provider, event-specific servicing rules, retention, and deployment requirements. Replace mock adapters behind the same internal contracts after those capabilities are confirmed.</w:t>
      </w:r>
    </w:p>
    <w:p>
      <w:pPr>
        <w:pStyle w:val="Heading1"/>
      </w:pPr>
      <w:r>
        <w:t>Sources</w:t>
      </w:r>
    </w:p>
    <w:p>
      <w:pPr>
        <w:spacing w:after="80"/>
      </w:pPr>
      <w:hyperlink r:id="rId10">
        <w:r>
          <w:t>S1 ClientWorks overview video page</w:t>
        </w:r>
      </w:hyperlink>
    </w:p>
    <w:p>
      <w:pPr>
        <w:spacing w:after="80"/>
      </w:pPr>
      <w:hyperlink r:id="rId11">
        <w:r>
          <w:t>S2 Wealthbox two way contact synchronization</w:t>
        </w:r>
      </w:hyperlink>
    </w:p>
    <w:p>
      <w:pPr>
        <w:spacing w:after="80"/>
      </w:pPr>
      <w:hyperlink r:id="rId12">
        <w:r>
          <w:t>S3 Wealthbox financial account synchronization</w:t>
        </w:r>
      </w:hyperlink>
    </w:p>
    <w:p>
      <w:pPr>
        <w:spacing w:after="80"/>
      </w:pPr>
      <w:hyperlink r:id="rId13">
        <w:r>
          <w:t>S4 LPL advisor technology overview</w:t>
        </w:r>
      </w:hyperlink>
    </w:p>
    <w:p>
      <w:r>
        <w:t>Additional supplied references: original LifeSync RAD; opening ceremony deck; AWS service list; Wealthbox integration screenshot; five ClientWorks video frames named Screenshot 2026-10-02 134702, 135625, 135737, 135755, and 135812. The frames establish visible training UI only; their screenshot capture times are not video timestamps.</w:t>
      </w:r>
    </w:p>
    <w:p>
      <w:r>
        <w:br w:type="page"/>
      </w:r>
    </w:p>
    <w:p>
      <w:pPr>
        <w:pStyle w:val="Heading1"/>
      </w:pPr>
      <w:r>
        <w:t>Requirements to development mapping</w:t>
      </w:r>
    </w:p>
    <w:p>
      <w:r>
        <w:t>This plan derives its scope from the supplied LifeSync_Requirements_Analysis (1).docx. The attachment matches the earlier RAD. Its LifeSync requirements LS01–LS06 and shared requirements FR01–FR06 are retained in the LifeSync-only release; Advisor Handover requirements HO01–HO06 are excluded. The new RAD renumbers and consolidates requirements as shown below.</w:t>
      </w:r>
    </w:p>
    <w:p>
      <w:r>
        <w:rPr>
          <w:b/>
        </w:rPr>
        <w:t xml:space="preserve">Original FR01 → new LS01. </w:t>
      </w:r>
      <w:r>
        <w:t>Stages 1 and 3: enforce assignment checks in the synthetic client service and both adapters. Verify A01 by altering client and source IDs in direct requests.</w:t>
      </w:r>
    </w:p>
    <w:p>
      <w:r>
        <w:rPr>
          <w:b/>
        </w:rPr>
        <w:t xml:space="preserve">Original LS01 → new LS02. </w:t>
      </w:r>
      <w:r>
        <w:t>Stage 4: implement event type, affected person, date, evidence, and advisor confirmation. Verify A10 with beneficiary death distinguished from account-owner death.</w:t>
      </w:r>
    </w:p>
    <w:p>
      <w:r>
        <w:rPr>
          <w:b/>
        </w:rPr>
        <w:t xml:space="preserve">Original FR03 and LS02 → new LS03. </w:t>
      </w:r>
      <w:r>
        <w:t>Stages 2, 3, and 5: retrieve dated notes and account snapshots, report source coverage, and produce cited review flags. Verify A02 and A07 against annotated evidence.</w:t>
      </w:r>
    </w:p>
    <w:p>
      <w:r>
        <w:rPr>
          <w:b/>
        </w:rPr>
        <w:t xml:space="preserve">Original LS03 → new LS04. </w:t>
      </w:r>
      <w:r>
        <w:t>Stage 4: capture confirmed per-account instructions and no-change decisions. Verify A03: an address draft is allowed while the beneficiary item remains unresolved.</w:t>
      </w:r>
    </w:p>
    <w:p>
      <w:r>
        <w:rPr>
          <w:b/>
        </w:rPr>
        <w:t xml:space="preserve">Original LS04 → new LS05. </w:t>
      </w:r>
      <w:r>
        <w:t>Stage 4: add current/proposed comparisons and sample requirements for documents and signers. Route unknown rules to manual review; block incomplete drafts.</w:t>
      </w:r>
    </w:p>
    <w:p>
      <w:r>
        <w:rPr>
          <w:b/>
        </w:rPr>
        <w:t xml:space="preserve">Original FR04 and LS05 → new LS06. </w:t>
      </w:r>
      <w:r>
        <w:t>Stages 4 and 6: enforce draft-version approval, signature conditions, access, and fresh sources. Verify A04 and A05 through backend calls, including after an edit.</w:t>
      </w:r>
    </w:p>
    <w:p>
      <w:r>
        <w:rPr>
          <w:b/>
        </w:rPr>
        <w:t xml:space="preserve">Original LS06 and FR06 → new LS07. </w:t>
      </w:r>
      <w:r>
        <w:t>Stages 3, 4, and 6: implement a mock submission adapter, deduplication keys, receipts, and per-account outcomes. Verify A06; never equate contact sync with account completion.</w:t>
      </w:r>
    </w:p>
    <w:p>
      <w:r>
        <w:rPr>
          <w:b/>
        </w:rPr>
        <w:t xml:space="preserve">Original FR02 and FR05 → new LS08. </w:t>
      </w:r>
      <w:r>
        <w:t>Stages 2, 4, and 6: persist cases, task ownership, due dates, decisions, and immutable application audit records. Verify A09 after reload.</w:t>
      </w:r>
    </w:p>
    <w:p>
      <w:r>
        <w:rPr>
          <w:b/>
        </w:rPr>
        <w:t xml:space="preserve">Original FR06 and NF01–NF10. </w:t>
      </w:r>
      <w:r>
        <w:t>Stages 5 and 6: test model failures, malformed output, prompt injection, masking, keyboard access, latency, logs, and safe retries. Record observed results rather than presumed compliance.</w:t>
      </w:r>
    </w:p>
    <w:p>
      <w:pPr>
        <w:pStyle w:val="Heading1"/>
      </w:pPr>
      <w:r>
        <w:t>How to use this mapping</w:t>
      </w:r>
    </w:p>
    <w:p>
      <w:r>
        <w:t>Create one implementation ticket for each mapped requirement. Each ticket should include the responsible teammate, adapter or screen affected, expected state transition, and verification evidence. Accept a build stage only after its exit gate and mapped checks pass. Use the new RAD acceptance scenarios A01–A10 as the release checklist.</w:t>
      </w:r>
    </w:p>
    <w:p>
      <w:r>
        <w:br w:type="page"/>
      </w:r>
    </w:p>
    <w:p>
      <w:pPr>
        <w:pStyle w:val="Heading1"/>
      </w:pPr>
      <w:r>
        <w:t>ClientWorks screenshot implementation guide</w:t>
      </w:r>
    </w:p>
    <w:p>
      <w:r>
        <w:t>Evidence comes from five user-supplied video frames and the earlier Wealthbox integration image. Treat visible controls as UI references. Clicking behavior, backend APIs, and current production layout are not established by still images. The training address and 2018 date shown in the frames indicate historical demonstration context.</w:t>
      </w:r>
    </w:p>
    <w:p>
      <w:r>
        <w:rPr>
          <w:b/>
        </w:rPr>
        <w:t xml:space="preserve">Home frames 134702 and 135625. </w:t>
      </w:r>
      <w:r>
        <w:t>Observed: Client Management header; horizontal tabs Home, Practice Metrics, Clients, Accounts, Groups, Investments, Orders, Activity, Requests, and Documents; System News &amp; Alerts, Client Reminders, Open Notifications, Asset Distribution, Quick Actions, Compliance Center, and Recent Requests. Build: header/tab treatment plus live synthetic notifications and recent LifeSync requests. Use simple static context panels for other widgets; omit market feeds and social content.</w:t>
      </w:r>
    </w:p>
    <w:p>
      <w:r>
        <w:rPr>
          <w:b/>
        </w:rPr>
        <w:t xml:space="preserve">Practice Metrics frame 135737. </w:t>
      </w:r>
      <w:r>
        <w:t>Observed: practice summary, service-level summary, top relationships/accounts by AUM, business targets, and technology adoption. Build: optional static metrics page only after the LifeSync demo passes. These charts do not demonstrate the new life-event workflow and should not consume core build time.</w:t>
      </w:r>
    </w:p>
    <w:p>
      <w:r>
        <w:rPr>
          <w:b/>
        </w:rPr>
        <w:t xml:space="preserve">Clients frame 135755. </w:t>
      </w:r>
      <w:r>
        <w:t>Observed: Quick Views sidebar; aggregate client/account values; filter chips; Search clients; client table; Save Quick View, Edit Columns, Export, Create Prospect, and Actions controls. Build: working assigned-client search and filters; client rows with account count and synthetic values. Add Open LifeSync as a proposed row action. Defer exports, column customization, and prospect creation.</w:t>
      </w:r>
    </w:p>
    <w:p>
      <w:r>
        <w:rPr>
          <w:b/>
        </w:rPr>
        <w:t xml:space="preserve">Accounts frame 135812. </w:t>
      </w:r>
      <w:r>
        <w:t>Observed: account totals; Quick Views; account status/class/client/rep filters; Search accounts; a table with rep, client, account name, masked account number, class, value, objective, ACH, and distribution columns. Build: searchable synthetic account table filtered by selected client, with masked identifiers and an account-detail route. Address/beneficiary detail and submission screens are proposed extensions, not observed here.</w:t>
      </w:r>
    </w:p>
    <w:p>
      <w:r>
        <w:rPr>
          <w:b/>
        </w:rPr>
        <w:t xml:space="preserve">LifeSync navigation and acceptance. </w:t>
      </w:r>
      <w:r>
        <w:t>Propose a new LifeSync tab alongside the observed navigation and a client-row action that opens the selected case. Demo route: Home → Clients → selected client accounts → LifeSync → linked Wealthbox context → review → simulated request receipt. Validate that search/filter state survives returning, client IDs remain consistent, and Home request/notification counts update from persisted cases.</w:t>
      </w:r>
    </w:p>
    <w:p>
      <w:r>
        <w:rPr>
          <w:b/>
        </w:rPr>
        <w:t xml:space="preserve">Wealthbox handoff and visible boundaries. </w:t>
      </w:r>
      <w:r>
        <w:t>Use the supplied Wealthbox LPL Financial tab, Manage Linked Clients, total value, and five-column account table. Open in LPL Financial returns to the linked simulated client. Keep both shells visually identifiable. Label nonimplemented controls unavailable rather than presenting dead links; display synthetic data and simulation status throughout.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LifeSync  |  Hackathon planning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pl.vids.io/videos/489adfbb1a11e3c0c0/lpl-client-works-overview" TargetMode="External"/><Relationship Id="rId11" Type="http://schemas.openxmlformats.org/officeDocument/2006/relationships/hyperlink" Target="https://help.wealthbox.com/hc/en-us/articles/34470324688539-How-to-use-the-two-way-sync-integration-between-Wealthbox-and-LPL-ClientWorks" TargetMode="External"/><Relationship Id="rId12" Type="http://schemas.openxmlformats.org/officeDocument/2006/relationships/hyperlink" Target="https://help.wealthbox.com/hc/en-us/articles/36073560352283-How-to-use-the-Financial-Account-Sync-integration-between-Wealthbox-and-LPL-ClientWorks" TargetMode="External"/><Relationship Id="rId13" Type="http://schemas.openxmlformats.org/officeDocument/2006/relationships/hyperlink" Target="https://www.lpl.com/join-lpl/managing-your-business/tech-capabilities-and-offering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