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LifeSync Requirements Analysis</w:t>
      </w:r>
    </w:p>
    <w:p>
      <w:r>
        <w:t>Lifecycle page inside ClientWorks  |  Version 2.0  |  October 2, 2026</w:t>
      </w:r>
    </w:p>
    <w:p>
      <w:r>
        <w:t>LifeSync helps advisors review account and relationship records after a confirmed life event, prepare authorized updates, and verify their outcomes. This document narrows the original requirements to one Lifecycle page embedded in a simulated ClientWorks workspace. Advisor Handover is excluded from this release.</w:t>
      </w:r>
    </w:p>
    <w:p>
      <w:pPr>
        <w:pStyle w:val="Heading1"/>
      </w:pPr>
      <w:r>
        <w:t>Scope and evidence boundary</w:t>
      </w:r>
    </w:p>
    <w:p>
      <w:r>
        <w:t>The MVP demonstrates one divorce case end to end using synthetic clients, a simulated ClientWorks service, a simulated Wealthbox CRM, and real Amazon Bedrock analysis. Marriage and death are secondary review examples. Account submissions, institution outcomes, and signatures are labeled simulations. Production access and embedding permissions are not established.</w:t>
      </w:r>
    </w:p>
    <w:p>
      <w:r>
        <w:t>The supplied video frames establish Home, Practice Metrics, Clients, and Accounts screens. They show a Client Management header, horizontal navigation, dashboard panels, Quick Views, search, filter chips, and tables. Full playback remains unavailable. The frames depict a training environment with 2018 dates; they establish the demonstrated layout, not current production UI. Unseen interactions and LifeSync placement remain proposals.</w:t>
      </w:r>
    </w:p>
    <w:p>
      <w:pPr>
        <w:pStyle w:val="Heading1"/>
      </w:pPr>
      <w:r>
        <w:t>Users and responsibilities</w:t>
      </w:r>
    </w:p>
    <w:tbl>
      <w:tblPr>
        <w:tblW w:type="auto" w:w="0"/>
        <w:tblLayout w:type="fixed"/>
        <w:tblLook w:firstColumn="1" w:firstRow="1" w:lastColumn="0" w:lastRow="0" w:noHBand="0" w:noVBand="1" w:val="04A0"/>
      </w:tblPr>
      <w:tblGrid>
        <w:gridCol w:w="2160"/>
        <w:gridCol w:w="7920"/>
      </w:tblGrid>
      <w:tr>
        <w:trPr>
          <w:tblHeader/>
        </w:trPr>
        <w:tc>
          <w:tcPr>
            <w:tcW w:type="dxa" w:w="5040"/>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pPr>
            <w:r>
              <w:rPr>
                <w:b/>
                <w:sz w:val="20"/>
              </w:rPr>
              <w:t>User</w:t>
            </w:r>
          </w:p>
        </w:tc>
        <w:tc>
          <w:tcPr>
            <w:tcW w:type="dxa" w:w="5040"/>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pPr>
            <w:r>
              <w:rPr>
                <w:b/>
                <w:sz w:val="20"/>
              </w:rPr>
              <w:t>Responsibility</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Advisor</w:t>
            </w:r>
          </w:p>
        </w:tc>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Confirm event and client instructions; review findings; approve authorized drafts.</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Support staff</w:t>
            </w:r>
          </w:p>
        </w:tc>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Prepare documents and manage assigned follow-ups without assumed approval authority.</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Supervisor</w:t>
            </w:r>
          </w:p>
        </w:tc>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Resolve access or authority questions and escalated cases.</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Client or representative</w:t>
            </w:r>
          </w:p>
        </w:tc>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Provide instructions and required evidence or signatures through an approved process.</w:t>
            </w:r>
          </w:p>
        </w:tc>
      </w:tr>
    </w:tbl>
    <w:p>
      <w:pPr>
        <w:pStyle w:val="Heading1"/>
      </w:pPr>
      <w:r>
        <w:t>Page experience</w:t>
      </w:r>
    </w:p>
    <w:p>
      <w:r>
        <w:t>Reproduce the observed dark Client Management header and horizontal navigation. Build Home, Clients, and Accounts with synthetic data; use the observed Quick Views sidebar, search, filter chips, and tables. Add a proposed LifeSync top-level tab and client-specific action that preserve selected-client context. LifeSync contains event confirmation, cited findings, instructions, drafts, approvals, tracking, and history. The Wealthbox simulation uses the supplied LPL Financial launcher, contact tab, linked-client control, and account table.</w:t>
      </w:r>
    </w:p>
    <w:p>
      <w:r>
        <w:br w:type="page"/>
      </w:r>
    </w:p>
    <w:p>
      <w:pPr>
        <w:pStyle w:val="Heading1"/>
      </w:pPr>
      <w:r>
        <w:t>Functional requirements</w:t>
      </w:r>
    </w:p>
    <w:p>
      <w:r>
        <w:t>Must requirements define the release gate. AI findings are proposals; permission checks and approval gates are backend responsibilities.</w:t>
      </w:r>
    </w:p>
    <w:p>
      <w:r>
        <w:rPr>
          <w:b/>
        </w:rPr>
        <w:t xml:space="preserve">LS01 Authorize client access </w:t>
      </w:r>
      <w:r>
        <w:t>Restrict cases, accounts, source links, and actions to assigned clients. Reject an altered client or source identifier without disclosing another client’s data.</w:t>
      </w:r>
    </w:p>
    <w:p>
      <w:r>
        <w:rPr>
          <w:b/>
        </w:rPr>
        <w:t xml:space="preserve">LS02 Create and confirm an event </w:t>
      </w:r>
      <w:r>
        <w:t>Save event type, affected person, event date if known, evidence, confirming advisor, and case owner. AI may surface a possible event, but the advisor must confirm it. Distinguish owner death from beneficiary death.</w:t>
      </w:r>
    </w:p>
    <w:p>
      <w:r>
        <w:rPr>
          <w:b/>
        </w:rPr>
        <w:t xml:space="preserve">LS03 Review evidence and coverage </w:t>
      </w:r>
      <w:r>
        <w:t>Retrieve permitted account snapshots and CRM notes/tasks; show source IDs, dates, versions, and missing sources. Generate structured findings with source references. Keep conflicting records visibly unresolved.</w:t>
      </w:r>
    </w:p>
    <w:p>
      <w:r>
        <w:rPr>
          <w:b/>
        </w:rPr>
        <w:t xml:space="preserve">LS04 Capture specific instructions </w:t>
      </w:r>
      <w:r>
        <w:t>Record an authorized requested action and new value for each field/account, or a reasoned no-change decision. Never infer a replacement beneficiary or a legal consequence from an event.</w:t>
      </w:r>
    </w:p>
    <w:p>
      <w:r>
        <w:rPr>
          <w:b/>
        </w:rPr>
        <w:t xml:space="preserve">LS05 Prepare validated drafts </w:t>
      </w:r>
      <w:r>
        <w:t>Display current and proposed values, instruction source, sample forms, required documents, and required signers. Unknown process rules route to manual review.</w:t>
      </w:r>
    </w:p>
    <w:p>
      <w:r>
        <w:rPr>
          <w:b/>
        </w:rPr>
        <w:t xml:space="preserve">LS06 Enforce review gates </w:t>
      </w:r>
      <w:r>
        <w:t>Require approval of the exact draft version, applicable signatures/documents, current source versions, and current access before submission. Edits invalidate prior approval.</w:t>
      </w:r>
    </w:p>
    <w:p>
      <w:r>
        <w:rPr>
          <w:b/>
        </w:rPr>
        <w:t xml:space="preserve">LS07 Submit and reconcile </w:t>
      </w:r>
      <w:r>
        <w:t>Use a submission adapter with an idempotency key. Track requests per account through Submitted, Processing, Rejected, and Completed; retain a receipt. Contact synchronization alone is not account servicing completion.</w:t>
      </w:r>
    </w:p>
    <w:p>
      <w:r>
        <w:rPr>
          <w:b/>
        </w:rPr>
        <w:t xml:space="preserve">LS08 Preserve cases and tasks </w:t>
      </w:r>
      <w:r>
        <w:t>Persist status, decisions, task owner, due date or Needs date, and audit history. Support resume, safe retry, correction, escalation, and documented no-change resolutions.</w:t>
      </w:r>
    </w:p>
    <w:p>
      <w:r>
        <w:t>Should: reusable event checklists and draft follow-up messages. Later: live institution APIs, production identity, real electronic signatures, automated event intake, and verified account-specific rules. No message is sent by default.</w:t>
      </w:r>
    </w:p>
    <w:p>
      <w:r>
        <w:br w:type="page"/>
      </w:r>
    </w:p>
    <w:p>
      <w:pPr>
        <w:pStyle w:val="Heading1"/>
      </w:pPr>
      <w:r>
        <w:t>Data and integration requirements</w:t>
      </w:r>
    </w:p>
    <w:p>
      <w:pPr>
        <w:pStyle w:val="Heading1"/>
      </w:pPr>
      <w:r>
        <w:t>Source responsibilities</w:t>
      </w:r>
    </w:p>
    <w:p>
      <w:r>
        <w:t>ClientWorks is the proposed source for synthetic account snapshots and servicing request status. Wealthbox supplies synthetic contacts, dated relationship notes, and tasks through a dedicated adapter. LifeSync stores its own cases, findings, instructions, draft versions, decisions, and audit events. Do not overwrite source notes with generated summaries.</w:t>
      </w:r>
    </w:p>
    <w:p>
      <w:r>
        <w:t>Documented integration: linked contacts support two-way demographic synchronization [S2]; financial account information from ClientWorks can be viewed inside Wealthbox [S3]. These capabilities do not establish automatic synchronization of notes, tasks, beneficiaries, ownership, or signatures. LifeSync access to those items is a proposed adapter contract.</w:t>
      </w:r>
    </w:p>
    <w:tbl>
      <w:tblPr>
        <w:tblW w:type="auto" w:w="0"/>
        <w:tblLayout w:type="fixed"/>
        <w:tblLook w:firstColumn="1" w:firstRow="1" w:lastColumn="0" w:lastRow="0" w:noHBand="0" w:noVBand="1" w:val="04A0"/>
      </w:tblPr>
      <w:tblGrid>
        <w:gridCol w:w="2304"/>
        <w:gridCol w:w="7776"/>
      </w:tblGrid>
      <w:tr>
        <w:trPr>
          <w:tblHeader/>
        </w:trPr>
        <w:tc>
          <w:tcPr>
            <w:tcW w:type="dxa" w:w="5040"/>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pPr>
            <w:r>
              <w:rPr>
                <w:b/>
                <w:sz w:val="20"/>
              </w:rPr>
              <w:t>Entity</w:t>
            </w:r>
          </w:p>
        </w:tc>
        <w:tc>
          <w:tcPr>
            <w:tcW w:type="dxa" w:w="5040"/>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pPr>
            <w:r>
              <w:rPr>
                <w:b/>
                <w:sz w:val="20"/>
              </w:rPr>
              <w:t>Minimum fields</w:t>
            </w:r>
          </w:p>
        </w:tc>
      </w:tr>
      <w:tr>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Client and assignment</w:t>
            </w:r>
          </w:p>
        </w:tc>
        <w:tc>
          <w:tcPr>
            <w:tcW w:type="dxa" w:w="77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client_id, display_name, assigned_user_id, role, effective access dates</w:t>
            </w:r>
          </w:p>
        </w:tc>
      </w:tr>
      <w:tr>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Linked CRM contact</w:t>
            </w:r>
          </w:p>
        </w:tc>
        <w:tc>
          <w:tcPr>
            <w:tcW w:type="dxa" w:w="77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crm_contact_id, client_id, supported contact fields, link_status, version, synced_at</w:t>
            </w:r>
          </w:p>
        </w:tc>
      </w:tr>
      <w:tr>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Account snapshot</w:t>
            </w:r>
          </w:p>
        </w:tc>
        <w:tc>
          <w:tcPr>
            <w:tcW w:type="dxa" w:w="77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account_id, client_id, type, masked number, owner references, address, beneficiary entries, source_version, refreshed_at</w:t>
            </w:r>
          </w:p>
        </w:tc>
      </w:tr>
      <w:tr>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Source record</w:t>
            </w:r>
          </w:p>
        </w:tc>
        <w:tc>
          <w:tcPr>
            <w:tcW w:type="dxa" w:w="77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source_id, client_id, system, record_type, author, recorded_at, content, permissions, version</w:t>
            </w:r>
          </w:p>
        </w:tc>
      </w:tr>
      <w:tr>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Case and finding</w:t>
            </w:r>
          </w:p>
        </w:tc>
        <w:tc>
          <w:tcPr>
            <w:tcW w:type="dxa" w:w="77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case_id, event, affected person, confirmation, owner, status; finding_id, evidence_refs, reason, disposition</w:t>
            </w:r>
          </w:p>
        </w:tc>
      </w:tr>
      <w:tr>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Instruction and draft</w:t>
            </w:r>
          </w:p>
        </w:tc>
        <w:tc>
          <w:tcPr>
            <w:tcW w:type="dxa" w:w="77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instruction_id, actor, confirmed value; draft_id, account_id, old/new values, required documents/signers, version, source_versions</w:t>
            </w:r>
          </w:p>
        </w:tc>
      </w:tr>
      <w:tr>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Request and audit</w:t>
            </w:r>
          </w:p>
        </w:tc>
        <w:tc>
          <w:tcPr>
            <w:tcW w:type="dxa" w:w="77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idempotency_key, external_request_id, status, receipt; actor, timestamp, action, case_id, version, outcome</w:t>
            </w:r>
          </w:p>
        </w:tc>
      </w:tr>
    </w:tbl>
    <w:p>
      <w:pPr>
        <w:pStyle w:val="Heading1"/>
      </w:pPr>
      <w:r>
        <w:t>Simulation rules</w:t>
      </w:r>
    </w:p>
    <w:p>
      <w:r>
        <w:t>Use explicit client-to-contact mappings instead of real SSNs. Simulate contact sync only for supported fields such as names, primary email, phone, address, and birthdate. Reject or quarantine conflicting versions instead of silently overwriting. Propagate approved contact changes without a sync echo loop. A profile address change and an account-level address request are separate records and outcomes.</w:t>
      </w:r>
    </w:p>
    <w:p>
      <w:r>
        <w:t>Core fixture: Client C001 reports divorce. Account A101 has an outdated address; A102 lists the former spouse as beneficiary. The client confirms a new address but supplies no beneficiary replacement. Draft only the address request; create a beneficiary follow-up. Add an unauthorized client C002 for access checks and a conflicting dated CRM note for evidence review.</w:t>
      </w:r>
    </w:p>
    <w:p>
      <w:r>
        <w:br w:type="page"/>
      </w:r>
    </w:p>
    <w:p>
      <w:pPr>
        <w:pStyle w:val="Heading1"/>
      </w:pPr>
      <w:r>
        <w:t>Workflow controls and quality requirements</w:t>
      </w:r>
    </w:p>
    <w:p>
      <w:pPr>
        <w:pStyle w:val="Heading1"/>
      </w:pPr>
      <w:r>
        <w:t>Workflow and case closure</w:t>
      </w:r>
    </w:p>
    <w:p>
      <w:r>
        <w:t>Confirm event → retrieve authorized sources → analyze → review findings → record instructions → prepare drafts → approve exact version → satisfy signature/document gates → submit → reconcile receipts. Missing information creates an owned follow-up; rejected requests return to correction. A documented no-change decision resolves the affected finding without submission.</w:t>
      </w:r>
    </w:p>
    <w:p>
      <w:r>
        <w:t>Per-item states: Needs information, Manual review, Draft, Awaiting approval, Waiting for signature, Ready to submit, Submitted, Processing, Rejected, Completed, and No change. Submission failure remains distinct from rejection. Case status is derived from its unresolved items; one completed account does not close the case. After external submission, cancellation depends on the receiving adapter and is not an automatic rollback.</w:t>
      </w:r>
    </w:p>
    <w:p>
      <w:pPr>
        <w:pStyle w:val="Heading1"/>
      </w:pPr>
      <w:r>
        <w:t>Proposed measurable acceptance targets</w:t>
      </w:r>
    </w:p>
    <w:p>
      <w:r>
        <w:rPr>
          <w:b/>
        </w:rPr>
        <w:t xml:space="preserve">Security and privacy </w:t>
      </w:r>
      <w:r>
        <w:t>Server-side assignment checks on every operation; no AWS credentials in browser code; synthetic data only; masked overview account IDs; no full records in diagnostic logs.</w:t>
      </w:r>
    </w:p>
    <w:p>
      <w:r>
        <w:rPr>
          <w:b/>
        </w:rPr>
        <w:t xml:space="preserve">AI quality </w:t>
      </w:r>
      <w:r>
        <w:t>Each factual finding has a resolvable, authorized source reference. Missing instructions remain unknown. Reject invalid structured output or source IDs. Source text cannot override backend authorization or approval rules.</w:t>
      </w:r>
    </w:p>
    <w:p>
      <w:r>
        <w:rPr>
          <w:b/>
        </w:rPr>
        <w:t xml:space="preserve">Persistence and reliability </w:t>
      </w:r>
      <w:r>
        <w:t>Reload retains cases, edits, and task owners. Ten repeated submissions with one key return one logical request. A model timeout preserves prior work and shows retry guidance.</w:t>
      </w:r>
    </w:p>
    <w:p>
      <w:r>
        <w:rPr>
          <w:b/>
        </w:rPr>
        <w:t xml:space="preserve">Performance </w:t>
      </w:r>
      <w:r>
        <w:t>Proposed small-demo targets: dashboard p95 within 3 seconds across 20 loads; analysis within 30 seconds in at least 9 of 10 runs; explicit timeout by 60 seconds. These are targets to measure, not service guarantees.</w:t>
      </w:r>
    </w:p>
    <w:p>
      <w:r>
        <w:rPr>
          <w:b/>
        </w:rPr>
        <w:t xml:space="preserve">Usability and accessibility </w:t>
      </w:r>
      <w:r>
        <w:t>Keyboard-operable main controls, visible focus, labeled fields, text status indicators, and a clear next action. Three teammates complete the scripted review without developer intervention.</w:t>
      </w:r>
    </w:p>
    <w:p>
      <w:r>
        <w:rPr>
          <w:b/>
        </w:rPr>
        <w:t xml:space="preserve">Traceability and operation </w:t>
      </w:r>
      <w:r>
        <w:t>Every decision/submission records actor, time, source/draft versions, and outcome. Users cannot edit audit entries. Log model choice, call count, latency, errors, and token usage when available; cap retries at two.</w:t>
      </w:r>
    </w:p>
    <w:p>
      <w:pPr>
        <w:pStyle w:val="Heading1"/>
      </w:pPr>
      <w:r>
        <w:t>AWS implementation proposal</w:t>
      </w:r>
    </w:p>
    <w:p>
      <w:r>
        <w:t>Browser → authenticated backend → source adapters → Bedrock → validated findings → human review → submission adapter. Use S3 for synthetic documents and DynamoDB for persistent cases, tasks, and audit events. A Python backend can enforce the workflow; Lambda/API Gateway deployment is optional if time permits. Verify an allowed Bedrock model and event-account access early. No custom model training is required.</w:t>
      </w:r>
    </w:p>
    <w:p>
      <w:r>
        <w:br w:type="page"/>
      </w:r>
    </w:p>
    <w:p>
      <w:pPr>
        <w:pStyle w:val="Heading1"/>
      </w:pPr>
      <w:r>
        <w:t>Acceptance scenarios and open decisions</w:t>
      </w:r>
    </w:p>
    <w:tbl>
      <w:tblPr>
        <w:tblW w:type="auto" w:w="0"/>
        <w:tblLayout w:type="fixed"/>
        <w:tblLook w:firstColumn="1" w:firstRow="1" w:lastColumn="0" w:lastRow="0" w:noHBand="0" w:noVBand="1" w:val="04A0"/>
      </w:tblPr>
      <w:tblGrid>
        <w:gridCol w:w="2376"/>
        <w:gridCol w:w="7704"/>
      </w:tblGrid>
      <w:tr>
        <w:trPr>
          <w:tblHeader/>
        </w:trPr>
        <w:tc>
          <w:tcPr>
            <w:tcW w:type="dxa" w:w="5040"/>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pPr>
            <w:r>
              <w:rPr>
                <w:b/>
                <w:sz w:val="20"/>
              </w:rPr>
              <w:t>Test</w:t>
            </w:r>
          </w:p>
        </w:tc>
        <w:tc>
          <w:tcPr>
            <w:tcW w:type="dxa" w:w="5040"/>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pPr>
            <w:r>
              <w:rPr>
                <w:b/>
                <w:sz w:val="20"/>
              </w:rPr>
              <w:t>Expected result</w:t>
            </w:r>
          </w:p>
        </w:tc>
      </w:tr>
      <w:t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A01 Access isolation</w:t>
            </w:r>
          </w:p>
        </w:tc>
        <w:tc>
          <w:tcPr>
            <w:tcW w:type="dxa" w:w="77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Changed client/source IDs are denied, including direct API requests.</w:t>
            </w:r>
          </w:p>
        </w:tc>
      </w:tr>
      <w:t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A02 Divorce review</w:t>
            </w:r>
          </w:p>
        </w:tc>
        <w:tc>
          <w:tcPr>
            <w:tcW w:type="dxa" w:w="77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Address and beneficiary review flags include correct sources; no automatic changes.</w:t>
            </w:r>
          </w:p>
        </w:tc>
      </w:tr>
      <w:t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A03 Missing intent</w:t>
            </w:r>
          </w:p>
        </w:tc>
        <w:tc>
          <w:tcPr>
            <w:tcW w:type="dxa" w:w="77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Address draft can proceed with confirmed instructions; beneficiary stays Needs information.</w:t>
            </w:r>
          </w:p>
        </w:tc>
      </w:tr>
      <w:t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A04 Approval integrity</w:t>
            </w:r>
          </w:p>
        </w:tc>
        <w:tc>
          <w:tcPr>
            <w:tcW w:type="dxa" w:w="77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Missing approval/signature or editing an approved draft blocks submission.</w:t>
            </w:r>
          </w:p>
        </w:tc>
      </w:tr>
      <w:t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A05 Stale evidence</w:t>
            </w:r>
          </w:p>
        </w:tc>
        <w:tc>
          <w:tcPr>
            <w:tcW w:type="dxa" w:w="77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A changed source version invalidates the affected draft and requires review.</w:t>
            </w:r>
          </w:p>
        </w:tc>
      </w:tr>
      <w:t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A06 Retry and outcomes</w:t>
            </w:r>
          </w:p>
        </w:tc>
        <w:tc>
          <w:tcPr>
            <w:tcW w:type="dxa" w:w="77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Repeated submission creates one request; completed and rejected account items remain distinct.</w:t>
            </w:r>
          </w:p>
        </w:tc>
      </w:tr>
      <w:t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A07 Source and AI failure</w:t>
            </w:r>
          </w:p>
        </w:tc>
        <w:tc>
          <w:tcPr>
            <w:tcW w:type="dxa" w:w="77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Unavailable CRM sources are unreviewed; invalid output or timeout produces no invented result.</w:t>
            </w:r>
          </w:p>
        </w:tc>
      </w:tr>
      <w:t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A08 Contact synchronization</w:t>
            </w:r>
          </w:p>
        </w:tc>
        <w:tc>
          <w:tcPr>
            <w:tcW w:type="dxa" w:w="77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Supported changes propagate once; conflicts remain visible; account fields do not sync as contacts.</w:t>
            </w:r>
          </w:p>
        </w:tc>
      </w:tr>
      <w:t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A09 Resume and instructions</w:t>
            </w:r>
          </w:p>
        </w:tc>
        <w:tc>
          <w:tcPr>
            <w:tcW w:type="dxa" w:w="77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Refresh preserves work; a malicious source note cannot bypass gates or reveal another client.</w:t>
            </w:r>
          </w:p>
        </w:tc>
      </w:tr>
      <w:t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A10 Death and no change</w:t>
            </w:r>
          </w:p>
        </w:tc>
        <w:tc>
          <w:tcPr>
            <w:tcW w:type="dxa" w:w="77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0"/>
              </w:rPr>
              <w:t>Affected person is explicit; authority is checked; no-change decision records actor and reason.</w:t>
            </w:r>
          </w:p>
        </w:tc>
      </w:tr>
    </w:tbl>
    <w:p>
      <w:pPr>
        <w:pStyle w:val="Heading1"/>
      </w:pPr>
      <w:r>
        <w:t>Value measurement and dependencies</w:t>
      </w:r>
    </w:p>
    <w:p>
      <w:r>
        <w:t>Compare manual and assisted review on the same synthetic case. Record preparation minutes, expected items found, incorrect flags, corrections, and follow-ups with an owner. Include review time in any savings claim. Confirm event model access, budget, deployment permissions, real account processes, approved signers, embedding mechanism, CRM scopes, and production retention rules with appropriate stakeholders.</w:t>
      </w:r>
    </w:p>
    <w:p>
      <w:pPr>
        <w:pStyle w:val="Heading1"/>
      </w:pPr>
      <w:r>
        <w:t>Sources and document status</w:t>
      </w:r>
    </w:p>
    <w:p>
      <w:pPr>
        <w:spacing w:after="80"/>
      </w:pPr>
      <w:hyperlink r:id="rId10">
        <w:r>
          <w:t>S1 ClientWorks overview video page</w:t>
        </w:r>
      </w:hyperlink>
    </w:p>
    <w:p>
      <w:pPr>
        <w:spacing w:after="80"/>
      </w:pPr>
      <w:hyperlink r:id="rId11">
        <w:r>
          <w:t>S2 Wealthbox two way contact synchronization</w:t>
        </w:r>
      </w:hyperlink>
    </w:p>
    <w:p>
      <w:pPr>
        <w:spacing w:after="80"/>
      </w:pPr>
      <w:hyperlink r:id="rId12">
        <w:r>
          <w:t>S3 Wealthbox financial account synchronization</w:t>
        </w:r>
      </w:hyperlink>
    </w:p>
    <w:p>
      <w:pPr>
        <w:spacing w:after="80"/>
      </w:pPr>
      <w:hyperlink r:id="rId13">
        <w:r>
          <w:t>S4 LPL advisor technology overview</w:t>
        </w:r>
      </w:hyperlink>
    </w:p>
    <w:p>
      <w:r>
        <w:t>Additional supplied references: original LifeSync RAD; opening ceremony deck; AWS service list; Wealthbox integration screenshot; five ClientWorks video frames named Screenshot 2026-10-02 134702, 135625, 135737, 135755, and 135812. The frames establish visible training UI only; their screenshot capture times are not video timestamps.</w:t>
      </w:r>
    </w:p>
    <w:p>
      <w:r>
        <w:t>Planning document only. Visible layout is grounded in supplied frames; unseen interactions and current production behavior require validation. Passing these scenarios supports a prototype demonstration and does not certify regulatory compliance.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LifeSync  |  Hackathon planning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lpl.vids.io/videos/489adfbb1a11e3c0c0/lpl-client-works-overview" TargetMode="External"/><Relationship Id="rId11" Type="http://schemas.openxmlformats.org/officeDocument/2006/relationships/hyperlink" Target="https://help.wealthbox.com/hc/en-us/articles/34470324688539-How-to-use-the-two-way-sync-integration-between-Wealthbox-and-LPL-ClientWorks" TargetMode="External"/><Relationship Id="rId12" Type="http://schemas.openxmlformats.org/officeDocument/2006/relationships/hyperlink" Target="https://help.wealthbox.com/hc/en-us/articles/36073560352283-How-to-use-the-Financial-Account-Sync-integration-between-Wealthbox-and-LPL-ClientWorks" TargetMode="External"/><Relationship Id="rId13" Type="http://schemas.openxmlformats.org/officeDocument/2006/relationships/hyperlink" Target="https://www.lpl.com/join-lpl/managing-your-business/tech-capabilities-and-offering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