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0484" w14:textId="77777777" w:rsidR="00402F06" w:rsidRDefault="00402F06">
      <w:pPr>
        <w:pStyle w:val="BodyText"/>
        <w:spacing w:before="63"/>
        <w:rPr>
          <w:sz w:val="28"/>
        </w:rPr>
      </w:pPr>
    </w:p>
    <w:p w14:paraId="6E583329" w14:textId="77777777" w:rsidR="00402F06" w:rsidRDefault="00D70CF2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48AFABCC" w14:textId="77777777" w:rsidR="00402F06" w:rsidRDefault="00402F06">
      <w:pPr>
        <w:pStyle w:val="BodyText"/>
        <w:rPr>
          <w:b/>
          <w:sz w:val="20"/>
        </w:rPr>
      </w:pPr>
    </w:p>
    <w:p w14:paraId="165E8D59" w14:textId="77777777" w:rsidR="00402F06" w:rsidRDefault="00402F06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02F06" w14:paraId="7666D0D5" w14:textId="77777777">
        <w:trPr>
          <w:trHeight w:val="519"/>
        </w:trPr>
        <w:tc>
          <w:tcPr>
            <w:tcW w:w="4680" w:type="dxa"/>
          </w:tcPr>
          <w:p w14:paraId="446159D0" w14:textId="77777777" w:rsidR="00402F06" w:rsidRDefault="00D70CF2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5BF492B" w14:textId="2EA12350" w:rsidR="00402F06" w:rsidRDefault="00597336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</w:t>
            </w:r>
            <w:r w:rsidR="005657A0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402F06" w14:paraId="62CDEECA" w14:textId="77777777">
        <w:trPr>
          <w:trHeight w:val="540"/>
        </w:trPr>
        <w:tc>
          <w:tcPr>
            <w:tcW w:w="4680" w:type="dxa"/>
          </w:tcPr>
          <w:p w14:paraId="61666FE4" w14:textId="77777777" w:rsidR="00402F06" w:rsidRDefault="00D70CF2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31DF690D" w14:textId="3A03F5D9" w:rsidR="00402F06" w:rsidRDefault="00CE5CA4" w:rsidP="00CE5CA4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6208C6" w:rsidRPr="006208C6">
              <w:rPr>
                <w:spacing w:val="-2"/>
                <w:sz w:val="24"/>
              </w:rPr>
              <w:t>7399</w:t>
            </w:r>
            <w:r w:rsidR="00DF7577">
              <w:rPr>
                <w:spacing w:val="-2"/>
                <w:sz w:val="24"/>
              </w:rPr>
              <w:t>51</w:t>
            </w:r>
          </w:p>
        </w:tc>
      </w:tr>
      <w:tr w:rsidR="00402F06" w14:paraId="0893DBEA" w14:textId="77777777">
        <w:trPr>
          <w:trHeight w:val="840"/>
        </w:trPr>
        <w:tc>
          <w:tcPr>
            <w:tcW w:w="4680" w:type="dxa"/>
          </w:tcPr>
          <w:p w14:paraId="114E97C6" w14:textId="77777777" w:rsidR="00402F06" w:rsidRDefault="00D70CF2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F2138FC" w14:textId="2728E120" w:rsidR="00402F06" w:rsidRDefault="00CE5CA4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402F06" w14:paraId="1C04D998" w14:textId="77777777">
        <w:trPr>
          <w:trHeight w:val="520"/>
        </w:trPr>
        <w:tc>
          <w:tcPr>
            <w:tcW w:w="4680" w:type="dxa"/>
          </w:tcPr>
          <w:p w14:paraId="2B68549C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C82ABC7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11C7011" w14:textId="77777777" w:rsidR="00402F06" w:rsidRDefault="00402F06">
      <w:pPr>
        <w:pStyle w:val="BodyText"/>
        <w:spacing w:before="201"/>
        <w:rPr>
          <w:b/>
        </w:rPr>
      </w:pPr>
    </w:p>
    <w:p w14:paraId="3B03F978" w14:textId="77777777" w:rsidR="00402F06" w:rsidRDefault="00D70CF2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22863A67" w14:textId="77777777" w:rsidR="00402F06" w:rsidRDefault="00D70CF2">
      <w:pPr>
        <w:pStyle w:val="BodyText"/>
        <w:spacing w:before="201" w:line="276" w:lineRule="auto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forthcoming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description.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127B3D24" w14:textId="77777777" w:rsidR="00402F06" w:rsidRDefault="00402F06">
      <w:pPr>
        <w:pStyle w:val="BodyText"/>
        <w:rPr>
          <w:sz w:val="20"/>
        </w:rPr>
      </w:pPr>
    </w:p>
    <w:p w14:paraId="1CE538A4" w14:textId="77777777" w:rsidR="00402F06" w:rsidRDefault="00402F06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33F66E38" w14:textId="77777777">
        <w:trPr>
          <w:trHeight w:val="1040"/>
        </w:trPr>
        <w:tc>
          <w:tcPr>
            <w:tcW w:w="1500" w:type="dxa"/>
          </w:tcPr>
          <w:p w14:paraId="20BAA5A6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371A261" w14:textId="77777777" w:rsidR="00402F06" w:rsidRDefault="00D70CF2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0" w:type="dxa"/>
          </w:tcPr>
          <w:p w14:paraId="296F2B3F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28DAD8B8" w14:textId="77777777" w:rsidR="00402F06" w:rsidRDefault="00D70CF2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14:paraId="6EB8D399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439A7CBC" w14:textId="77777777" w:rsidR="00402F06" w:rsidRDefault="00D70CF2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18AFFE5C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2BDBC88" w14:textId="77777777" w:rsidR="00402F06" w:rsidRDefault="00D70CF2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402F06" w14:paraId="52210AAA" w14:textId="77777777">
        <w:trPr>
          <w:trHeight w:val="1639"/>
        </w:trPr>
        <w:tc>
          <w:tcPr>
            <w:tcW w:w="1500" w:type="dxa"/>
          </w:tcPr>
          <w:p w14:paraId="0FEF38C2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76118DB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A38AB6D" w14:textId="1AC25EE4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 w:rsidRPr="003418CF">
              <w:rPr>
                <w:sz w:val="24"/>
                <w:lang w:val="en-IN"/>
              </w:rPr>
              <w:t>Attr2</w:t>
            </w:r>
          </w:p>
          <w:p w14:paraId="1303741C" w14:textId="518E6490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3A70622D" w14:textId="77777777" w:rsidR="00402F06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 w:rsidRPr="003418CF">
              <w:rPr>
                <w:sz w:val="24"/>
              </w:rPr>
              <w:t>total liabilities / total assets</w:t>
            </w:r>
          </w:p>
          <w:p w14:paraId="068A14E4" w14:textId="432B20F0" w:rsidR="003418CF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2040" w:type="dxa"/>
          </w:tcPr>
          <w:p w14:paraId="7A502393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F71B9CF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8F21A54" w14:textId="5EBF7A27" w:rsidR="00402F06" w:rsidRDefault="003418CF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945497C" w14:textId="11E074DA" w:rsidR="00402F06" w:rsidRDefault="00582B8B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is</w:t>
            </w:r>
            <w:r w:rsidRPr="00582B8B">
              <w:rPr>
                <w:sz w:val="24"/>
              </w:rPr>
              <w:t xml:space="preserve"> a financial metric that indicates the proportion of a company's assets that are financed by its liabilities</w:t>
            </w:r>
            <w:r>
              <w:rPr>
                <w:sz w:val="24"/>
              </w:rPr>
              <w:t xml:space="preserve"> it is also called as debt ratio</w:t>
            </w:r>
          </w:p>
        </w:tc>
      </w:tr>
      <w:tr w:rsidR="00402F06" w14:paraId="310494BA" w14:textId="77777777">
        <w:trPr>
          <w:trHeight w:val="1040"/>
        </w:trPr>
        <w:tc>
          <w:tcPr>
            <w:tcW w:w="1500" w:type="dxa"/>
          </w:tcPr>
          <w:p w14:paraId="58A2F5D2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20A4FA11" w14:textId="456D48AD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Attr51</w:t>
            </w:r>
          </w:p>
          <w:p w14:paraId="7EBD5FDD" w14:textId="752A11E7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421B718E" w14:textId="50CACC90" w:rsidR="00582B8B" w:rsidRPr="00582B8B" w:rsidRDefault="00582B8B" w:rsidP="00582B8B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582B8B">
              <w:rPr>
                <w:sz w:val="24"/>
              </w:rPr>
              <w:t>short-term liabilities / total assets</w:t>
            </w:r>
          </w:p>
          <w:p w14:paraId="421394AD" w14:textId="04733C9B" w:rsidR="00402F06" w:rsidRDefault="00402F06" w:rsidP="00582B8B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43B8033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79B1E5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8C6785F" w14:textId="5E00BCAB" w:rsidR="00402F06" w:rsidRDefault="006F42A4">
            <w:pPr>
              <w:pStyle w:val="TableParagraph"/>
              <w:spacing w:before="125" w:line="276" w:lineRule="auto"/>
              <w:ind w:left="104"/>
              <w:rPr>
                <w:sz w:val="24"/>
              </w:rPr>
            </w:pPr>
            <w:r w:rsidRPr="006F42A4">
              <w:rPr>
                <w:color w:val="0D0D0D"/>
                <w:sz w:val="24"/>
              </w:rPr>
              <w:t>This ratio is useful for understanding the short-term financial obligations relative to the company's total asset base.</w:t>
            </w:r>
          </w:p>
        </w:tc>
      </w:tr>
      <w:tr w:rsidR="00402F06" w14:paraId="57C93304" w14:textId="77777777">
        <w:trPr>
          <w:trHeight w:val="1039"/>
        </w:trPr>
        <w:tc>
          <w:tcPr>
            <w:tcW w:w="1500" w:type="dxa"/>
          </w:tcPr>
          <w:p w14:paraId="2F93AC5F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0D45334C" w14:textId="4E1B3B2F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Attr52</w:t>
            </w:r>
          </w:p>
          <w:p w14:paraId="4F489366" w14:textId="0D1C0689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2E4B968F" w14:textId="77777777" w:rsidR="00402F06" w:rsidRDefault="00D70CF2">
            <w:pPr>
              <w:pStyle w:val="TableParagraph"/>
              <w:spacing w:before="127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Number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of </w:t>
            </w:r>
            <w:r>
              <w:rPr>
                <w:color w:val="0D0D0D"/>
                <w:spacing w:val="-2"/>
                <w:sz w:val="24"/>
              </w:rPr>
              <w:t>dependents</w:t>
            </w:r>
          </w:p>
        </w:tc>
        <w:tc>
          <w:tcPr>
            <w:tcW w:w="2040" w:type="dxa"/>
          </w:tcPr>
          <w:p w14:paraId="24DBB202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1B48CA3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281C757" w14:textId="2C22BE75" w:rsidR="00402F06" w:rsidRDefault="00FD2294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describes about how many factors are dependent on business</w:t>
            </w:r>
          </w:p>
        </w:tc>
      </w:tr>
    </w:tbl>
    <w:p w14:paraId="5CB6F532" w14:textId="39959E74" w:rsidR="00402F06" w:rsidRPr="003418CF" w:rsidRDefault="00402F06">
      <w:pPr>
        <w:spacing w:line="276" w:lineRule="auto"/>
        <w:rPr>
          <w:sz w:val="24"/>
          <w:lang w:val="en-IN"/>
        </w:rPr>
        <w:sectPr w:rsidR="00402F06" w:rsidRPr="003418CF">
          <w:headerReference w:type="default" r:id="rId7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03CEAF46" w14:textId="77777777">
        <w:trPr>
          <w:trHeight w:val="1039"/>
        </w:trPr>
        <w:tc>
          <w:tcPr>
            <w:tcW w:w="1500" w:type="dxa"/>
          </w:tcPr>
          <w:p w14:paraId="7070B456" w14:textId="77777777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lastRenderedPageBreak/>
              <w:t>Attr34</w:t>
            </w:r>
          </w:p>
          <w:p w14:paraId="71E969B6" w14:textId="6584611E" w:rsidR="00402F06" w:rsidRDefault="00402F06" w:rsidP="003418CF">
            <w:pPr>
              <w:pStyle w:val="TableParagraph"/>
              <w:spacing w:before="128" w:line="276" w:lineRule="auto"/>
              <w:rPr>
                <w:sz w:val="24"/>
              </w:rPr>
            </w:pPr>
          </w:p>
        </w:tc>
        <w:tc>
          <w:tcPr>
            <w:tcW w:w="1700" w:type="dxa"/>
          </w:tcPr>
          <w:p w14:paraId="7F275B56" w14:textId="4CAF97ED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418CF">
              <w:rPr>
                <w:sz w:val="24"/>
              </w:rPr>
              <w:t>operating expenses / total liabilities</w:t>
            </w:r>
          </w:p>
          <w:p w14:paraId="23E7F61E" w14:textId="77777777" w:rsidR="003418CF" w:rsidRPr="003418CF" w:rsidRDefault="003418CF" w:rsidP="003418CF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22895033" w14:textId="150FE8EC" w:rsidR="00402F06" w:rsidRDefault="00402F0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8D6695B" w14:textId="77777777" w:rsidR="00402F06" w:rsidRDefault="00402F06">
            <w:pPr>
              <w:pStyle w:val="TableParagraph"/>
              <w:spacing w:before="11"/>
              <w:rPr>
                <w:sz w:val="24"/>
              </w:rPr>
            </w:pPr>
          </w:p>
          <w:p w14:paraId="24947D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A764B0" w14:textId="0B7E953D" w:rsidR="00402F06" w:rsidRDefault="00FD2294">
            <w:pPr>
              <w:pStyle w:val="TableParagraph"/>
              <w:spacing w:before="128" w:line="276" w:lineRule="auto"/>
              <w:ind w:left="104"/>
              <w:rPr>
                <w:sz w:val="24"/>
              </w:rPr>
            </w:pPr>
            <w:r w:rsidRPr="00FD2294">
              <w:rPr>
                <w:sz w:val="24"/>
              </w:rPr>
              <w:t xml:space="preserve">The ratio of operating expenses to total liabilities is a financial metric that helps to assess a company's ability to manage its expenses in relation to its total liabilities. </w:t>
            </w:r>
          </w:p>
        </w:tc>
      </w:tr>
      <w:tr w:rsidR="00402F06" w14:paraId="149B9B8A" w14:textId="77777777">
        <w:trPr>
          <w:trHeight w:val="1039"/>
        </w:trPr>
        <w:tc>
          <w:tcPr>
            <w:tcW w:w="1500" w:type="dxa"/>
          </w:tcPr>
          <w:p w14:paraId="2A8EAD2E" w14:textId="77777777" w:rsidR="003418CF" w:rsidRPr="003418CF" w:rsidRDefault="003418CF" w:rsidP="003418CF">
            <w:pPr>
              <w:pStyle w:val="TableParagraph"/>
              <w:spacing w:before="133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Attr55</w:t>
            </w:r>
          </w:p>
          <w:p w14:paraId="2B26C34F" w14:textId="58880713" w:rsidR="00402F06" w:rsidRDefault="00402F0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091F6DFE" w14:textId="6DF800F1" w:rsidR="00402F06" w:rsidRDefault="003418CF">
            <w:pPr>
              <w:pStyle w:val="TableParagraph"/>
              <w:spacing w:before="133" w:line="276" w:lineRule="auto"/>
              <w:ind w:left="109"/>
              <w:rPr>
                <w:sz w:val="24"/>
              </w:rPr>
            </w:pPr>
            <w:r w:rsidRPr="003418CF">
              <w:rPr>
                <w:sz w:val="24"/>
              </w:rPr>
              <w:t>working capital</w:t>
            </w:r>
          </w:p>
        </w:tc>
        <w:tc>
          <w:tcPr>
            <w:tcW w:w="2040" w:type="dxa"/>
          </w:tcPr>
          <w:p w14:paraId="15CB56E8" w14:textId="77777777" w:rsidR="00402F06" w:rsidRDefault="00402F06">
            <w:pPr>
              <w:pStyle w:val="TableParagraph"/>
              <w:spacing w:before="16"/>
              <w:rPr>
                <w:sz w:val="24"/>
              </w:rPr>
            </w:pPr>
          </w:p>
          <w:p w14:paraId="34D1CD8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C5DC26" w14:textId="350D6F7B" w:rsidR="00402F06" w:rsidRDefault="003F45C1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 w:rsidRPr="003F45C1">
              <w:rPr>
                <w:sz w:val="24"/>
              </w:rPr>
              <w:t>Working capital is a measure of a company's short-term financial health and operational efficiency.</w:t>
            </w:r>
          </w:p>
        </w:tc>
      </w:tr>
      <w:tr w:rsidR="00402F06" w14:paraId="2C9AF76B" w14:textId="77777777">
        <w:trPr>
          <w:trHeight w:val="1059"/>
        </w:trPr>
        <w:tc>
          <w:tcPr>
            <w:tcW w:w="1500" w:type="dxa"/>
          </w:tcPr>
          <w:p w14:paraId="3012F81C" w14:textId="77777777" w:rsidR="003418CF" w:rsidRPr="003418CF" w:rsidRDefault="003418CF" w:rsidP="003418CF">
            <w:pPr>
              <w:pStyle w:val="TableParagraph"/>
              <w:spacing w:before="138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Attr29</w:t>
            </w:r>
          </w:p>
          <w:p w14:paraId="30AAA8D1" w14:textId="3E351811" w:rsidR="00402F06" w:rsidRDefault="00402F06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1E1B2FCC" w14:textId="436FE56A" w:rsidR="00402F06" w:rsidRDefault="003F45C1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 w:rsidRPr="003418CF">
              <w:rPr>
                <w:sz w:val="24"/>
              </w:rPr>
              <w:t xml:space="preserve">logarithm </w:t>
            </w:r>
            <w:proofErr w:type="gramStart"/>
            <w:r w:rsidR="003418CF" w:rsidRPr="003418CF">
              <w:rPr>
                <w:sz w:val="24"/>
              </w:rPr>
              <w:t xml:space="preserve">of </w:t>
            </w:r>
            <w:r w:rsidRPr="003418CF">
              <w:rPr>
                <w:sz w:val="24"/>
              </w:rPr>
              <w:t xml:space="preserve"> </w:t>
            </w:r>
            <w:r w:rsidR="003418CF" w:rsidRPr="003418CF">
              <w:rPr>
                <w:sz w:val="24"/>
              </w:rPr>
              <w:t>total</w:t>
            </w:r>
            <w:proofErr w:type="gramEnd"/>
            <w:r w:rsidR="003418CF" w:rsidRPr="003418CF">
              <w:rPr>
                <w:sz w:val="24"/>
              </w:rPr>
              <w:t xml:space="preserve"> assets</w:t>
            </w:r>
          </w:p>
        </w:tc>
        <w:tc>
          <w:tcPr>
            <w:tcW w:w="2040" w:type="dxa"/>
          </w:tcPr>
          <w:p w14:paraId="14055EBB" w14:textId="77777777" w:rsidR="00402F06" w:rsidRDefault="00402F06">
            <w:pPr>
              <w:pStyle w:val="TableParagraph"/>
              <w:spacing w:before="21"/>
              <w:rPr>
                <w:sz w:val="24"/>
              </w:rPr>
            </w:pPr>
          </w:p>
          <w:p w14:paraId="2D0FF990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0190D729" w14:textId="4E3D2440" w:rsidR="00402F06" w:rsidRDefault="003F45C1" w:rsidP="003F45C1">
            <w:pPr>
              <w:pStyle w:val="TableParagraph"/>
              <w:spacing w:before="138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The logarithm can help in transforming skewed data into a more normal distribution, which is useful for statistical analysis.</w:t>
            </w:r>
          </w:p>
        </w:tc>
      </w:tr>
      <w:tr w:rsidR="00402F06" w14:paraId="1F11BAF8" w14:textId="77777777">
        <w:trPr>
          <w:trHeight w:val="1040"/>
        </w:trPr>
        <w:tc>
          <w:tcPr>
            <w:tcW w:w="1500" w:type="dxa"/>
          </w:tcPr>
          <w:p w14:paraId="16645088" w14:textId="77777777" w:rsidR="003418CF" w:rsidRPr="003418CF" w:rsidRDefault="003418CF" w:rsidP="003418CF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Attr6</w:t>
            </w:r>
          </w:p>
          <w:p w14:paraId="50128E33" w14:textId="1B0BDC39" w:rsidR="00402F06" w:rsidRDefault="00402F0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</w:tcPr>
          <w:p w14:paraId="4AF546BC" w14:textId="0D303798" w:rsidR="00F40E0E" w:rsidRPr="00F40E0E" w:rsidRDefault="00F40E0E" w:rsidP="00F40E0E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40E0E">
              <w:rPr>
                <w:sz w:val="24"/>
              </w:rPr>
              <w:t>Retained</w:t>
            </w:r>
            <w:r>
              <w:rPr>
                <w:sz w:val="24"/>
              </w:rPr>
              <w:t xml:space="preserve"> earnings</w:t>
            </w:r>
            <w:r w:rsidRPr="00F40E0E">
              <w:rPr>
                <w:sz w:val="24"/>
              </w:rPr>
              <w:t xml:space="preserve"> / total assets</w:t>
            </w:r>
          </w:p>
          <w:p w14:paraId="72E6270F" w14:textId="51EDC854" w:rsidR="00402F06" w:rsidRDefault="00402F0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</w:tcPr>
          <w:p w14:paraId="02755B98" w14:textId="77777777" w:rsidR="00402F06" w:rsidRDefault="00402F06">
            <w:pPr>
              <w:pStyle w:val="TableParagraph"/>
              <w:spacing w:before="6"/>
              <w:rPr>
                <w:sz w:val="24"/>
              </w:rPr>
            </w:pPr>
          </w:p>
          <w:p w14:paraId="6B47947B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41830B7" w14:textId="7933A40A" w:rsidR="00402F06" w:rsidRDefault="003F45C1">
            <w:pPr>
              <w:pStyle w:val="TableParagraph"/>
              <w:spacing w:before="123" w:line="276" w:lineRule="auto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This ratio can provide insights into a company's financial stability and its ability to reinvest earnings into the business</w:t>
            </w:r>
          </w:p>
        </w:tc>
      </w:tr>
      <w:tr w:rsidR="00402F06" w14:paraId="7850FFD4" w14:textId="77777777">
        <w:trPr>
          <w:trHeight w:val="1320"/>
        </w:trPr>
        <w:tc>
          <w:tcPr>
            <w:tcW w:w="1500" w:type="dxa"/>
          </w:tcPr>
          <w:p w14:paraId="063E7172" w14:textId="3998D96C" w:rsidR="00402F06" w:rsidRDefault="003418CF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 w:rsidRPr="003418CF">
              <w:rPr>
                <w:sz w:val="24"/>
              </w:rPr>
              <w:t>Attr57</w:t>
            </w:r>
          </w:p>
        </w:tc>
        <w:tc>
          <w:tcPr>
            <w:tcW w:w="1700" w:type="dxa"/>
          </w:tcPr>
          <w:p w14:paraId="11AC1104" w14:textId="681518FD" w:rsidR="00F40E0E" w:rsidRPr="00F40E0E" w:rsidRDefault="00F40E0E" w:rsidP="00F40E0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F40E0E">
              <w:rPr>
                <w:sz w:val="24"/>
              </w:rPr>
              <w:t xml:space="preserve">(current </w:t>
            </w:r>
            <w:r>
              <w:rPr>
                <w:sz w:val="24"/>
              </w:rPr>
              <w:t xml:space="preserve">           a</w:t>
            </w:r>
            <w:r w:rsidRPr="00F40E0E">
              <w:rPr>
                <w:sz w:val="24"/>
              </w:rPr>
              <w:t>ssets - inventory - short-term liabilities) / (sales - gross profit - depreciation)</w:t>
            </w:r>
          </w:p>
          <w:p w14:paraId="11157C8F" w14:textId="77777777" w:rsidR="00F40E0E" w:rsidRPr="00F40E0E" w:rsidRDefault="00F40E0E" w:rsidP="00F40E0E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2492E27B" w14:textId="0DD184E9" w:rsidR="00402F06" w:rsidRDefault="00402F0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</w:tc>
        <w:tc>
          <w:tcPr>
            <w:tcW w:w="2040" w:type="dxa"/>
          </w:tcPr>
          <w:p w14:paraId="320747C6" w14:textId="77777777" w:rsidR="00402F06" w:rsidRDefault="00402F06">
            <w:pPr>
              <w:pStyle w:val="TableParagraph"/>
              <w:spacing w:before="147"/>
              <w:rPr>
                <w:sz w:val="24"/>
              </w:rPr>
            </w:pPr>
          </w:p>
          <w:p w14:paraId="5C594E85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9262B1E" w14:textId="45E05CC9" w:rsidR="00402F06" w:rsidRDefault="003F45C1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It provides information about </w:t>
            </w:r>
            <w:r w:rsidRPr="003F45C1">
              <w:rPr>
                <w:color w:val="0D0D0D"/>
                <w:sz w:val="24"/>
              </w:rPr>
              <w:t>custom financial metric</w:t>
            </w:r>
            <w:r>
              <w:rPr>
                <w:color w:val="0D0D0D"/>
                <w:sz w:val="24"/>
              </w:rPr>
              <w:t>.</w:t>
            </w:r>
          </w:p>
        </w:tc>
      </w:tr>
      <w:tr w:rsidR="00402F06" w14:paraId="00388920" w14:textId="77777777">
        <w:trPr>
          <w:trHeight w:val="1300"/>
        </w:trPr>
        <w:tc>
          <w:tcPr>
            <w:tcW w:w="1500" w:type="dxa"/>
          </w:tcPr>
          <w:p w14:paraId="50DEA18E" w14:textId="77777777" w:rsidR="003418CF" w:rsidRPr="003418CF" w:rsidRDefault="003418CF" w:rsidP="003418CF">
            <w:pPr>
              <w:pStyle w:val="TableParagraph"/>
              <w:spacing w:before="261" w:line="276" w:lineRule="auto"/>
              <w:ind w:left="94" w:right="2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Attr3</w:t>
            </w:r>
          </w:p>
          <w:p w14:paraId="5673515D" w14:textId="49100AF6" w:rsidR="00402F06" w:rsidRDefault="00402F06">
            <w:pPr>
              <w:pStyle w:val="TableParagraph"/>
              <w:spacing w:before="261" w:line="276" w:lineRule="auto"/>
              <w:ind w:left="94" w:right="2"/>
              <w:rPr>
                <w:sz w:val="24"/>
              </w:rPr>
            </w:pPr>
          </w:p>
        </w:tc>
        <w:tc>
          <w:tcPr>
            <w:tcW w:w="1700" w:type="dxa"/>
          </w:tcPr>
          <w:p w14:paraId="2105459D" w14:textId="2BCBC861" w:rsidR="00402F06" w:rsidRDefault="00F40E0E">
            <w:pPr>
              <w:pStyle w:val="TableParagraph"/>
              <w:spacing w:before="102" w:line="276" w:lineRule="auto"/>
              <w:ind w:left="109" w:right="239"/>
              <w:rPr>
                <w:sz w:val="24"/>
              </w:rPr>
            </w:pPr>
            <w:r w:rsidRPr="00F40E0E">
              <w:rPr>
                <w:sz w:val="24"/>
              </w:rPr>
              <w:t>working capital / total assets</w:t>
            </w:r>
          </w:p>
        </w:tc>
        <w:tc>
          <w:tcPr>
            <w:tcW w:w="2040" w:type="dxa"/>
          </w:tcPr>
          <w:p w14:paraId="624C4FEE" w14:textId="77777777" w:rsidR="00402F06" w:rsidRDefault="00402F06">
            <w:pPr>
              <w:pStyle w:val="TableParagraph"/>
              <w:spacing w:before="144"/>
              <w:rPr>
                <w:sz w:val="24"/>
              </w:rPr>
            </w:pPr>
          </w:p>
          <w:p w14:paraId="24A34AA2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2772F548" w14:textId="686B1508" w:rsidR="00402F06" w:rsidRDefault="00760F9D">
            <w:pPr>
              <w:pStyle w:val="TableParagraph"/>
              <w:spacing w:before="102" w:line="276" w:lineRule="auto"/>
              <w:ind w:left="104" w:right="140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</w:t>
            </w:r>
            <w:r w:rsidRPr="00760F9D">
              <w:rPr>
                <w:color w:val="0D0D0D"/>
                <w:spacing w:val="-2"/>
                <w:sz w:val="24"/>
              </w:rPr>
              <w:t>he ratio of working capital to total assets is a financial metric that provides insights into how much of a company's total assets are funded by its working capital</w:t>
            </w:r>
            <w:r>
              <w:rPr>
                <w:color w:val="0D0D0D"/>
                <w:spacing w:val="-2"/>
                <w:sz w:val="24"/>
              </w:rPr>
              <w:t>.</w:t>
            </w:r>
          </w:p>
        </w:tc>
      </w:tr>
    </w:tbl>
    <w:p w14:paraId="46CE5DFE" w14:textId="77777777" w:rsidR="00D00080" w:rsidRDefault="00D00080"/>
    <w:sectPr w:rsidR="00D00080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BD9F3" w14:textId="77777777" w:rsidR="007109BB" w:rsidRDefault="007109BB">
      <w:r>
        <w:separator/>
      </w:r>
    </w:p>
  </w:endnote>
  <w:endnote w:type="continuationSeparator" w:id="0">
    <w:p w14:paraId="317C793B" w14:textId="77777777" w:rsidR="007109BB" w:rsidRDefault="0071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41F96" w14:textId="77777777" w:rsidR="007109BB" w:rsidRDefault="007109BB">
      <w:r>
        <w:separator/>
      </w:r>
    </w:p>
  </w:footnote>
  <w:footnote w:type="continuationSeparator" w:id="0">
    <w:p w14:paraId="16E99A5E" w14:textId="77777777" w:rsidR="007109BB" w:rsidRDefault="0071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8CB5" w14:textId="77777777" w:rsidR="00402F06" w:rsidRDefault="00D70C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05053F02" wp14:editId="354EE1E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2E3E35C3" wp14:editId="23A14C9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E07B9"/>
    <w:multiLevelType w:val="hybridMultilevel"/>
    <w:tmpl w:val="5AB43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35689">
    <w:abstractNumId w:val="0"/>
  </w:num>
  <w:num w:numId="2" w16cid:durableId="63911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06"/>
    <w:rsid w:val="003418CF"/>
    <w:rsid w:val="003F45C1"/>
    <w:rsid w:val="00402F06"/>
    <w:rsid w:val="004B6AC6"/>
    <w:rsid w:val="005657A0"/>
    <w:rsid w:val="00582B8B"/>
    <w:rsid w:val="00597336"/>
    <w:rsid w:val="006208C6"/>
    <w:rsid w:val="00673BDD"/>
    <w:rsid w:val="006F42A4"/>
    <w:rsid w:val="007108A9"/>
    <w:rsid w:val="007109BB"/>
    <w:rsid w:val="00734389"/>
    <w:rsid w:val="00760F9D"/>
    <w:rsid w:val="007652BA"/>
    <w:rsid w:val="00903EF1"/>
    <w:rsid w:val="00AF2DCB"/>
    <w:rsid w:val="00B06FC7"/>
    <w:rsid w:val="00B375A7"/>
    <w:rsid w:val="00BC4643"/>
    <w:rsid w:val="00CE5CA4"/>
    <w:rsid w:val="00D00080"/>
    <w:rsid w:val="00D70CF2"/>
    <w:rsid w:val="00DB0F65"/>
    <w:rsid w:val="00DF7577"/>
    <w:rsid w:val="00F40E0E"/>
    <w:rsid w:val="00FB3DC9"/>
    <w:rsid w:val="00FD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6AE1"/>
  <w15:docId w15:val="{0C19E17F-9683-48FC-9267-B018078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akshaya bonala</dc:creator>
  <cp:lastModifiedBy>akshaya bonala</cp:lastModifiedBy>
  <cp:revision>10</cp:revision>
  <dcterms:created xsi:type="dcterms:W3CDTF">2024-07-10T16:49:00Z</dcterms:created>
  <dcterms:modified xsi:type="dcterms:W3CDTF">2024-07-14T17:28:00Z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