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240" w:after="283"/>
        <w:jc w:val="left"/>
      </w:pPr>
      <w:r>
        <w:t>Plot Forge 功能说明与使用指南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更新日期：2026 年 10 月 21 日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Plot Forge 是面向 Python 科研绘图的本地工作台。它把工程准备、绘图代码、数据预览、自然语言改图、候选审阅和版本管理集</w:t>
      </w:r>
      <w:bookmarkStart w:id="0" w:name="_GoBack"/>
      <w:bookmarkEnd w:id="0"/>
      <w:r>
        <w:t>中在一个界面中。核心工作方式是：先准备可独立绘制的工程，再通过对话生成候选图，最后由用户确认应用。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本说明对应当前工程版本。应用在本机运行，不代表所选模型也在本机运行；云端模型会接收本次请求所需的资料。</w:t>
      </w:r>
    </w:p>
    <w:p>
      <w:pPr>
        <w:pStyle w:val="5"/>
        <w:bidi w:val="0"/>
        <w:jc w:val="left"/>
      </w:pPr>
      <w:r>
        <w:t>1 快速开始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 xml:space="preserve">当前开发环境入口为 </w:t>
      </w:r>
      <w:r>
        <w:fldChar w:fldCharType="begin"/>
      </w:r>
      <w:r>
        <w:instrText xml:space="preserve"> HYPERLINK "http://127.0.0.1:8767/" \h </w:instrText>
      </w:r>
      <w:r>
        <w:fldChar w:fldCharType="separate"/>
      </w:r>
      <w:r>
        <w:rPr>
          <w:rStyle w:val="13"/>
        </w:rPr>
        <w:t>http://127.0.0.1:8767/</w:t>
      </w:r>
      <w:r>
        <w:rPr>
          <w:rStyle w:val="13"/>
        </w:rPr>
        <w:fldChar w:fldCharType="end"/>
      </w:r>
      <w:r>
        <w:t>，其他部署以启动器显示的地址为准。</w:t>
      </w:r>
    </w:p>
    <w:p>
      <w:pPr>
        <w:pStyle w:val="4"/>
        <w:numPr>
          <w:ilvl w:val="0"/>
          <w:numId w:val="1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打开顶部“API 配置”，选择 API Key 或 ChatGPT 订阅连接，保存配置并测试。 </w:t>
      </w:r>
    </w:p>
    <w:p>
      <w:pPr>
        <w:pStyle w:val="4"/>
        <w:numPr>
          <w:ilvl w:val="0"/>
          <w:numId w:val="1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打开“标准化已有目录”。已有准备完成的工程，选择“打开已拆分工程”；新目录选择“新建 / 继续拆分”。 </w:t>
      </w:r>
    </w:p>
    <w:p>
      <w:pPr>
        <w:pStyle w:val="4"/>
        <w:numPr>
          <w:ilvl w:val="0"/>
          <w:numId w:val="1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新工程先检查文件清单，建立本机副本，再按识别结果完成拆分和验证。未完成准备的副本不会作为已拆分工程直接打开。 </w:t>
      </w:r>
    </w:p>
    <w:p>
      <w:pPr>
        <w:pStyle w:val="4"/>
        <w:numPr>
          <w:ilvl w:val="0"/>
          <w:numId w:val="1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在中央图集中选择一张图，在右侧输入修改要求。 </w:t>
      </w:r>
    </w:p>
    <w:p>
      <w:pPr>
        <w:pStyle w:val="4"/>
        <w:numPr>
          <w:ilvl w:val="0"/>
          <w:numId w:val="1"/>
        </w:numPr>
        <w:tabs>
          <w:tab w:val="left" w:pos="847"/>
        </w:tabs>
        <w:bidi w:val="0"/>
        <w:ind w:left="847" w:right="140" w:hanging="283"/>
        <w:jc w:val="left"/>
      </w:pPr>
      <w:r>
        <w:t xml:space="preserve">查看候选图片、修改说明和警告；满意后点击“应用此版”，正式图才会更新。 </w:t>
      </w:r>
    </w:p>
    <w:p>
      <w:pPr>
        <w:pStyle w:val="5"/>
        <w:bidi w:val="0"/>
        <w:jc w:val="left"/>
      </w:pPr>
      <w:r>
        <w:t>2 工作台布局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drawing>
          <wp:inline distT="0" distB="0" distL="0" distR="0">
            <wp:extent cx="5905500" cy="2895600"/>
            <wp:effectExtent l="0" t="0" r="0" b="0"/>
            <wp:docPr id="1" name="Image1" title="工作台三区布局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工作台三区布局示意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图 1 工作台布局示意，非实际界面截图；示例折线不代表科研数据。</w:t>
      </w:r>
    </w:p>
    <w:p>
      <w:pPr>
        <w:pStyle w:val="4"/>
        <w:numPr>
          <w:ilvl w:val="0"/>
          <w:numId w:val="2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左侧项目资源：浏览工程和绘图入口，新建工程、上传代码与数据、管理标准化 Skill。 </w:t>
      </w:r>
    </w:p>
    <w:p>
      <w:pPr>
        <w:pStyle w:val="4"/>
        <w:numPr>
          <w:ilvl w:val="0"/>
          <w:numId w:val="2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中央工作区：项目图集、绘图代码、CSV 数据预览，以及重新渲染和导出入口。 </w:t>
      </w:r>
    </w:p>
    <w:p>
      <w:pPr>
        <w:pStyle w:val="4"/>
        <w:numPr>
          <w:ilvl w:val="0"/>
          <w:numId w:val="2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右侧对话区：选定改图目标、配置只读参照图、输入要求、查看候选、管理会话。 </w:t>
      </w:r>
    </w:p>
    <w:p>
      <w:pPr>
        <w:pStyle w:val="4"/>
        <w:numPr>
          <w:ilvl w:val="0"/>
          <w:numId w:val="2"/>
        </w:numPr>
        <w:tabs>
          <w:tab w:val="left" w:pos="847"/>
        </w:tabs>
        <w:bidi w:val="0"/>
        <w:ind w:left="847" w:right="140" w:hanging="283"/>
        <w:jc w:val="left"/>
      </w:pPr>
      <w:r>
        <w:t xml:space="preserve">顶部工具栏：模型配置、团队协作、明暗主题和运行状态。 </w:t>
      </w:r>
    </w:p>
    <w:p>
      <w:pPr>
        <w:pStyle w:val="4"/>
        <w:bidi w:val="0"/>
        <w:jc w:val="left"/>
      </w:pPr>
      <w:r>
        <w:t>图集按需加载图片，并复用预览缓存。切换工程会取消旧的前端图片请求，避免阻塞新图；读取失败后可重试。取消浏览器图片请求不等于立即终止后台已经开始的渲染。</w:t>
      </w:r>
    </w:p>
    <w:p>
      <w:pPr>
        <w:pStyle w:val="5"/>
        <w:bidi w:val="0"/>
        <w:jc w:val="left"/>
      </w:pPr>
      <w:r>
        <w:t>3 工程导入与代码拆分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drawing>
          <wp:inline distT="0" distB="0" distL="0" distR="0">
            <wp:extent cx="5905500" cy="2676525"/>
            <wp:effectExtent l="0" t="0" r="0" b="0"/>
            <wp:docPr id="2" name="Image2" title="工程准备和拆分路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工程准备和拆分路径示意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图 2 已拆分工程直接打开，新工程依据识别结果选择准备路径。</w:t>
      </w:r>
    </w:p>
    <w:p>
      <w:pPr>
        <w:pStyle w:val="6"/>
        <w:bidi w:val="0"/>
        <w:jc w:val="left"/>
      </w:pPr>
      <w:r>
        <w:t>已拆分工程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准备完成的本机工程可直接打开，不需要每次重新分析或发送全部源码。兼容的标准工程备份解压后，也可恢复为可改图工程；运行绘图代码前仍需审阅和授权。</w:t>
      </w:r>
    </w:p>
    <w:p>
      <w:pPr>
        <w:pStyle w:val="6"/>
        <w:bidi w:val="0"/>
        <w:jc w:val="left"/>
      </w:pPr>
      <w:r>
        <w:t>新建工程与整文件夹拆分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可以选择本机 Python 工程目录，也可以从界面上传支持的代码和数据。目录检查本身不运行原始分析；应用只复制支持的文件，跳过隐藏目录、符号链接和疑似凭据文件，因此本机工作副本不等于原工程的完整灾备。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大型目录支持整工程规划和分批提取：</w:t>
      </w:r>
    </w:p>
    <w:p>
      <w:pPr>
        <w:pStyle w:val="4"/>
        <w:numPr>
          <w:ilvl w:val="0"/>
          <w:numId w:val="3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本机扫描目标源码、可识别的本地依赖及文件覆盖范围。 </w:t>
      </w:r>
    </w:p>
    <w:p>
      <w:pPr>
        <w:pStyle w:val="4"/>
        <w:numPr>
          <w:ilvl w:val="0"/>
          <w:numId w:val="3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展示批次和拟发送范围，经用户确认后逐批请求模型。 </w:t>
      </w:r>
    </w:p>
    <w:p>
      <w:pPr>
        <w:pStyle w:val="4"/>
        <w:numPr>
          <w:ilvl w:val="0"/>
          <w:numId w:val="3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显示批次分析进度、处理状态和需解决的问题。 </w:t>
      </w:r>
    </w:p>
    <w:p>
      <w:pPr>
        <w:pStyle w:val="4"/>
        <w:numPr>
          <w:ilvl w:val="0"/>
          <w:numId w:val="3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下载提取方案，审阅生成的导出与绘图程序。 </w:t>
      </w:r>
    </w:p>
    <w:p>
      <w:pPr>
        <w:pStyle w:val="4"/>
        <w:numPr>
          <w:ilvl w:val="0"/>
          <w:numId w:val="3"/>
        </w:numPr>
        <w:tabs>
          <w:tab w:val="left" w:pos="847"/>
        </w:tabs>
        <w:bidi w:val="0"/>
        <w:ind w:left="847" w:right="140" w:hanging="283"/>
        <w:jc w:val="left"/>
      </w:pPr>
      <w:r>
        <w:t xml:space="preserve">按方案在原分析环境中导出绘图数据，再在应用中验证、汇总。 </w:t>
      </w:r>
    </w:p>
    <w:p>
      <w:pPr>
        <w:pStyle w:val="4"/>
        <w:bidi w:val="0"/>
        <w:jc w:val="left"/>
      </w:pPr>
      <w:r>
        <w:t>单次分析源码上限为 180,000 字符，不会通过静默截断依赖来绕过上限。动态依赖、超限或没有独立图表的批次可能需要人工处理。模型分析返回不等于拆分成功，全部必要验证通过后才可进入改图。</w:t>
      </w:r>
    </w:p>
    <w:p>
      <w:pPr>
        <w:pStyle w:val="6"/>
        <w:bidi w:val="0"/>
        <w:jc w:val="left"/>
      </w:pPr>
      <w:r>
        <w:t>工程管理与备份</w:t>
      </w:r>
    </w:p>
    <w:p>
      <w:pPr>
        <w:pStyle w:val="4"/>
        <w:numPr>
          <w:ilvl w:val="0"/>
          <w:numId w:val="4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可修改工程显示名称，继续未完成的准备流程。 </w:t>
      </w:r>
    </w:p>
    <w:p>
      <w:pPr>
        <w:pStyle w:val="4"/>
        <w:numPr>
          <w:ilvl w:val="0"/>
          <w:numId w:val="4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准备完成后可下载标准工程 ZIP，以便迁移和恢复代码、数据及支持的工程资产。 </w:t>
      </w:r>
    </w:p>
    <w:p>
      <w:pPr>
        <w:pStyle w:val="4"/>
        <w:numPr>
          <w:ilvl w:val="0"/>
          <w:numId w:val="4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删除工程前需要核对范围并输入完整工程名称；删除的是应用中的工作副本，不删除原始目录或已下载的备份。 </w:t>
      </w:r>
    </w:p>
    <w:p>
      <w:pPr>
        <w:pStyle w:val="4"/>
        <w:numPr>
          <w:ilvl w:val="0"/>
          <w:numId w:val="4"/>
        </w:numPr>
        <w:tabs>
          <w:tab w:val="left" w:pos="847"/>
        </w:tabs>
        <w:bidi w:val="0"/>
        <w:ind w:left="847" w:right="140" w:hanging="283"/>
        <w:jc w:val="left"/>
      </w:pPr>
      <w:r>
        <w:t xml:space="preserve">工程副本的删除不可撤销，和下文“会话删除移入回收目录”不同。 </w:t>
      </w:r>
    </w:p>
    <w:p>
      <w:pPr>
        <w:pStyle w:val="4"/>
        <w:bidi w:val="0"/>
        <w:jc w:val="left"/>
      </w:pPr>
      <w:r>
        <w:t xml:space="preserve">标准备份会排除隐藏目录，因此不包含 </w:t>
      </w:r>
      <w:r>
        <w:rPr>
          <w:rStyle w:val="17"/>
        </w:rPr>
        <w:t>.chat</w:t>
      </w:r>
      <w:r>
        <w:t xml:space="preserve"> 中的对话会话、未应用候选和会话回收目录，也不包含模型登录凭据。需要保存这些本机记录时，应另外安全备份工作目录中的对应内容，不要将其上传到公共仓库。</w:t>
      </w:r>
    </w:p>
    <w:p>
      <w:pPr>
        <w:pStyle w:val="5"/>
        <w:bidi w:val="0"/>
        <w:jc w:val="left"/>
      </w:pPr>
      <w:r>
        <w:t>4 模型连接</w:t>
      </w:r>
    </w:p>
    <w:tbl>
      <w:tblPr>
        <w:tblStyle w:val="8"/>
        <w:tblW w:w="9300" w:type="dxa"/>
        <w:tblInd w:w="28" w:type="dxa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7"/>
        <w:gridCol w:w="3571"/>
        <w:gridCol w:w="3992"/>
      </w:tblGrid>
      <w:tr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737" w:type="dxa"/>
            <w:vAlign w:val="center"/>
          </w:tcPr>
          <w:p>
            <w:pPr>
              <w:pStyle w:val="24"/>
              <w:suppressLineNumbers/>
              <w:shd w:val="clear" w:fill="EDF3F7"/>
              <w:bidi w:val="0"/>
              <w:spacing w:before="140" w:after="140"/>
              <w:jc w:val="left"/>
            </w:pPr>
            <w:r>
              <w:t>连接方式</w:t>
            </w:r>
          </w:p>
        </w:tc>
        <w:tc>
          <w:tcPr>
            <w:tcW w:w="3571" w:type="dxa"/>
            <w:vAlign w:val="center"/>
          </w:tcPr>
          <w:p>
            <w:pPr>
              <w:pStyle w:val="24"/>
              <w:suppressLineNumbers/>
              <w:shd w:val="clear" w:fill="EDF3F7"/>
              <w:bidi w:val="0"/>
              <w:spacing w:before="140" w:after="140"/>
              <w:jc w:val="left"/>
            </w:pPr>
            <w:r>
              <w:t>配置内容</w:t>
            </w:r>
          </w:p>
        </w:tc>
        <w:tc>
          <w:tcPr>
            <w:tcW w:w="3992" w:type="dxa"/>
            <w:vAlign w:val="center"/>
          </w:tcPr>
          <w:p>
            <w:pPr>
              <w:pStyle w:val="24"/>
              <w:suppressLineNumbers/>
              <w:shd w:val="clear" w:fill="EDF3F7"/>
              <w:bidi w:val="0"/>
              <w:spacing w:before="140" w:after="140"/>
              <w:jc w:val="left"/>
            </w:pPr>
            <w:r>
              <w:t>主要边界</w:t>
            </w:r>
          </w:p>
        </w:tc>
      </w:tr>
      <w:tr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37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本地或内网 API</w:t>
            </w:r>
          </w:p>
        </w:tc>
        <w:tc>
          <w:tcPr>
            <w:tcW w:w="3571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完整 Chat Completions 地址、模型名称、对应 Key</w:t>
            </w:r>
          </w:p>
        </w:tc>
        <w:tc>
          <w:tcPr>
            <w:tcW w:w="3992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资料发送给该地址；只有模型服务确实在本机时，才属于本机推理</w:t>
            </w:r>
          </w:p>
        </w:tc>
      </w:tr>
      <w:tr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37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硅基流动或自定义 API</w:t>
            </w:r>
          </w:p>
        </w:tc>
        <w:tc>
          <w:tcPr>
            <w:tcW w:w="3571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选择预设或填写完整兼容接口地址</w:t>
            </w:r>
          </w:p>
        </w:tc>
        <w:tc>
          <w:tcPr>
            <w:tcW w:w="3992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使用该服务的账户、网络和计费规则</w:t>
            </w:r>
          </w:p>
        </w:tc>
      </w:tr>
      <w:tr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737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ChatGPT 订阅</w:t>
            </w:r>
          </w:p>
        </w:tc>
        <w:tc>
          <w:tcPr>
            <w:tcW w:w="3571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官方登录、读取账户可用模型、单独确认代码发送权限</w:t>
            </w:r>
          </w:p>
        </w:tc>
        <w:tc>
          <w:tcPr>
            <w:tcW w:w="3992" w:type="dxa"/>
            <w:vAlign w:val="center"/>
          </w:tcPr>
          <w:p>
            <w:pPr>
              <w:pStyle w:val="21"/>
              <w:bidi w:val="0"/>
              <w:spacing w:before="140" w:after="140"/>
              <w:jc w:val="left"/>
            </w:pPr>
            <w:r>
              <w:t>是否可调用及额度限制取决于账户实际获准的权限</w:t>
            </w:r>
          </w:p>
        </w:tc>
      </w:tr>
    </w:tbl>
    <w:p>
      <w:pPr>
        <w:pStyle w:val="4"/>
        <w:bidi w:val="0"/>
        <w:spacing w:before="140" w:after="140"/>
        <w:ind w:left="140" w:right="140" w:firstLine="0"/>
        <w:jc w:val="left"/>
      </w:pPr>
      <w:r>
        <w:t>API Key 方式支持本地 / 内网、硅基流动和自定义地址。请求按用户明确选择的地址发送，不通过 Key 格式猜测服务商。变更 API 地址时必须重新输入目标服务的 Key，防止旧密钥误发。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ChatGPT 路径使用官方 OAuth 登录，不要求在 Plot Forge 中输入 ChatGPT 密码或浏览器 Cookie。后台检查订阅使用授权，再携带 OAuth 令牌请求 Responses 接口；仅登录成功不代表订阅额度已获准。订阅调用失败不会自动切换为付费 API Key。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密钥和登录凭据优先存入系统凭据库；不可用时仅在后台内存中保存。界面不回显密钥。连接测试只发送简短测试语句，不等于真实改图任务已经验收通过。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可设置最大输出 token，并选择是否发送当前图及参照图给支持视觉输入的模型。当前应用不提供精确的 ChatGPT 剩余额度统计。</w:t>
      </w:r>
    </w:p>
    <w:p>
      <w:pPr>
        <w:pStyle w:val="5"/>
        <w:bidi w:val="0"/>
        <w:jc w:val="left"/>
      </w:pPr>
      <w:r>
        <w:t>5 对话改图</w:t>
      </w:r>
    </w:p>
    <w:p>
      <w:pPr>
        <w:pStyle w:val="6"/>
        <w:bidi w:val="0"/>
        <w:jc w:val="left"/>
      </w:pPr>
      <w:r>
        <w:t>支持的交互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可以提出配色、线宽、标记、字体、坐标轴、图例、布局和图形类型等修改，也可以要求解释当前代码、讨论修改方案或进行普通问答。能否实现具体修改取决于源代码、数据和可编辑元素，不是任意图片编辑器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示例：</w:t>
      </w:r>
    </w:p>
    <w:p>
      <w:pPr>
        <w:pStyle w:val="4"/>
        <w:numPr>
          <w:ilvl w:val="0"/>
          <w:numId w:val="5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“将图 c 改为散点图，保留所有坐标数据。” </w:t>
      </w:r>
    </w:p>
    <w:p>
      <w:pPr>
        <w:pStyle w:val="4"/>
        <w:numPr>
          <w:ilvl w:val="0"/>
          <w:numId w:val="5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“横纵坐标轴加粗，其余保持不变。” </w:t>
      </w:r>
    </w:p>
    <w:p>
      <w:pPr>
        <w:pStyle w:val="4"/>
        <w:numPr>
          <w:ilvl w:val="0"/>
          <w:numId w:val="5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“图例稍微向左移动，字体大小不变。” </w:t>
      </w:r>
    </w:p>
    <w:p>
      <w:pPr>
        <w:pStyle w:val="4"/>
        <w:numPr>
          <w:ilvl w:val="0"/>
          <w:numId w:val="5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“参考图 A 的配色，但不要修改图 A。” </w:t>
      </w:r>
    </w:p>
    <w:p>
      <w:pPr>
        <w:pStyle w:val="4"/>
        <w:numPr>
          <w:ilvl w:val="0"/>
          <w:numId w:val="5"/>
        </w:numPr>
        <w:tabs>
          <w:tab w:val="left" w:pos="847"/>
        </w:tabs>
        <w:bidi w:val="0"/>
        <w:ind w:left="847" w:right="140" w:hanging="283"/>
        <w:jc w:val="left"/>
      </w:pPr>
      <w:r>
        <w:t xml:space="preserve">“解释当前绘图代码，不要修改文件。” </w:t>
      </w:r>
    </w:p>
    <w:p>
      <w:pPr>
        <w:pStyle w:val="4"/>
        <w:bidi w:val="0"/>
        <w:jc w:val="left"/>
      </w:pPr>
      <w:r>
        <w:t>一句话同时包含问题和修改时，系统会尝试回答并处理修改。缺少原始样本时不能从均值和误差凭空生成箱线图或小提琴图；嵌入式栅格也不一定具备可独立编辑的图中元素。</w:t>
      </w:r>
    </w:p>
    <w:p>
      <w:pPr>
        <w:pStyle w:val="6"/>
        <w:bidi w:val="0"/>
        <w:jc w:val="left"/>
      </w:pPr>
      <w:r>
        <w:t>一次修改的流程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drawing>
          <wp:inline distT="0" distB="0" distL="0" distR="0">
            <wp:extent cx="5905500" cy="2647950"/>
            <wp:effectExtent l="0" t="0" r="0" b="0"/>
            <wp:docPr id="3" name="Image3" title="对话改图及人工应用流程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对话改图及人工应用流程示意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图 3 模型只提出修改，本机绘图验证，用户决定是否应用。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输入要求 → 确认选定 fig 和修改起点 → 准备代码与必要资料 → 模型返回代码补丁 → 本机绘制原版和候选 → 数据及画面检查 → 展示候选 → 用户确认应用。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修改起点可以是当前正式版，也可以是允许继续修改的历史候选。参照图只读，提到另一张图不会自动改变界面选定的修改目标。多图选择会按各图分别处理，不代表一次请求可以任意改动整个工程。</w:t>
      </w:r>
    </w:p>
    <w:p>
      <w:pPr>
        <w:pStyle w:val="6"/>
        <w:bidi w:val="0"/>
        <w:jc w:val="left"/>
      </w:pPr>
      <w:r>
        <w:t>预览优先与部分结果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明确的视觉要求允许采用合理默认值，不强制用户给出精确像素、间距或线宽。可独立完成的部分可以先生成候选，并显示“部分完成”、未完成项和原因。不会将部分结果描述为全部完成。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布局或字体效果存在问题时，可能显示带警告的诊断图，允许继续修复；这不代表所有检查通过。部分候选需要补充确认或明确接受所列布局冲突后才能应用。数据完整性、修改范围等保护不能通过接受布局警告解除。</w:t>
      </w:r>
    </w:p>
    <w:p>
      <w:pPr>
        <w:pStyle w:val="6"/>
        <w:bidi w:val="0"/>
        <w:jc w:val="left"/>
      </w:pPr>
      <w:r>
        <w:t>验证与正式版本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平台检查允许修改的文件、依赖版本、只读输入、可观察的数据变化，以及部分字体、布局、坐标轴和视觉效果。折线转散点等受支持转换会进行逐点数据核对。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检查不能全面证明科学语义正确、所有重叠均被发现或模型完整理解了要求。正式应用前仍需人工核对。未应用的候选不会替换中央图集中的正式图。</w:t>
      </w:r>
    </w:p>
    <w:p>
      <w:pPr>
        <w:pStyle w:val="6"/>
        <w:bidi w:val="0"/>
        <w:jc w:val="left"/>
      </w:pPr>
      <w:r>
        <w:t>等待与停止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对话会显示“准备图表资料”“等待模型生成代码”“渲染并检查候选图”等阶段及等待时间。等待模型与本机渲染是不同耗时来源，复杂图可能仍需较长时间。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点击“停止本轮”可发出取消信号，终止本轮绘图子进程并阻止迟到模型结果进入候选。已应用版本保留。已发送到云端的请求不保证立即停止计算，已经产生的用量无法撤销。</w:t>
      </w:r>
    </w:p>
    <w:p>
      <w:pPr>
        <w:pStyle w:val="5"/>
        <w:bidi w:val="0"/>
        <w:jc w:val="left"/>
      </w:pPr>
      <w:r>
        <w:t>6 会话与版本管理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对话自动保存在本机，可输入名称点击“保存会话”，之后从当前目标的会话列表重新打开。会话包含对话、候选和继续修改所需的关联记录，并非 ChatGPT 网站中的聊天记录。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 xml:space="preserve">删除会话需要确认，会将所选会话目录移入工程下的 </w:t>
      </w:r>
      <w:r>
        <w:rPr>
          <w:rStyle w:val="17"/>
        </w:rPr>
        <w:t>.chat/deleted_sessions/</w:t>
      </w:r>
      <w:r>
        <w:t>，不删除正式图表、代码或原始数据。目前没有界面一键恢复入口，恢复需由维护者处理。运行中的会话须先停止并等待结束，才能保存或删除。</w:t>
      </w:r>
    </w:p>
    <w:p>
      <w:pPr>
        <w:pStyle w:val="4"/>
        <w:bidi w:val="0"/>
        <w:spacing w:before="140" w:after="140"/>
        <w:ind w:left="140" w:right="140" w:firstLine="0"/>
        <w:jc w:val="left"/>
      </w:pPr>
      <w:r>
        <w:t>图表还支持查看修改历史和恢复保留的历史代码。旧版本并非永久保留所有代码；界面提供“修改完成，清理旧历史”，使用前应确认不再需要旧候选和版本，重要结果先备份。</w:t>
      </w:r>
    </w:p>
    <w:p>
      <w:pPr>
        <w:pStyle w:val="5"/>
        <w:bidi w:val="0"/>
        <w:jc w:val="left"/>
      </w:pPr>
      <w:r>
        <w:t>7 标准化和其他编辑入口</w:t>
      </w:r>
    </w:p>
    <w:p>
      <w:pPr>
        <w:pStyle w:val="4"/>
        <w:numPr>
          <w:ilvl w:val="0"/>
          <w:numId w:val="6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标准化 Skill：查看、上传或删除支持的绘图规范，并对选定图表执行批量标准化。 </w:t>
      </w:r>
    </w:p>
    <w:p>
      <w:pPr>
        <w:pStyle w:val="4"/>
        <w:numPr>
          <w:ilvl w:val="0"/>
          <w:numId w:val="6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代码编辑：查看当前 Python 绘图代码，手动修改后验证保存。 </w:t>
      </w:r>
    </w:p>
    <w:p>
      <w:pPr>
        <w:pStyle w:val="4"/>
        <w:numPr>
          <w:ilvl w:val="0"/>
          <w:numId w:val="6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数据预览：查看 CSV 等支持数据的字段和部分行，不是完整数据分析工作台。 </w:t>
      </w:r>
    </w:p>
    <w:p>
      <w:pPr>
        <w:pStyle w:val="4"/>
        <w:numPr>
          <w:ilvl w:val="0"/>
          <w:numId w:val="6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共享模块编辑：对支持的共用绘图模块生成修改建议，按代表图或影响范围验证候选，审阅后应用。 </w:t>
      </w:r>
    </w:p>
    <w:p>
      <w:pPr>
        <w:pStyle w:val="4"/>
        <w:numPr>
          <w:ilvl w:val="0"/>
          <w:numId w:val="6"/>
        </w:numPr>
        <w:tabs>
          <w:tab w:val="left" w:pos="847"/>
        </w:tabs>
        <w:bidi w:val="0"/>
        <w:spacing w:before="140" w:after="0"/>
        <w:ind w:left="847" w:right="140" w:hanging="283"/>
        <w:jc w:val="left"/>
      </w:pPr>
      <w:r>
        <w:t xml:space="preserve">Bundle 导入：支持界面中列出的 Border / Group Plot Bundle，浏览器上传或从本机目录导入；导入不等于向团队发布。 </w:t>
      </w:r>
    </w:p>
    <w:p>
      <w:pPr>
        <w:pStyle w:val="4"/>
        <w:numPr>
          <w:ilvl w:val="0"/>
          <w:numId w:val="6"/>
        </w:numPr>
        <w:tabs>
          <w:tab w:val="left" w:pos="847"/>
        </w:tabs>
        <w:bidi w:val="0"/>
        <w:ind w:left="847" w:right="140" w:hanging="283"/>
        <w:jc w:val="left"/>
      </w:pPr>
      <w:r>
        <w:t xml:space="preserve">图片导出：支持路径提供相应导出入口；当前提取契约和原生适配工程主要输出 PNG，SVG / PDF 需相应绘图路径支持，不能保证所有工程可导出矢量格式。 </w:t>
      </w:r>
    </w:p>
    <w:p>
      <w:pPr>
        <w:pStyle w:val="4"/>
        <w:bidi w:val="0"/>
        <w:spacing w:before="140" w:after="140"/>
        <w:ind w:right="140"/>
        <w:jc w:val="left"/>
      </w:pPr>
    </w:p>
    <w:sectPr>
      <w:pgSz w:w="11906" w:h="16838"/>
      <w:pgMar w:top="1077" w:right="964" w:bottom="1077" w:left="964" w:header="0" w:footer="0" w:gutter="0"/>
      <w:pgNumType w:fmt="decimal"/>
      <w:cols w:space="720" w:num="1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libaba PuHuiTi 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libaba PuHuiTi 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iberation Sans Unicode MS">
    <w:altName w:val="Gubb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Noto Sans Mono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00000001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Symbol">
    <w:altName w:val="Gubbi"/>
    <w:panose1 w:val="00000000000000000000"/>
    <w:charset w:val="02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E4AD9"/>
    <w:multiLevelType w:val="multilevel"/>
    <w:tmpl w:val="9F6E4AD9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1">
    <w:nsid w:val="DFE2FABD"/>
    <w:multiLevelType w:val="multilevel"/>
    <w:tmpl w:val="DFE2FABD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2">
    <w:nsid w:val="F67C9BE2"/>
    <w:multiLevelType w:val="multilevel"/>
    <w:tmpl w:val="F67C9BE2"/>
    <w:lvl w:ilvl="0" w:tentative="0">
      <w:start w:val="1"/>
      <w:numFmt w:val="decimal"/>
      <w:lvlText w:val="%1."/>
      <w:lvlJc w:val="left"/>
      <w:pPr>
        <w:tabs>
          <w:tab w:val="left" w:pos="707"/>
        </w:tabs>
        <w:ind w:left="707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4"/>
        </w:tabs>
        <w:ind w:left="1414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1"/>
        </w:tabs>
        <w:ind w:left="2121" w:hanging="283"/>
      </w:pPr>
    </w:lvl>
    <w:lvl w:ilvl="3" w:tentative="0">
      <w:start w:val="1"/>
      <w:numFmt w:val="decimal"/>
      <w:lvlText w:val="%4."/>
      <w:lvlJc w:val="left"/>
      <w:pPr>
        <w:tabs>
          <w:tab w:val="left" w:pos="2828"/>
        </w:tabs>
        <w:ind w:left="2828" w:hanging="283"/>
      </w:pPr>
    </w:lvl>
    <w:lvl w:ilvl="4" w:tentative="0">
      <w:start w:val="1"/>
      <w:numFmt w:val="decimal"/>
      <w:lvlText w:val="%5."/>
      <w:lvlJc w:val="left"/>
      <w:pPr>
        <w:tabs>
          <w:tab w:val="left" w:pos="3535"/>
        </w:tabs>
        <w:ind w:left="353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42"/>
        </w:tabs>
        <w:ind w:left="4242" w:hanging="283"/>
      </w:pPr>
    </w:lvl>
    <w:lvl w:ilvl="6" w:tentative="0">
      <w:start w:val="1"/>
      <w:numFmt w:val="decimal"/>
      <w:lvlText w:val="%7."/>
      <w:lvlJc w:val="left"/>
      <w:pPr>
        <w:tabs>
          <w:tab w:val="left" w:pos="4949"/>
        </w:tabs>
        <w:ind w:left="4949" w:hanging="283"/>
      </w:pPr>
    </w:lvl>
    <w:lvl w:ilvl="7" w:tentative="0">
      <w:start w:val="1"/>
      <w:numFmt w:val="decimal"/>
      <w:lvlText w:val="%8."/>
      <w:lvlJc w:val="left"/>
      <w:pPr>
        <w:tabs>
          <w:tab w:val="left" w:pos="5656"/>
        </w:tabs>
        <w:ind w:left="5656" w:hanging="283"/>
      </w:pPr>
    </w:lvl>
    <w:lvl w:ilvl="8" w:tentative="0">
      <w:start w:val="1"/>
      <w:numFmt w:val="decimal"/>
      <w:lvlText w:val="%9."/>
      <w:lvlJc w:val="left"/>
      <w:pPr>
        <w:tabs>
          <w:tab w:val="left" w:pos="6363"/>
        </w:tabs>
        <w:ind w:left="6363" w:hanging="283"/>
      </w:pPr>
    </w:lvl>
  </w:abstractNum>
  <w:abstractNum w:abstractNumId="3">
    <w:nsid w:val="F7FF5232"/>
    <w:multiLevelType w:val="multilevel"/>
    <w:tmpl w:val="F7FF5232"/>
    <w:lvl w:ilvl="0" w:tentative="0">
      <w:start w:val="1"/>
      <w:numFmt w:val="decimal"/>
      <w:lvlText w:val="%1."/>
      <w:lvlJc w:val="left"/>
      <w:pPr>
        <w:tabs>
          <w:tab w:val="left" w:pos="707"/>
        </w:tabs>
        <w:ind w:left="707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4"/>
        </w:tabs>
        <w:ind w:left="1414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1"/>
        </w:tabs>
        <w:ind w:left="2121" w:hanging="283"/>
      </w:pPr>
    </w:lvl>
    <w:lvl w:ilvl="3" w:tentative="0">
      <w:start w:val="1"/>
      <w:numFmt w:val="decimal"/>
      <w:lvlText w:val="%4."/>
      <w:lvlJc w:val="left"/>
      <w:pPr>
        <w:tabs>
          <w:tab w:val="left" w:pos="2828"/>
        </w:tabs>
        <w:ind w:left="2828" w:hanging="283"/>
      </w:pPr>
    </w:lvl>
    <w:lvl w:ilvl="4" w:tentative="0">
      <w:start w:val="1"/>
      <w:numFmt w:val="decimal"/>
      <w:lvlText w:val="%5."/>
      <w:lvlJc w:val="left"/>
      <w:pPr>
        <w:tabs>
          <w:tab w:val="left" w:pos="3535"/>
        </w:tabs>
        <w:ind w:left="353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42"/>
        </w:tabs>
        <w:ind w:left="4242" w:hanging="283"/>
      </w:pPr>
    </w:lvl>
    <w:lvl w:ilvl="6" w:tentative="0">
      <w:start w:val="1"/>
      <w:numFmt w:val="decimal"/>
      <w:lvlText w:val="%7."/>
      <w:lvlJc w:val="left"/>
      <w:pPr>
        <w:tabs>
          <w:tab w:val="left" w:pos="4949"/>
        </w:tabs>
        <w:ind w:left="4949" w:hanging="283"/>
      </w:pPr>
    </w:lvl>
    <w:lvl w:ilvl="7" w:tentative="0">
      <w:start w:val="1"/>
      <w:numFmt w:val="decimal"/>
      <w:lvlText w:val="%8."/>
      <w:lvlJc w:val="left"/>
      <w:pPr>
        <w:tabs>
          <w:tab w:val="left" w:pos="5656"/>
        </w:tabs>
        <w:ind w:left="5656" w:hanging="283"/>
      </w:pPr>
    </w:lvl>
    <w:lvl w:ilvl="8" w:tentative="0">
      <w:start w:val="1"/>
      <w:numFmt w:val="decimal"/>
      <w:lvlText w:val="%9."/>
      <w:lvlJc w:val="left"/>
      <w:pPr>
        <w:tabs>
          <w:tab w:val="left" w:pos="6363"/>
        </w:tabs>
        <w:ind w:left="6363" w:hanging="283"/>
      </w:pPr>
    </w:lvl>
  </w:abstractNum>
  <w:abstractNum w:abstractNumId="4">
    <w:nsid w:val="FB27A01A"/>
    <w:multiLevelType w:val="multilevel"/>
    <w:tmpl w:val="FB27A01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abstractNum w:abstractNumId="5">
    <w:nsid w:val="FEF96651"/>
    <w:multiLevelType w:val="multilevel"/>
    <w:tmpl w:val="FEF96651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Symbol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80"/>
  <w:documentProtection w:enforcement="0"/>
  <w:defaultTabStop w:val="1134"/>
  <w:autoHyphenation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FEEF92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360" w:lineRule="auto"/>
    </w:pPr>
    <w:rPr>
      <w:rFonts w:ascii="Noto Sans CJK SC" w:hAnsi="Noto Sans CJK SC" w:eastAsia="Noto Sans CJK SC" w:cs="Noto Sans CJK SC"/>
      <w:color w:val="202C39"/>
      <w:sz w:val="20"/>
      <w:szCs w:val="20"/>
      <w:lang w:val="en-US" w:eastAsia="zh-CN" w:bidi="hi-IN"/>
    </w:rPr>
  </w:style>
  <w:style w:type="paragraph" w:styleId="2">
    <w:name w:val="heading 1"/>
    <w:basedOn w:val="3"/>
    <w:next w:val="4"/>
    <w:qFormat/>
    <w:uiPriority w:val="0"/>
    <w:rPr>
      <w:rFonts w:ascii="Liberation Sans Unicode MS" w:hAnsi="Liberation Sans Unicode MS"/>
      <w:b/>
      <w:bCs/>
      <w:color w:val="153D57"/>
      <w:sz w:val="46"/>
      <w:szCs w:val="46"/>
    </w:rPr>
  </w:style>
  <w:style w:type="paragraph" w:styleId="5">
    <w:name w:val="heading 2"/>
    <w:basedOn w:val="3"/>
    <w:next w:val="4"/>
    <w:qFormat/>
    <w:uiPriority w:val="0"/>
    <w:pPr>
      <w:keepNext/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53D57"/>
      <w:sz w:val="30"/>
      <w:szCs w:val="30"/>
    </w:rPr>
  </w:style>
  <w:style w:type="paragraph" w:styleId="6">
    <w:name w:val="heading 3"/>
    <w:basedOn w:val="3"/>
    <w:next w:val="4"/>
    <w:qFormat/>
    <w:uiPriority w:val="0"/>
    <w:pPr>
      <w:keepNext/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140" w:after="140"/>
      <w:ind w:left="140" w:right="140" w:firstLine="0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envelope return"/>
    <w:basedOn w:val="1"/>
    <w:qFormat/>
    <w:uiPriority w:val="0"/>
    <w:rPr>
      <w:i/>
    </w:rPr>
  </w:style>
  <w:style w:type="paragraph" w:styleId="11">
    <w:name w:val="footer"/>
    <w:basedOn w:val="1"/>
    <w:qFormat/>
    <w:uiPriority w:val="0"/>
    <w:pPr>
      <w:suppressLineNumbers/>
      <w:tabs>
        <w:tab w:val="center" w:pos="4818"/>
        <w:tab w:val="right" w:pos="9637"/>
      </w:tabs>
    </w:pPr>
  </w:style>
  <w:style w:type="paragraph" w:styleId="12">
    <w:name w:val="header"/>
    <w:basedOn w:val="1"/>
    <w:qFormat/>
    <w:uiPriority w:val="0"/>
    <w:pPr>
      <w:suppressLineNumbers/>
      <w:tabs>
        <w:tab w:val="center" w:pos="4818"/>
        <w:tab w:val="right" w:pos="9637"/>
      </w:tabs>
    </w:pPr>
  </w:style>
  <w:style w:type="character" w:styleId="13">
    <w:name w:val="Hyperlink"/>
    <w:qFormat/>
    <w:uiPriority w:val="0"/>
    <w:rPr>
      <w:color w:val="000080"/>
      <w:u w:val="single"/>
    </w:rPr>
  </w:style>
  <w:style w:type="paragraph" w:styleId="14">
    <w:name w:val="List"/>
    <w:basedOn w:val="4"/>
    <w:qFormat/>
    <w:uiPriority w:val="0"/>
    <w:rPr>
      <w:rFonts w:cs="Lohit Devanagari"/>
    </w:rPr>
  </w:style>
  <w:style w:type="character" w:customStyle="1" w:styleId="15">
    <w:name w:val="Endnote Characters"/>
    <w:qFormat/>
    <w:uiPriority w:val="0"/>
  </w:style>
  <w:style w:type="character" w:customStyle="1" w:styleId="16">
    <w:name w:val="Footnote Characters"/>
    <w:qFormat/>
    <w:uiPriority w:val="0"/>
  </w:style>
  <w:style w:type="character" w:customStyle="1" w:styleId="17">
    <w:name w:val="Source Text"/>
    <w:qFormat/>
    <w:uiPriority w:val="0"/>
    <w:rPr>
      <w:rFonts w:ascii="Noto Sans Mono CJK SC" w:hAnsi="Noto Sans Mono CJK SC" w:eastAsia="Noto Sans Mono CJK SC" w:cs="Noto Sans Mono CJK SC"/>
      <w:sz w:val="18"/>
      <w:szCs w:val="18"/>
    </w:rPr>
  </w:style>
  <w:style w:type="character" w:customStyle="1" w:styleId="18">
    <w:name w:val="Numbering Symbols"/>
    <w:qFormat/>
    <w:uiPriority w:val="0"/>
  </w:style>
  <w:style w:type="character" w:customStyle="1" w:styleId="19">
    <w:name w:val="Bullets"/>
    <w:qFormat/>
    <w:uiPriority w:val="0"/>
    <w:rPr>
      <w:rFonts w:ascii="OpenSymbol" w:hAnsi="OpenSymbol" w:eastAsia="OpenSymbol" w:cs="OpenSymbol"/>
    </w:rPr>
  </w:style>
  <w:style w:type="paragraph" w:customStyle="1" w:styleId="20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21">
    <w:name w:val="Table Contents"/>
    <w:basedOn w:val="4"/>
    <w:qFormat/>
    <w:uiPriority w:val="0"/>
    <w:pPr>
      <w:jc w:val="left"/>
    </w:pPr>
  </w:style>
  <w:style w:type="paragraph" w:customStyle="1" w:styleId="22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3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4">
    <w:name w:val="Table Heading"/>
    <w:basedOn w:val="21"/>
    <w:qFormat/>
    <w:uiPriority w:val="0"/>
    <w:pPr>
      <w:suppressLineNumbers/>
      <w:shd w:val="clear" w:fill="EDF3F7"/>
      <w:jc w:val="left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2026-10-21T16:30:09Z</dcterms:created>
  <dc:creator>dell</dc:creator>
  <cp:lastModifiedBy>dell</cp:lastModifiedBy>
  <dcterms:modified xsi:type="dcterms:W3CDTF">2026-10-21T16:30:58Z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