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2AFEE" w14:textId="1C311C60" w:rsidR="00574429" w:rsidRPr="00FA7FBF" w:rsidRDefault="00574429" w:rsidP="00611081">
      <w:pPr>
        <w:jc w:val="center"/>
        <w:rPr>
          <w:rFonts w:ascii="Arial" w:hAnsi="Arial" w:cs="Arial"/>
          <w:b/>
          <w:bCs/>
          <w:sz w:val="36"/>
          <w:szCs w:val="36"/>
          <w:lang w:val="en-GB"/>
        </w:rPr>
      </w:pPr>
      <w:r w:rsidRPr="00FA7FBF">
        <w:rPr>
          <w:rFonts w:ascii="Arial" w:hAnsi="Arial" w:cs="Arial"/>
          <w:b/>
          <w:bCs/>
          <w:sz w:val="36"/>
          <w:szCs w:val="36"/>
          <w:lang w:val="en-GB"/>
        </w:rPr>
        <w:t>Electric Vehicle Market Evolution in the U</w:t>
      </w:r>
      <w:r w:rsidR="00CC0F65" w:rsidRPr="00FA7FBF">
        <w:rPr>
          <w:rFonts w:ascii="Arial" w:hAnsi="Arial" w:cs="Arial"/>
          <w:b/>
          <w:bCs/>
          <w:sz w:val="36"/>
          <w:szCs w:val="36"/>
          <w:lang w:val="en-GB"/>
        </w:rPr>
        <w:t>SA (2050)</w:t>
      </w:r>
    </w:p>
    <w:p w14:paraId="568D7EF2" w14:textId="4D564BF4" w:rsidR="00DC6F88" w:rsidRPr="00FA7FBF" w:rsidRDefault="00472BDA" w:rsidP="00611081">
      <w:pPr>
        <w:jc w:val="center"/>
        <w:rPr>
          <w:rFonts w:ascii="Arial" w:hAnsi="Arial" w:cs="Arial"/>
          <w:lang w:val="en-GB"/>
        </w:rPr>
      </w:pPr>
      <w:r w:rsidRPr="00FA7FBF">
        <w:rPr>
          <w:rFonts w:ascii="Arial" w:hAnsi="Arial" w:cs="Arial"/>
          <w:lang w:val="en-GB"/>
        </w:rPr>
        <w:t>Numerical Methods for Economic Systems</w:t>
      </w:r>
    </w:p>
    <w:p w14:paraId="21C9A207" w14:textId="77777777" w:rsidR="00472BDA" w:rsidRPr="00FA7FBF" w:rsidRDefault="00472BDA" w:rsidP="00CC0F65">
      <w:pPr>
        <w:jc w:val="both"/>
        <w:rPr>
          <w:rFonts w:ascii="Arial" w:hAnsi="Arial" w:cs="Arial"/>
          <w:lang w:val="en-GB"/>
        </w:rPr>
      </w:pPr>
    </w:p>
    <w:sdt>
      <w:sdtPr>
        <w:rPr>
          <w:rFonts w:ascii="Arial" w:eastAsiaTheme="minorHAnsi" w:hAnsi="Arial" w:cs="Arial"/>
          <w:color w:val="auto"/>
          <w:kern w:val="2"/>
          <w:sz w:val="22"/>
          <w:szCs w:val="22"/>
          <w:lang w:val="en-GB"/>
          <w14:ligatures w14:val="standardContextual"/>
        </w:rPr>
        <w:id w:val="1524670820"/>
        <w:docPartObj>
          <w:docPartGallery w:val="Table of Contents"/>
          <w:docPartUnique/>
        </w:docPartObj>
      </w:sdtPr>
      <w:sdtEndPr>
        <w:rPr>
          <w:rFonts w:asciiTheme="minorHAnsi" w:hAnsiTheme="minorHAnsi" w:cstheme="minorBidi"/>
          <w:b/>
          <w:bCs/>
          <w:noProof/>
        </w:rPr>
      </w:sdtEndPr>
      <w:sdtContent>
        <w:p w14:paraId="06B730CA" w14:textId="1C533BEC" w:rsidR="00611081" w:rsidRPr="00FA7FBF" w:rsidRDefault="00611081">
          <w:pPr>
            <w:pStyle w:val="TOCHeading"/>
            <w:rPr>
              <w:rFonts w:ascii="Arial" w:hAnsi="Arial" w:cs="Arial"/>
              <w:color w:val="auto"/>
              <w:lang w:val="en-GB"/>
            </w:rPr>
          </w:pPr>
          <w:r w:rsidRPr="00FA7FBF">
            <w:rPr>
              <w:rFonts w:ascii="Arial" w:hAnsi="Arial" w:cs="Arial"/>
              <w:color w:val="auto"/>
              <w:lang w:val="en-GB"/>
            </w:rPr>
            <w:t>Contents</w:t>
          </w:r>
        </w:p>
        <w:p w14:paraId="4B155E7C" w14:textId="7536ECED" w:rsidR="00192602" w:rsidRPr="00FA7FBF" w:rsidRDefault="00611081">
          <w:pPr>
            <w:pStyle w:val="TOC2"/>
            <w:tabs>
              <w:tab w:val="right" w:leader="dot" w:pos="9062"/>
            </w:tabs>
            <w:rPr>
              <w:rFonts w:eastAsiaTheme="minorEastAsia"/>
              <w:noProof/>
              <w:sz w:val="24"/>
              <w:szCs w:val="24"/>
              <w:lang w:val="en-GB" w:eastAsia="ro-RO"/>
            </w:rPr>
          </w:pPr>
          <w:r w:rsidRPr="00FA7FBF">
            <w:rPr>
              <w:lang w:val="en-GB"/>
            </w:rPr>
            <w:fldChar w:fldCharType="begin"/>
          </w:r>
          <w:r w:rsidRPr="00FA7FBF">
            <w:rPr>
              <w:lang w:val="en-GB"/>
            </w:rPr>
            <w:instrText xml:space="preserve"> TOC \o "1-3" \h \z \u </w:instrText>
          </w:r>
          <w:r w:rsidRPr="00FA7FBF">
            <w:rPr>
              <w:lang w:val="en-GB"/>
            </w:rPr>
            <w:fldChar w:fldCharType="separate"/>
          </w:r>
          <w:hyperlink w:anchor="_Toc199258761" w:history="1">
            <w:r w:rsidR="00192602" w:rsidRPr="00FA7FBF">
              <w:rPr>
                <w:rStyle w:val="Hyperlink"/>
                <w:rFonts w:ascii="Arial" w:hAnsi="Arial" w:cs="Arial"/>
                <w:noProof/>
                <w:lang w:val="en-GB"/>
              </w:rPr>
              <w:t>1. General data about the United States</w:t>
            </w:r>
            <w:r w:rsidR="00192602" w:rsidRPr="00FA7FBF">
              <w:rPr>
                <w:noProof/>
                <w:webHidden/>
                <w:lang w:val="en-GB"/>
              </w:rPr>
              <w:tab/>
            </w:r>
            <w:r w:rsidR="00192602" w:rsidRPr="00FA7FBF">
              <w:rPr>
                <w:noProof/>
                <w:webHidden/>
                <w:lang w:val="en-GB"/>
              </w:rPr>
              <w:fldChar w:fldCharType="begin"/>
            </w:r>
            <w:r w:rsidR="00192602" w:rsidRPr="00FA7FBF">
              <w:rPr>
                <w:noProof/>
                <w:webHidden/>
                <w:lang w:val="en-GB"/>
              </w:rPr>
              <w:instrText xml:space="preserve"> PAGEREF _Toc199258761 \h </w:instrText>
            </w:r>
            <w:r w:rsidR="00192602" w:rsidRPr="00FA7FBF">
              <w:rPr>
                <w:noProof/>
                <w:webHidden/>
                <w:lang w:val="en-GB"/>
              </w:rPr>
            </w:r>
            <w:r w:rsidR="00192602" w:rsidRPr="00FA7FBF">
              <w:rPr>
                <w:noProof/>
                <w:webHidden/>
                <w:lang w:val="en-GB"/>
              </w:rPr>
              <w:fldChar w:fldCharType="separate"/>
            </w:r>
            <w:r w:rsidR="00FA7FBF" w:rsidRPr="00FA7FBF">
              <w:rPr>
                <w:noProof/>
                <w:webHidden/>
                <w:lang w:val="en-GB"/>
              </w:rPr>
              <w:t>1</w:t>
            </w:r>
            <w:r w:rsidR="00192602" w:rsidRPr="00FA7FBF">
              <w:rPr>
                <w:noProof/>
                <w:webHidden/>
                <w:lang w:val="en-GB"/>
              </w:rPr>
              <w:fldChar w:fldCharType="end"/>
            </w:r>
          </w:hyperlink>
        </w:p>
        <w:p w14:paraId="0DD69856" w14:textId="220E0BF5" w:rsidR="00192602" w:rsidRPr="00FA7FBF" w:rsidRDefault="00192602">
          <w:pPr>
            <w:pStyle w:val="TOC2"/>
            <w:tabs>
              <w:tab w:val="right" w:leader="dot" w:pos="9062"/>
            </w:tabs>
            <w:rPr>
              <w:rFonts w:eastAsiaTheme="minorEastAsia"/>
              <w:noProof/>
              <w:sz w:val="24"/>
              <w:szCs w:val="24"/>
              <w:lang w:val="en-GB" w:eastAsia="ro-RO"/>
            </w:rPr>
          </w:pPr>
          <w:hyperlink w:anchor="_Toc199258762" w:history="1">
            <w:r w:rsidRPr="00FA7FBF">
              <w:rPr>
                <w:rStyle w:val="Hyperlink"/>
                <w:rFonts w:ascii="Arial" w:hAnsi="Arial" w:cs="Arial"/>
                <w:noProof/>
                <w:lang w:val="en-GB"/>
              </w:rPr>
              <w:t>2. Initial hypothesis</w:t>
            </w:r>
            <w:r w:rsidRPr="00FA7FBF">
              <w:rPr>
                <w:noProof/>
                <w:webHidden/>
                <w:lang w:val="en-GB"/>
              </w:rPr>
              <w:tab/>
            </w:r>
            <w:r w:rsidRPr="00FA7FBF">
              <w:rPr>
                <w:noProof/>
                <w:webHidden/>
                <w:lang w:val="en-GB"/>
              </w:rPr>
              <w:fldChar w:fldCharType="begin"/>
            </w:r>
            <w:r w:rsidRPr="00FA7FBF">
              <w:rPr>
                <w:noProof/>
                <w:webHidden/>
                <w:lang w:val="en-GB"/>
              </w:rPr>
              <w:instrText xml:space="preserve"> PAGEREF _Toc199258762 \h </w:instrText>
            </w:r>
            <w:r w:rsidRPr="00FA7FBF">
              <w:rPr>
                <w:noProof/>
                <w:webHidden/>
                <w:lang w:val="en-GB"/>
              </w:rPr>
            </w:r>
            <w:r w:rsidRPr="00FA7FBF">
              <w:rPr>
                <w:noProof/>
                <w:webHidden/>
                <w:lang w:val="en-GB"/>
              </w:rPr>
              <w:fldChar w:fldCharType="separate"/>
            </w:r>
            <w:r w:rsidR="00FA7FBF" w:rsidRPr="00FA7FBF">
              <w:rPr>
                <w:noProof/>
                <w:webHidden/>
                <w:lang w:val="en-GB"/>
              </w:rPr>
              <w:t>1</w:t>
            </w:r>
            <w:r w:rsidRPr="00FA7FBF">
              <w:rPr>
                <w:noProof/>
                <w:webHidden/>
                <w:lang w:val="en-GB"/>
              </w:rPr>
              <w:fldChar w:fldCharType="end"/>
            </w:r>
          </w:hyperlink>
        </w:p>
        <w:p w14:paraId="7C9ED42F" w14:textId="2607D669" w:rsidR="00192602" w:rsidRPr="00FA7FBF" w:rsidRDefault="00192602">
          <w:pPr>
            <w:pStyle w:val="TOC2"/>
            <w:tabs>
              <w:tab w:val="right" w:leader="dot" w:pos="9062"/>
            </w:tabs>
            <w:rPr>
              <w:rFonts w:eastAsiaTheme="minorEastAsia"/>
              <w:noProof/>
              <w:sz w:val="24"/>
              <w:szCs w:val="24"/>
              <w:lang w:val="en-GB" w:eastAsia="ro-RO"/>
            </w:rPr>
          </w:pPr>
          <w:hyperlink w:anchor="_Toc199258763" w:history="1">
            <w:r w:rsidRPr="00FA7FBF">
              <w:rPr>
                <w:rStyle w:val="Hyperlink"/>
                <w:rFonts w:ascii="Arial" w:hAnsi="Arial" w:cs="Arial"/>
                <w:noProof/>
                <w:lang w:val="en-GB"/>
              </w:rPr>
              <w:t>3. Economic factors</w:t>
            </w:r>
            <w:r w:rsidRPr="00FA7FBF">
              <w:rPr>
                <w:noProof/>
                <w:webHidden/>
                <w:lang w:val="en-GB"/>
              </w:rPr>
              <w:tab/>
            </w:r>
            <w:r w:rsidRPr="00FA7FBF">
              <w:rPr>
                <w:noProof/>
                <w:webHidden/>
                <w:lang w:val="en-GB"/>
              </w:rPr>
              <w:fldChar w:fldCharType="begin"/>
            </w:r>
            <w:r w:rsidRPr="00FA7FBF">
              <w:rPr>
                <w:noProof/>
                <w:webHidden/>
                <w:lang w:val="en-GB"/>
              </w:rPr>
              <w:instrText xml:space="preserve"> PAGEREF _Toc199258763 \h </w:instrText>
            </w:r>
            <w:r w:rsidRPr="00FA7FBF">
              <w:rPr>
                <w:noProof/>
                <w:webHidden/>
                <w:lang w:val="en-GB"/>
              </w:rPr>
            </w:r>
            <w:r w:rsidRPr="00FA7FBF">
              <w:rPr>
                <w:noProof/>
                <w:webHidden/>
                <w:lang w:val="en-GB"/>
              </w:rPr>
              <w:fldChar w:fldCharType="separate"/>
            </w:r>
            <w:r w:rsidR="00FA7FBF" w:rsidRPr="00FA7FBF">
              <w:rPr>
                <w:noProof/>
                <w:webHidden/>
                <w:lang w:val="en-GB"/>
              </w:rPr>
              <w:t>2</w:t>
            </w:r>
            <w:r w:rsidRPr="00FA7FBF">
              <w:rPr>
                <w:noProof/>
                <w:webHidden/>
                <w:lang w:val="en-GB"/>
              </w:rPr>
              <w:fldChar w:fldCharType="end"/>
            </w:r>
          </w:hyperlink>
        </w:p>
        <w:p w14:paraId="743F1112" w14:textId="01CF1C9C" w:rsidR="00192602" w:rsidRPr="00FA7FBF" w:rsidRDefault="00192602">
          <w:pPr>
            <w:pStyle w:val="TOC2"/>
            <w:tabs>
              <w:tab w:val="right" w:leader="dot" w:pos="9062"/>
            </w:tabs>
            <w:rPr>
              <w:rFonts w:eastAsiaTheme="minorEastAsia"/>
              <w:noProof/>
              <w:sz w:val="24"/>
              <w:szCs w:val="24"/>
              <w:lang w:val="en-GB" w:eastAsia="ro-RO"/>
            </w:rPr>
          </w:pPr>
          <w:hyperlink w:anchor="_Toc199258764" w:history="1">
            <w:r w:rsidRPr="00FA7FBF">
              <w:rPr>
                <w:rStyle w:val="Hyperlink"/>
                <w:rFonts w:ascii="Arial" w:hAnsi="Arial" w:cs="Arial"/>
                <w:noProof/>
                <w:lang w:val="en-GB"/>
              </w:rPr>
              <w:t>4. Social and legal factors</w:t>
            </w:r>
            <w:r w:rsidRPr="00FA7FBF">
              <w:rPr>
                <w:noProof/>
                <w:webHidden/>
                <w:lang w:val="en-GB"/>
              </w:rPr>
              <w:tab/>
            </w:r>
            <w:r w:rsidRPr="00FA7FBF">
              <w:rPr>
                <w:noProof/>
                <w:webHidden/>
                <w:lang w:val="en-GB"/>
              </w:rPr>
              <w:fldChar w:fldCharType="begin"/>
            </w:r>
            <w:r w:rsidRPr="00FA7FBF">
              <w:rPr>
                <w:noProof/>
                <w:webHidden/>
                <w:lang w:val="en-GB"/>
              </w:rPr>
              <w:instrText xml:space="preserve"> PAGEREF _Toc199258764 \h </w:instrText>
            </w:r>
            <w:r w:rsidRPr="00FA7FBF">
              <w:rPr>
                <w:noProof/>
                <w:webHidden/>
                <w:lang w:val="en-GB"/>
              </w:rPr>
            </w:r>
            <w:r w:rsidRPr="00FA7FBF">
              <w:rPr>
                <w:noProof/>
                <w:webHidden/>
                <w:lang w:val="en-GB"/>
              </w:rPr>
              <w:fldChar w:fldCharType="separate"/>
            </w:r>
            <w:r w:rsidR="00FA7FBF" w:rsidRPr="00FA7FBF">
              <w:rPr>
                <w:noProof/>
                <w:webHidden/>
                <w:lang w:val="en-GB"/>
              </w:rPr>
              <w:t>3</w:t>
            </w:r>
            <w:r w:rsidRPr="00FA7FBF">
              <w:rPr>
                <w:noProof/>
                <w:webHidden/>
                <w:lang w:val="en-GB"/>
              </w:rPr>
              <w:fldChar w:fldCharType="end"/>
            </w:r>
          </w:hyperlink>
        </w:p>
        <w:p w14:paraId="327EE570" w14:textId="0B37CEEB" w:rsidR="00192602" w:rsidRPr="00FA7FBF" w:rsidRDefault="00192602">
          <w:pPr>
            <w:pStyle w:val="TOC2"/>
            <w:tabs>
              <w:tab w:val="right" w:leader="dot" w:pos="9062"/>
            </w:tabs>
            <w:rPr>
              <w:rFonts w:eastAsiaTheme="minorEastAsia"/>
              <w:noProof/>
              <w:sz w:val="24"/>
              <w:szCs w:val="24"/>
              <w:lang w:val="en-GB" w:eastAsia="ro-RO"/>
            </w:rPr>
          </w:pPr>
          <w:hyperlink w:anchor="_Toc199258765" w:history="1">
            <w:r w:rsidRPr="00FA7FBF">
              <w:rPr>
                <w:rStyle w:val="Hyperlink"/>
                <w:rFonts w:ascii="Arial" w:hAnsi="Arial" w:cs="Arial"/>
                <w:noProof/>
                <w:lang w:val="en-GB"/>
              </w:rPr>
              <w:t>5. Technological factors</w:t>
            </w:r>
            <w:r w:rsidRPr="00FA7FBF">
              <w:rPr>
                <w:noProof/>
                <w:webHidden/>
                <w:lang w:val="en-GB"/>
              </w:rPr>
              <w:tab/>
            </w:r>
            <w:r w:rsidRPr="00FA7FBF">
              <w:rPr>
                <w:noProof/>
                <w:webHidden/>
                <w:lang w:val="en-GB"/>
              </w:rPr>
              <w:fldChar w:fldCharType="begin"/>
            </w:r>
            <w:r w:rsidRPr="00FA7FBF">
              <w:rPr>
                <w:noProof/>
                <w:webHidden/>
                <w:lang w:val="en-GB"/>
              </w:rPr>
              <w:instrText xml:space="preserve"> PAGEREF _Toc199258765 \h </w:instrText>
            </w:r>
            <w:r w:rsidRPr="00FA7FBF">
              <w:rPr>
                <w:noProof/>
                <w:webHidden/>
                <w:lang w:val="en-GB"/>
              </w:rPr>
            </w:r>
            <w:r w:rsidRPr="00FA7FBF">
              <w:rPr>
                <w:noProof/>
                <w:webHidden/>
                <w:lang w:val="en-GB"/>
              </w:rPr>
              <w:fldChar w:fldCharType="separate"/>
            </w:r>
            <w:r w:rsidR="00FA7FBF" w:rsidRPr="00FA7FBF">
              <w:rPr>
                <w:noProof/>
                <w:webHidden/>
                <w:lang w:val="en-GB"/>
              </w:rPr>
              <w:t>4</w:t>
            </w:r>
            <w:r w:rsidRPr="00FA7FBF">
              <w:rPr>
                <w:noProof/>
                <w:webHidden/>
                <w:lang w:val="en-GB"/>
              </w:rPr>
              <w:fldChar w:fldCharType="end"/>
            </w:r>
          </w:hyperlink>
        </w:p>
        <w:p w14:paraId="4934C3F1" w14:textId="4F233B64" w:rsidR="00192602" w:rsidRPr="00FA7FBF" w:rsidRDefault="00192602">
          <w:pPr>
            <w:pStyle w:val="TOC2"/>
            <w:tabs>
              <w:tab w:val="right" w:leader="dot" w:pos="9062"/>
            </w:tabs>
            <w:rPr>
              <w:rFonts w:eastAsiaTheme="minorEastAsia"/>
              <w:noProof/>
              <w:sz w:val="24"/>
              <w:szCs w:val="24"/>
              <w:lang w:val="en-GB" w:eastAsia="ro-RO"/>
            </w:rPr>
          </w:pPr>
          <w:hyperlink w:anchor="_Toc199258766" w:history="1">
            <w:r w:rsidRPr="00FA7FBF">
              <w:rPr>
                <w:rStyle w:val="Hyperlink"/>
                <w:rFonts w:ascii="Arial" w:hAnsi="Arial" w:cs="Arial"/>
                <w:noProof/>
                <w:lang w:val="en-GB"/>
              </w:rPr>
              <w:t>6. Integration and final prediction</w:t>
            </w:r>
            <w:r w:rsidRPr="00FA7FBF">
              <w:rPr>
                <w:noProof/>
                <w:webHidden/>
                <w:lang w:val="en-GB"/>
              </w:rPr>
              <w:tab/>
            </w:r>
            <w:r w:rsidRPr="00FA7FBF">
              <w:rPr>
                <w:noProof/>
                <w:webHidden/>
                <w:lang w:val="en-GB"/>
              </w:rPr>
              <w:fldChar w:fldCharType="begin"/>
            </w:r>
            <w:r w:rsidRPr="00FA7FBF">
              <w:rPr>
                <w:noProof/>
                <w:webHidden/>
                <w:lang w:val="en-GB"/>
              </w:rPr>
              <w:instrText xml:space="preserve"> PAGEREF _Toc199258766 \h </w:instrText>
            </w:r>
            <w:r w:rsidRPr="00FA7FBF">
              <w:rPr>
                <w:noProof/>
                <w:webHidden/>
                <w:lang w:val="en-GB"/>
              </w:rPr>
            </w:r>
            <w:r w:rsidRPr="00FA7FBF">
              <w:rPr>
                <w:noProof/>
                <w:webHidden/>
                <w:lang w:val="en-GB"/>
              </w:rPr>
              <w:fldChar w:fldCharType="separate"/>
            </w:r>
            <w:r w:rsidR="00FA7FBF" w:rsidRPr="00FA7FBF">
              <w:rPr>
                <w:noProof/>
                <w:webHidden/>
                <w:lang w:val="en-GB"/>
              </w:rPr>
              <w:t>6</w:t>
            </w:r>
            <w:r w:rsidRPr="00FA7FBF">
              <w:rPr>
                <w:noProof/>
                <w:webHidden/>
                <w:lang w:val="en-GB"/>
              </w:rPr>
              <w:fldChar w:fldCharType="end"/>
            </w:r>
          </w:hyperlink>
        </w:p>
        <w:p w14:paraId="084DCE9E" w14:textId="3FDBD7EA" w:rsidR="00192602" w:rsidRPr="00FA7FBF" w:rsidRDefault="00192602">
          <w:pPr>
            <w:pStyle w:val="TOC2"/>
            <w:tabs>
              <w:tab w:val="right" w:leader="dot" w:pos="9062"/>
            </w:tabs>
            <w:rPr>
              <w:rFonts w:eastAsiaTheme="minorEastAsia"/>
              <w:noProof/>
              <w:sz w:val="24"/>
              <w:szCs w:val="24"/>
              <w:lang w:val="en-GB" w:eastAsia="ro-RO"/>
            </w:rPr>
          </w:pPr>
          <w:hyperlink w:anchor="_Toc199258767" w:history="1">
            <w:r w:rsidRPr="00FA7FBF">
              <w:rPr>
                <w:rStyle w:val="Hyperlink"/>
                <w:rFonts w:ascii="Arial" w:hAnsi="Arial" w:cs="Arial"/>
                <w:noProof/>
                <w:lang w:val="en-GB"/>
              </w:rPr>
              <w:t>7. Conclusion</w:t>
            </w:r>
            <w:r w:rsidRPr="00FA7FBF">
              <w:rPr>
                <w:noProof/>
                <w:webHidden/>
                <w:lang w:val="en-GB"/>
              </w:rPr>
              <w:tab/>
            </w:r>
            <w:r w:rsidRPr="00FA7FBF">
              <w:rPr>
                <w:noProof/>
                <w:webHidden/>
                <w:lang w:val="en-GB"/>
              </w:rPr>
              <w:fldChar w:fldCharType="begin"/>
            </w:r>
            <w:r w:rsidRPr="00FA7FBF">
              <w:rPr>
                <w:noProof/>
                <w:webHidden/>
                <w:lang w:val="en-GB"/>
              </w:rPr>
              <w:instrText xml:space="preserve"> PAGEREF _Toc199258767 \h </w:instrText>
            </w:r>
            <w:r w:rsidRPr="00FA7FBF">
              <w:rPr>
                <w:noProof/>
                <w:webHidden/>
                <w:lang w:val="en-GB"/>
              </w:rPr>
            </w:r>
            <w:r w:rsidRPr="00FA7FBF">
              <w:rPr>
                <w:noProof/>
                <w:webHidden/>
                <w:lang w:val="en-GB"/>
              </w:rPr>
              <w:fldChar w:fldCharType="separate"/>
            </w:r>
            <w:r w:rsidR="00FA7FBF" w:rsidRPr="00FA7FBF">
              <w:rPr>
                <w:noProof/>
                <w:webHidden/>
                <w:lang w:val="en-GB"/>
              </w:rPr>
              <w:t>8</w:t>
            </w:r>
            <w:r w:rsidRPr="00FA7FBF">
              <w:rPr>
                <w:noProof/>
                <w:webHidden/>
                <w:lang w:val="en-GB"/>
              </w:rPr>
              <w:fldChar w:fldCharType="end"/>
            </w:r>
          </w:hyperlink>
        </w:p>
        <w:p w14:paraId="2BFC439D" w14:textId="72A267C2" w:rsidR="00192602" w:rsidRPr="00FA7FBF" w:rsidRDefault="00192602">
          <w:pPr>
            <w:pStyle w:val="TOC2"/>
            <w:tabs>
              <w:tab w:val="right" w:leader="dot" w:pos="9062"/>
            </w:tabs>
            <w:rPr>
              <w:rFonts w:eastAsiaTheme="minorEastAsia"/>
              <w:noProof/>
              <w:sz w:val="24"/>
              <w:szCs w:val="24"/>
              <w:lang w:val="en-GB" w:eastAsia="ro-RO"/>
            </w:rPr>
          </w:pPr>
          <w:hyperlink w:anchor="_Toc199258768" w:history="1">
            <w:r w:rsidRPr="00FA7FBF">
              <w:rPr>
                <w:rStyle w:val="Hyperlink"/>
                <w:rFonts w:ascii="Arial" w:hAnsi="Arial" w:cs="Arial"/>
                <w:noProof/>
                <w:lang w:val="en-GB"/>
              </w:rPr>
              <w:t>References</w:t>
            </w:r>
            <w:r w:rsidRPr="00FA7FBF">
              <w:rPr>
                <w:noProof/>
                <w:webHidden/>
                <w:lang w:val="en-GB"/>
              </w:rPr>
              <w:tab/>
            </w:r>
            <w:r w:rsidRPr="00FA7FBF">
              <w:rPr>
                <w:noProof/>
                <w:webHidden/>
                <w:lang w:val="en-GB"/>
              </w:rPr>
              <w:fldChar w:fldCharType="begin"/>
            </w:r>
            <w:r w:rsidRPr="00FA7FBF">
              <w:rPr>
                <w:noProof/>
                <w:webHidden/>
                <w:lang w:val="en-GB"/>
              </w:rPr>
              <w:instrText xml:space="preserve"> PAGEREF _Toc199258768 \h </w:instrText>
            </w:r>
            <w:r w:rsidRPr="00FA7FBF">
              <w:rPr>
                <w:noProof/>
                <w:webHidden/>
                <w:lang w:val="en-GB"/>
              </w:rPr>
            </w:r>
            <w:r w:rsidRPr="00FA7FBF">
              <w:rPr>
                <w:noProof/>
                <w:webHidden/>
                <w:lang w:val="en-GB"/>
              </w:rPr>
              <w:fldChar w:fldCharType="separate"/>
            </w:r>
            <w:r w:rsidR="00FA7FBF" w:rsidRPr="00FA7FBF">
              <w:rPr>
                <w:noProof/>
                <w:webHidden/>
                <w:lang w:val="en-GB"/>
              </w:rPr>
              <w:t>8</w:t>
            </w:r>
            <w:r w:rsidRPr="00FA7FBF">
              <w:rPr>
                <w:noProof/>
                <w:webHidden/>
                <w:lang w:val="en-GB"/>
              </w:rPr>
              <w:fldChar w:fldCharType="end"/>
            </w:r>
          </w:hyperlink>
        </w:p>
        <w:p w14:paraId="3CD769C2" w14:textId="07BAAB11" w:rsidR="00611081" w:rsidRPr="00FA7FBF" w:rsidRDefault="00611081">
          <w:pPr>
            <w:rPr>
              <w:lang w:val="en-GB"/>
            </w:rPr>
          </w:pPr>
          <w:r w:rsidRPr="00FA7FBF">
            <w:rPr>
              <w:b/>
              <w:bCs/>
              <w:noProof/>
              <w:lang w:val="en-GB"/>
            </w:rPr>
            <w:fldChar w:fldCharType="end"/>
          </w:r>
        </w:p>
      </w:sdtContent>
    </w:sdt>
    <w:p w14:paraId="37F2B32A" w14:textId="77777777" w:rsidR="00611081" w:rsidRPr="00FA7FBF" w:rsidRDefault="00611081" w:rsidP="00CC0F65">
      <w:pPr>
        <w:jc w:val="both"/>
        <w:rPr>
          <w:rFonts w:ascii="Arial" w:hAnsi="Arial" w:cs="Arial"/>
          <w:lang w:val="en-GB"/>
        </w:rPr>
      </w:pPr>
    </w:p>
    <w:p w14:paraId="4F40CE70" w14:textId="6D6B3C7B" w:rsidR="00574429" w:rsidRPr="00FA7FBF" w:rsidRDefault="00CC0F65" w:rsidP="00CC0F65">
      <w:pPr>
        <w:pStyle w:val="Heading2"/>
        <w:jc w:val="both"/>
        <w:rPr>
          <w:rFonts w:ascii="Arial" w:hAnsi="Arial" w:cs="Arial"/>
          <w:color w:val="auto"/>
          <w:lang w:val="en-GB"/>
        </w:rPr>
      </w:pPr>
      <w:bookmarkStart w:id="0" w:name="_Toc199258761"/>
      <w:r w:rsidRPr="00FA7FBF">
        <w:rPr>
          <w:rFonts w:ascii="Arial" w:hAnsi="Arial" w:cs="Arial"/>
          <w:color w:val="auto"/>
          <w:lang w:val="en-GB"/>
        </w:rPr>
        <w:t>1</w:t>
      </w:r>
      <w:r w:rsidR="00574429" w:rsidRPr="00FA7FBF">
        <w:rPr>
          <w:rFonts w:ascii="Arial" w:hAnsi="Arial" w:cs="Arial"/>
          <w:color w:val="auto"/>
          <w:lang w:val="en-GB"/>
        </w:rPr>
        <w:t>. General data about the United States</w:t>
      </w:r>
      <w:bookmarkEnd w:id="0"/>
    </w:p>
    <w:p w14:paraId="6DB6EFF3" w14:textId="4868476E" w:rsidR="00E24C21" w:rsidRPr="00FA7FBF" w:rsidRDefault="00CC0F65" w:rsidP="00E24C21">
      <w:pPr>
        <w:jc w:val="both"/>
        <w:rPr>
          <w:rFonts w:ascii="Arial" w:hAnsi="Arial" w:cs="Arial"/>
          <w:lang w:val="en-GB"/>
        </w:rPr>
      </w:pPr>
      <w:r w:rsidRPr="00FA7FBF">
        <w:rPr>
          <w:rFonts w:ascii="Arial" w:hAnsi="Arial" w:cs="Arial"/>
          <w:lang w:val="en-GB"/>
        </w:rPr>
        <w:t>The United States is the world</w:t>
      </w:r>
      <w:r w:rsidR="00305931" w:rsidRPr="00FA7FBF">
        <w:rPr>
          <w:rFonts w:ascii="Arial" w:hAnsi="Arial" w:cs="Arial"/>
          <w:lang w:val="en-GB"/>
        </w:rPr>
        <w:t>’</w:t>
      </w:r>
      <w:r w:rsidRPr="00FA7FBF">
        <w:rPr>
          <w:rFonts w:ascii="Arial" w:hAnsi="Arial" w:cs="Arial"/>
          <w:lang w:val="en-GB"/>
        </w:rPr>
        <w:t>s largest economy with a GDP of $27.</w:t>
      </w:r>
      <w:r w:rsidR="006C56DF" w:rsidRPr="00FA7FBF">
        <w:rPr>
          <w:rFonts w:ascii="Arial" w:hAnsi="Arial" w:cs="Arial"/>
          <w:lang w:val="en-GB"/>
        </w:rPr>
        <w:t>72</w:t>
      </w:r>
      <w:r w:rsidRPr="00FA7FBF">
        <w:rPr>
          <w:rFonts w:ascii="Arial" w:hAnsi="Arial" w:cs="Arial"/>
          <w:lang w:val="en-GB"/>
        </w:rPr>
        <w:t xml:space="preserve"> trillion (2023) and a population of 3</w:t>
      </w:r>
      <w:r w:rsidR="006C56DF" w:rsidRPr="00FA7FBF">
        <w:rPr>
          <w:rFonts w:ascii="Arial" w:hAnsi="Arial" w:cs="Arial"/>
          <w:lang w:val="en-GB"/>
        </w:rPr>
        <w:t xml:space="preserve">40.1 </w:t>
      </w:r>
      <w:r w:rsidRPr="00FA7FBF">
        <w:rPr>
          <w:rFonts w:ascii="Arial" w:hAnsi="Arial" w:cs="Arial"/>
          <w:lang w:val="en-GB"/>
        </w:rPr>
        <w:t>million.</w:t>
      </w:r>
      <w:r w:rsidR="008C74EC" w:rsidRPr="00FA7FBF">
        <w:rPr>
          <w:rFonts w:ascii="Arial" w:hAnsi="Arial" w:cs="Arial"/>
          <w:lang w:val="en-GB"/>
        </w:rPr>
        <w:t xml:space="preserve"> Per capita GDP of approximately $8</w:t>
      </w:r>
      <w:r w:rsidR="006C56DF" w:rsidRPr="00FA7FBF">
        <w:rPr>
          <w:rFonts w:ascii="Arial" w:hAnsi="Arial" w:cs="Arial"/>
          <w:lang w:val="en-GB"/>
        </w:rPr>
        <w:t>3</w:t>
      </w:r>
      <w:r w:rsidR="008C74EC" w:rsidRPr="00FA7FBF">
        <w:rPr>
          <w:rFonts w:ascii="Arial" w:hAnsi="Arial" w:cs="Arial"/>
          <w:lang w:val="en-GB"/>
        </w:rPr>
        <w:t>,000 creates favorable conditions for premium EV adoption despite higher upfront costs.</w:t>
      </w:r>
      <w:r w:rsidRPr="00FA7FBF">
        <w:rPr>
          <w:rFonts w:ascii="Arial" w:hAnsi="Arial" w:cs="Arial"/>
          <w:lang w:val="en-GB"/>
        </w:rPr>
        <w:t xml:space="preserve"> The country has approximately 290 million registered vehicles with annual new vehicle sales of around 1</w:t>
      </w:r>
      <w:r w:rsidR="006C56DF" w:rsidRPr="00FA7FBF">
        <w:rPr>
          <w:rFonts w:ascii="Arial" w:hAnsi="Arial" w:cs="Arial"/>
          <w:lang w:val="en-GB"/>
        </w:rPr>
        <w:t>6</w:t>
      </w:r>
      <w:r w:rsidRPr="00FA7FBF">
        <w:rPr>
          <w:rFonts w:ascii="Arial" w:hAnsi="Arial" w:cs="Arial"/>
          <w:lang w:val="en-GB"/>
        </w:rPr>
        <w:t xml:space="preserve"> million units.</w:t>
      </w:r>
      <w:r w:rsidR="00305931" w:rsidRPr="00FA7FBF">
        <w:rPr>
          <w:rFonts w:ascii="Arial" w:hAnsi="Arial" w:cs="Arial"/>
          <w:lang w:val="en-GB"/>
        </w:rPr>
        <w:t xml:space="preserve"> </w:t>
      </w:r>
      <w:r w:rsidR="00E24C21" w:rsidRPr="00FA7FBF">
        <w:rPr>
          <w:rFonts w:ascii="Arial" w:hAnsi="Arial" w:cs="Arial"/>
          <w:lang w:val="en-GB"/>
        </w:rPr>
        <w:t>Transportation generates 27% of U.S. greenhouse gas emissions</w:t>
      </w:r>
      <w:r w:rsidR="006C56DF" w:rsidRPr="00FA7FBF">
        <w:rPr>
          <w:rFonts w:ascii="Arial" w:hAnsi="Arial" w:cs="Arial"/>
          <w:lang w:val="en-GB"/>
        </w:rPr>
        <w:t xml:space="preserve"> – </w:t>
      </w:r>
      <w:r w:rsidR="00E24C21" w:rsidRPr="00FA7FBF">
        <w:rPr>
          <w:rFonts w:ascii="Arial" w:hAnsi="Arial" w:cs="Arial"/>
          <w:lang w:val="en-GB"/>
        </w:rPr>
        <w:t>approximately 1.9 billion tons CO</w:t>
      </w:r>
      <w:r w:rsidR="00E24C21" w:rsidRPr="00FA7FBF">
        <w:rPr>
          <w:rFonts w:ascii="Cambria Math" w:hAnsi="Cambria Math" w:cs="Cambria Math"/>
          <w:lang w:val="en-GB"/>
        </w:rPr>
        <w:t>₂</w:t>
      </w:r>
      <w:r w:rsidR="00E24C21" w:rsidRPr="00FA7FBF">
        <w:rPr>
          <w:rFonts w:ascii="Arial" w:hAnsi="Arial" w:cs="Arial"/>
          <w:lang w:val="en-GB"/>
        </w:rPr>
        <w:t xml:space="preserve"> annually</w:t>
      </w:r>
      <w:r w:rsidR="006C56DF" w:rsidRPr="00FA7FBF">
        <w:rPr>
          <w:rFonts w:ascii="Arial" w:hAnsi="Arial" w:cs="Arial"/>
          <w:lang w:val="en-GB"/>
        </w:rPr>
        <w:t xml:space="preserve"> – </w:t>
      </w:r>
      <w:r w:rsidR="00E24C21" w:rsidRPr="00FA7FBF">
        <w:rPr>
          <w:rFonts w:ascii="Arial" w:hAnsi="Arial" w:cs="Arial"/>
          <w:lang w:val="en-GB"/>
        </w:rPr>
        <w:t>making it the largest emissions source</w:t>
      </w:r>
      <w:r w:rsidR="006C56DF" w:rsidRPr="00FA7FBF">
        <w:rPr>
          <w:rFonts w:ascii="Arial" w:hAnsi="Arial" w:cs="Arial"/>
          <w:lang w:val="en-GB"/>
        </w:rPr>
        <w:t>, surpassing electricity generation (25%) and industry (23%)</w:t>
      </w:r>
      <w:r w:rsidR="00E24C21" w:rsidRPr="00FA7FBF">
        <w:rPr>
          <w:rFonts w:ascii="Arial" w:hAnsi="Arial" w:cs="Arial"/>
          <w:lang w:val="en-GB"/>
        </w:rPr>
        <w:t>. Light-duty vehicles account for 58% of transportation emissions (1.1 billion tons), driven by high per-capita vehicle miles (12,000 annually) and preference for larger, less efficient vehicles. This positions vehicle electrification as essential for meeting climate goals.</w:t>
      </w:r>
    </w:p>
    <w:p w14:paraId="521D94E2" w14:textId="65DB675A" w:rsidR="00E24C21" w:rsidRPr="00FA7FBF" w:rsidRDefault="00E24C21" w:rsidP="00E24C21">
      <w:pPr>
        <w:jc w:val="both"/>
        <w:rPr>
          <w:rFonts w:ascii="Arial" w:hAnsi="Arial" w:cs="Arial"/>
          <w:lang w:val="en-GB"/>
        </w:rPr>
      </w:pPr>
      <w:r w:rsidRPr="00FA7FBF">
        <w:rPr>
          <w:rFonts w:ascii="Arial" w:hAnsi="Arial" w:cs="Arial"/>
          <w:lang w:val="en-GB"/>
        </w:rPr>
        <w:t>The U.S. possesses structural advantages for EV adoption. Renewable energy now comprises 22% of electricity generation (up from 13% in 2013), with natural gas providing another 40%. This cleaner grid means EVs already achieve 60-70% lower lifecycle emissions than gasoline vehicles, with benefits expanding as renewables grow.</w:t>
      </w:r>
      <w:r w:rsidR="00305931" w:rsidRPr="00FA7FBF">
        <w:rPr>
          <w:rFonts w:ascii="Arial" w:hAnsi="Arial" w:cs="Arial"/>
          <w:lang w:val="en-GB"/>
        </w:rPr>
        <w:t xml:space="preserve"> </w:t>
      </w:r>
      <w:r w:rsidRPr="00FA7FBF">
        <w:rPr>
          <w:rFonts w:ascii="Arial" w:hAnsi="Arial" w:cs="Arial"/>
          <w:lang w:val="en-GB"/>
        </w:rPr>
        <w:t xml:space="preserve">Domestic resources include </w:t>
      </w:r>
      <w:r w:rsidR="00305931" w:rsidRPr="00FA7FBF">
        <w:rPr>
          <w:rFonts w:ascii="Arial" w:hAnsi="Arial" w:cs="Arial"/>
          <w:lang w:val="en-GB"/>
        </w:rPr>
        <w:t xml:space="preserve">copper and </w:t>
      </w:r>
      <w:r w:rsidRPr="00FA7FBF">
        <w:rPr>
          <w:rFonts w:ascii="Arial" w:hAnsi="Arial" w:cs="Arial"/>
          <w:lang w:val="en-GB"/>
        </w:rPr>
        <w:t>lithium reserves</w:t>
      </w:r>
      <w:r w:rsidR="00305931" w:rsidRPr="00FA7FBF">
        <w:rPr>
          <w:rFonts w:ascii="Arial" w:hAnsi="Arial" w:cs="Arial"/>
          <w:lang w:val="en-GB"/>
        </w:rPr>
        <w:t xml:space="preserve">, </w:t>
      </w:r>
      <w:r w:rsidRPr="00FA7FBF">
        <w:rPr>
          <w:rFonts w:ascii="Arial" w:hAnsi="Arial" w:cs="Arial"/>
          <w:lang w:val="en-GB"/>
        </w:rPr>
        <w:t>though the U.S. currently imports 80% of lithium and depends heavily on China for processed battery materials</w:t>
      </w:r>
      <w:r w:rsidR="006C56DF" w:rsidRPr="00FA7FBF">
        <w:rPr>
          <w:rFonts w:ascii="Arial" w:hAnsi="Arial" w:cs="Arial"/>
          <w:lang w:val="en-GB"/>
        </w:rPr>
        <w:t xml:space="preserve"> and rare earth elements</w:t>
      </w:r>
      <w:r w:rsidRPr="00FA7FBF">
        <w:rPr>
          <w:rFonts w:ascii="Arial" w:hAnsi="Arial" w:cs="Arial"/>
          <w:lang w:val="en-GB"/>
        </w:rPr>
        <w:t>. Recent policies like the Inflation Reduction Act aim to reduce these dependencies through supply chain diversification and domestic manufacturing incentives.</w:t>
      </w:r>
    </w:p>
    <w:p w14:paraId="11B85A3E" w14:textId="77777777" w:rsidR="00CC0F65" w:rsidRPr="00FA7FBF" w:rsidRDefault="00CC0F65" w:rsidP="00CC0F65">
      <w:pPr>
        <w:jc w:val="both"/>
        <w:rPr>
          <w:rFonts w:ascii="Arial" w:hAnsi="Arial" w:cs="Arial"/>
          <w:lang w:val="en-GB"/>
        </w:rPr>
      </w:pPr>
    </w:p>
    <w:p w14:paraId="7390B93C" w14:textId="1892AA9B" w:rsidR="00CC0F65" w:rsidRPr="00FA7FBF" w:rsidRDefault="00CC0F65" w:rsidP="00CC0F65">
      <w:pPr>
        <w:pStyle w:val="Heading2"/>
        <w:jc w:val="both"/>
        <w:rPr>
          <w:rFonts w:ascii="Arial" w:hAnsi="Arial" w:cs="Arial"/>
          <w:color w:val="auto"/>
          <w:lang w:val="en-GB"/>
        </w:rPr>
      </w:pPr>
      <w:bookmarkStart w:id="1" w:name="_Toc199258762"/>
      <w:r w:rsidRPr="00FA7FBF">
        <w:rPr>
          <w:rFonts w:ascii="Arial" w:hAnsi="Arial" w:cs="Arial"/>
          <w:color w:val="auto"/>
          <w:lang w:val="en-GB"/>
        </w:rPr>
        <w:t>2</w:t>
      </w:r>
      <w:r w:rsidR="00574429" w:rsidRPr="00FA7FBF">
        <w:rPr>
          <w:rFonts w:ascii="Arial" w:hAnsi="Arial" w:cs="Arial"/>
          <w:color w:val="auto"/>
          <w:lang w:val="en-GB"/>
        </w:rPr>
        <w:t>. Initial hypothesis</w:t>
      </w:r>
      <w:bookmarkEnd w:id="1"/>
    </w:p>
    <w:p w14:paraId="1D5B58F7" w14:textId="77777777" w:rsidR="00CC0F65" w:rsidRPr="00FA7FBF" w:rsidRDefault="00CC0F65" w:rsidP="00CC0F65">
      <w:pPr>
        <w:jc w:val="both"/>
        <w:rPr>
          <w:rFonts w:ascii="Arial" w:hAnsi="Arial" w:cs="Arial"/>
          <w:lang w:val="en-GB"/>
        </w:rPr>
      </w:pPr>
      <w:r w:rsidRPr="00FA7FBF">
        <w:rPr>
          <w:rFonts w:ascii="Arial" w:hAnsi="Arial" w:cs="Arial"/>
          <w:lang w:val="en-GB"/>
        </w:rPr>
        <w:t>Electric vehicle adoption in the United States began in earnest in 2011 with the introduction of the Nissan Leaf and Chevrolet Volt. From modest beginnings of just 17,800 units in 2011, the market has grown dramatically to 1.39 million units in 2023, representing a compound annual growth rate (CAGR) of approximately 43.5% over this period.</w:t>
      </w:r>
    </w:p>
    <w:p w14:paraId="435698D4" w14:textId="02AC9CBF" w:rsidR="004F61FC" w:rsidRPr="00FA7FBF" w:rsidRDefault="00CC0F65" w:rsidP="00472BDA">
      <w:pPr>
        <w:jc w:val="both"/>
        <w:rPr>
          <w:rFonts w:ascii="Arial" w:hAnsi="Arial" w:cs="Arial"/>
          <w:lang w:val="en-GB"/>
        </w:rPr>
      </w:pPr>
      <w:r w:rsidRPr="00FA7FBF">
        <w:rPr>
          <w:rFonts w:ascii="Arial" w:hAnsi="Arial" w:cs="Arial"/>
          <w:lang w:val="en-GB"/>
        </w:rPr>
        <w:lastRenderedPageBreak/>
        <w:t>The initial forecast model uses a logistic (S-curve) function, which is typical for technology adoption patterns. This approach assumes that EV adoption will follow an S-shaped curve with slow initial growth, followed by rapid acceleration, and eventually a plateau as the market approaches saturation.</w:t>
      </w:r>
    </w:p>
    <w:p w14:paraId="7B471D1F" w14:textId="3832A2A6" w:rsidR="00AB398C" w:rsidRPr="00FA7FBF" w:rsidRDefault="00AB398C" w:rsidP="00D141D7">
      <w:pPr>
        <w:jc w:val="both"/>
        <w:rPr>
          <w:rFonts w:ascii="Arial" w:hAnsi="Arial" w:cs="Arial"/>
          <w:lang w:val="en-GB"/>
        </w:rPr>
      </w:pPr>
      <w:r w:rsidRPr="00FA7FBF">
        <w:rPr>
          <w:rFonts w:ascii="Arial" w:hAnsi="Arial" w:cs="Arial"/>
          <w:lang w:val="en-GB"/>
        </w:rPr>
        <w:t>We buil</w:t>
      </w:r>
      <w:r w:rsidR="00CC0F65" w:rsidRPr="00FA7FBF">
        <w:rPr>
          <w:rFonts w:ascii="Arial" w:hAnsi="Arial" w:cs="Arial"/>
          <w:lang w:val="en-GB"/>
        </w:rPr>
        <w:t>t</w:t>
      </w:r>
      <w:r w:rsidRPr="00FA7FBF">
        <w:rPr>
          <w:rFonts w:ascii="Arial" w:hAnsi="Arial" w:cs="Arial"/>
          <w:lang w:val="en-GB"/>
        </w:rPr>
        <w:t xml:space="preserve"> our forecast </w:t>
      </w:r>
      <w:r w:rsidR="00D141D7" w:rsidRPr="00FA7FBF">
        <w:rPr>
          <w:rFonts w:ascii="Arial" w:hAnsi="Arial" w:cs="Arial"/>
          <w:lang w:val="en-GB"/>
        </w:rPr>
        <w:t>using as a baseline the</w:t>
      </w:r>
      <w:r w:rsidRPr="00FA7FBF">
        <w:rPr>
          <w:rFonts w:ascii="Arial" w:hAnsi="Arial" w:cs="Arial"/>
          <w:lang w:val="en-GB"/>
        </w:rPr>
        <w:t xml:space="preserve"> 3-parameter logistic curve</w:t>
      </w:r>
    </w:p>
    <w:p w14:paraId="72353B59" w14:textId="77777777" w:rsidR="00AB398C" w:rsidRPr="00FA7FBF" w:rsidRDefault="00AB398C" w:rsidP="00CC0F65">
      <w:pPr>
        <w:jc w:val="both"/>
        <w:rPr>
          <w:rFonts w:ascii="Arial" w:eastAsiaTheme="minorEastAsia" w:hAnsi="Arial" w:cs="Arial"/>
          <w:kern w:val="0"/>
          <w:sz w:val="24"/>
          <w:szCs w:val="24"/>
          <w:lang w:val="en-GB" w:eastAsia="ro-RO"/>
          <w14:ligatures w14:val="none"/>
        </w:rPr>
      </w:pPr>
      <m:oMathPara>
        <m:oMath>
          <m:r>
            <w:rPr>
              <w:rFonts w:ascii="Cambria Math" w:eastAsia="Times New Roman" w:hAnsi="Cambria Math" w:cs="Arial"/>
              <w:kern w:val="0"/>
              <w:sz w:val="24"/>
              <w:szCs w:val="24"/>
              <w:lang w:val="en-GB" w:eastAsia="ro-RO"/>
              <w14:ligatures w14:val="none"/>
            </w:rPr>
            <m:t>S</m:t>
          </m:r>
          <m:d>
            <m:dPr>
              <m:ctrlPr>
                <w:rPr>
                  <w:rFonts w:ascii="Cambria Math" w:eastAsia="Times New Roman" w:hAnsi="Cambria Math" w:cs="Arial"/>
                  <w:i/>
                  <w:kern w:val="0"/>
                  <w:sz w:val="24"/>
                  <w:szCs w:val="24"/>
                  <w:lang w:val="en-GB" w:eastAsia="ro-RO"/>
                  <w14:ligatures w14:val="none"/>
                </w:rPr>
              </m:ctrlPr>
            </m:dPr>
            <m:e>
              <m:r>
                <w:rPr>
                  <w:rFonts w:ascii="Cambria Math" w:eastAsia="Times New Roman" w:hAnsi="Cambria Math" w:cs="Arial"/>
                  <w:kern w:val="0"/>
                  <w:sz w:val="24"/>
                  <w:szCs w:val="24"/>
                  <w:lang w:val="en-GB" w:eastAsia="ro-RO"/>
                  <w14:ligatures w14:val="none"/>
                </w:rPr>
                <m:t>t</m:t>
              </m:r>
            </m:e>
          </m:d>
          <m:r>
            <w:rPr>
              <w:rFonts w:ascii="Cambria Math" w:eastAsia="Times New Roman" w:hAnsi="Cambria Math" w:cs="Arial"/>
              <w:kern w:val="0"/>
              <w:sz w:val="24"/>
              <w:szCs w:val="24"/>
              <w:lang w:val="en-GB" w:eastAsia="ro-RO"/>
              <w14:ligatures w14:val="none"/>
            </w:rPr>
            <m:t>=</m:t>
          </m:r>
          <m:f>
            <m:fPr>
              <m:ctrlPr>
                <w:rPr>
                  <w:rFonts w:ascii="Cambria Math" w:eastAsia="Times New Roman" w:hAnsi="Cambria Math" w:cs="Arial"/>
                  <w:kern w:val="0"/>
                  <w:sz w:val="24"/>
                  <w:szCs w:val="24"/>
                  <w:lang w:val="en-GB" w:eastAsia="ro-RO"/>
                  <w14:ligatures w14:val="none"/>
                </w:rPr>
              </m:ctrlPr>
            </m:fPr>
            <m:num>
              <m:r>
                <w:rPr>
                  <w:rFonts w:ascii="Cambria Math" w:eastAsia="Times New Roman" w:hAnsi="Cambria Math" w:cs="Arial"/>
                  <w:kern w:val="0"/>
                  <w:sz w:val="24"/>
                  <w:szCs w:val="24"/>
                  <w:lang w:val="en-GB" w:eastAsia="ro-RO"/>
                  <w14:ligatures w14:val="none"/>
                </w:rPr>
                <m:t>K</m:t>
              </m:r>
            </m:num>
            <m:den>
              <m:r>
                <w:rPr>
                  <w:rFonts w:ascii="Cambria Math" w:eastAsia="Times New Roman" w:hAnsi="Cambria Math" w:cs="Arial"/>
                  <w:kern w:val="0"/>
                  <w:sz w:val="24"/>
                  <w:szCs w:val="24"/>
                  <w:lang w:val="en-GB" w:eastAsia="ro-RO"/>
                  <w14:ligatures w14:val="none"/>
                </w:rPr>
                <m:t>1+</m:t>
              </m:r>
              <m:sSup>
                <m:sSupPr>
                  <m:ctrlPr>
                    <w:rPr>
                      <w:rFonts w:ascii="Cambria Math" w:eastAsia="Times New Roman" w:hAnsi="Cambria Math" w:cs="Arial"/>
                      <w:kern w:val="0"/>
                      <w:sz w:val="24"/>
                      <w:szCs w:val="24"/>
                      <w:lang w:val="en-GB" w:eastAsia="ro-RO"/>
                      <w14:ligatures w14:val="none"/>
                    </w:rPr>
                  </m:ctrlPr>
                </m:sSupPr>
                <m:e>
                  <m:r>
                    <w:rPr>
                      <w:rFonts w:ascii="Cambria Math" w:eastAsia="Times New Roman" w:hAnsi="Cambria Math" w:cs="Arial"/>
                      <w:kern w:val="0"/>
                      <w:sz w:val="24"/>
                      <w:szCs w:val="24"/>
                      <w:lang w:val="en-GB" w:eastAsia="ro-RO"/>
                      <w14:ligatures w14:val="none"/>
                    </w:rPr>
                    <m:t>e</m:t>
                  </m:r>
                </m:e>
                <m:sup>
                  <m:r>
                    <w:rPr>
                      <w:rFonts w:ascii="Cambria Math" w:eastAsia="Times New Roman" w:hAnsi="Cambria Math" w:cs="Arial"/>
                      <w:kern w:val="0"/>
                      <w:sz w:val="24"/>
                      <w:szCs w:val="24"/>
                      <w:lang w:val="en-GB" w:eastAsia="ro-RO"/>
                      <w14:ligatures w14:val="none"/>
                    </w:rPr>
                    <m:t>-r</m:t>
                  </m:r>
                  <m:r>
                    <m:rPr>
                      <m:nor/>
                    </m:rPr>
                    <w:rPr>
                      <w:rFonts w:ascii="Arial" w:eastAsia="Times New Roman" w:hAnsi="Arial" w:cs="Arial"/>
                      <w:kern w:val="0"/>
                      <w:sz w:val="24"/>
                      <w:szCs w:val="24"/>
                      <w:lang w:val="en-GB" w:eastAsia="ro-RO"/>
                      <w14:ligatures w14:val="none"/>
                    </w:rPr>
                    <m:t> </m:t>
                  </m:r>
                  <m:d>
                    <m:dPr>
                      <m:ctrlPr>
                        <w:rPr>
                          <w:rFonts w:ascii="Cambria Math" w:eastAsia="Times New Roman" w:hAnsi="Cambria Math" w:cs="Arial"/>
                          <w:i/>
                          <w:kern w:val="0"/>
                          <w:sz w:val="24"/>
                          <w:szCs w:val="24"/>
                          <w:lang w:val="en-GB" w:eastAsia="ro-RO"/>
                          <w14:ligatures w14:val="none"/>
                        </w:rPr>
                      </m:ctrlPr>
                    </m:dPr>
                    <m:e>
                      <m:r>
                        <w:rPr>
                          <w:rFonts w:ascii="Cambria Math" w:eastAsia="Times New Roman" w:hAnsi="Cambria Math" w:cs="Arial"/>
                          <w:kern w:val="0"/>
                          <w:sz w:val="24"/>
                          <w:szCs w:val="24"/>
                          <w:lang w:val="en-GB" w:eastAsia="ro-RO"/>
                          <w14:ligatures w14:val="none"/>
                        </w:rPr>
                        <m:t>t-</m:t>
                      </m:r>
                      <m:sSub>
                        <m:sSubPr>
                          <m:ctrlPr>
                            <w:rPr>
                              <w:rFonts w:ascii="Cambria Math" w:eastAsia="Times New Roman" w:hAnsi="Cambria Math" w:cs="Arial"/>
                              <w:kern w:val="0"/>
                              <w:sz w:val="24"/>
                              <w:szCs w:val="24"/>
                              <w:lang w:val="en-GB" w:eastAsia="ro-RO"/>
                              <w14:ligatures w14:val="none"/>
                            </w:rPr>
                          </m:ctrlPr>
                        </m:sSubPr>
                        <m:e>
                          <m:r>
                            <w:rPr>
                              <w:rFonts w:ascii="Cambria Math" w:eastAsia="Times New Roman" w:hAnsi="Cambria Math" w:cs="Arial"/>
                              <w:kern w:val="0"/>
                              <w:sz w:val="24"/>
                              <w:szCs w:val="24"/>
                              <w:lang w:val="en-GB" w:eastAsia="ro-RO"/>
                              <w14:ligatures w14:val="none"/>
                            </w:rPr>
                            <m:t>t</m:t>
                          </m:r>
                        </m:e>
                        <m:sub>
                          <m:r>
                            <w:rPr>
                              <w:rFonts w:ascii="Cambria Math" w:eastAsia="Times New Roman" w:hAnsi="Cambria Math" w:cs="Arial"/>
                              <w:kern w:val="0"/>
                              <w:sz w:val="24"/>
                              <w:szCs w:val="24"/>
                              <w:lang w:val="en-GB" w:eastAsia="ro-RO"/>
                              <w14:ligatures w14:val="none"/>
                            </w:rPr>
                            <m:t>0</m:t>
                          </m:r>
                        </m:sub>
                      </m:sSub>
                    </m:e>
                  </m:d>
                </m:sup>
              </m:sSup>
            </m:den>
          </m:f>
        </m:oMath>
      </m:oMathPara>
    </w:p>
    <w:p w14:paraId="7F32C6BB" w14:textId="1C51C89A" w:rsidR="00AB398C" w:rsidRPr="00FA7FBF" w:rsidRDefault="00AB398C" w:rsidP="00CC0F65">
      <w:pPr>
        <w:jc w:val="both"/>
        <w:rPr>
          <w:rFonts w:ascii="Arial" w:eastAsiaTheme="minorEastAsia" w:hAnsi="Arial" w:cs="Arial"/>
          <w:lang w:val="en-GB"/>
        </w:rPr>
      </w:pPr>
      <w:r w:rsidRPr="00FA7FBF">
        <w:rPr>
          <w:rFonts w:ascii="Arial" w:hAnsi="Arial" w:cs="Arial"/>
          <w:lang w:val="en-GB"/>
        </w:rPr>
        <w:t>calibrated to 2011-2023 U.S. data</w:t>
      </w:r>
      <w:r w:rsidR="00D141D7" w:rsidRPr="00FA7FBF">
        <w:rPr>
          <w:rFonts w:ascii="Arial" w:hAnsi="Arial" w:cs="Arial"/>
          <w:lang w:val="en-G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5"/>
        <w:gridCol w:w="1080"/>
        <w:gridCol w:w="1620"/>
        <w:gridCol w:w="4747"/>
      </w:tblGrid>
      <w:tr w:rsidR="004457A7" w:rsidRPr="00FA7FBF" w14:paraId="04DCC6EA" w14:textId="77777777" w:rsidTr="00472BDA">
        <w:tc>
          <w:tcPr>
            <w:tcW w:w="1615" w:type="dxa"/>
            <w:hideMark/>
          </w:tcPr>
          <w:p w14:paraId="59FEE872" w14:textId="77777777" w:rsidR="00AB398C" w:rsidRPr="00FA7FBF" w:rsidRDefault="00AB398C" w:rsidP="00CC0F65">
            <w:pPr>
              <w:jc w:val="both"/>
              <w:rPr>
                <w:rFonts w:ascii="Arial" w:hAnsi="Arial" w:cs="Arial"/>
                <w:b/>
                <w:bCs/>
                <w:lang w:val="en-GB"/>
              </w:rPr>
            </w:pPr>
            <w:r w:rsidRPr="00FA7FBF">
              <w:rPr>
                <w:rFonts w:ascii="Arial" w:hAnsi="Arial" w:cs="Arial"/>
                <w:b/>
                <w:bCs/>
                <w:lang w:val="en-GB"/>
              </w:rPr>
              <w:t>Parameter</w:t>
            </w:r>
          </w:p>
        </w:tc>
        <w:tc>
          <w:tcPr>
            <w:tcW w:w="1080" w:type="dxa"/>
            <w:hideMark/>
          </w:tcPr>
          <w:p w14:paraId="232848A3" w14:textId="77777777" w:rsidR="00AB398C" w:rsidRPr="00FA7FBF" w:rsidRDefault="00AB398C" w:rsidP="00CC0F65">
            <w:pPr>
              <w:jc w:val="both"/>
              <w:rPr>
                <w:rFonts w:ascii="Arial" w:hAnsi="Arial" w:cs="Arial"/>
                <w:b/>
                <w:bCs/>
                <w:lang w:val="en-GB"/>
              </w:rPr>
            </w:pPr>
            <w:r w:rsidRPr="00FA7FBF">
              <w:rPr>
                <w:rFonts w:ascii="Arial" w:hAnsi="Arial" w:cs="Arial"/>
                <w:b/>
                <w:bCs/>
                <w:lang w:val="en-GB"/>
              </w:rPr>
              <w:t>Symbol</w:t>
            </w:r>
          </w:p>
        </w:tc>
        <w:tc>
          <w:tcPr>
            <w:tcW w:w="1620" w:type="dxa"/>
            <w:hideMark/>
          </w:tcPr>
          <w:p w14:paraId="5B776C48" w14:textId="77777777" w:rsidR="00AB398C" w:rsidRPr="00FA7FBF" w:rsidRDefault="00AB398C" w:rsidP="00CC0F65">
            <w:pPr>
              <w:jc w:val="both"/>
              <w:rPr>
                <w:rFonts w:ascii="Arial" w:hAnsi="Arial" w:cs="Arial"/>
                <w:b/>
                <w:bCs/>
                <w:lang w:val="en-GB"/>
              </w:rPr>
            </w:pPr>
            <w:r w:rsidRPr="00FA7FBF">
              <w:rPr>
                <w:rFonts w:ascii="Arial" w:hAnsi="Arial" w:cs="Arial"/>
                <w:b/>
                <w:bCs/>
                <w:lang w:val="en-GB"/>
              </w:rPr>
              <w:t>Value</w:t>
            </w:r>
          </w:p>
        </w:tc>
        <w:tc>
          <w:tcPr>
            <w:tcW w:w="4747" w:type="dxa"/>
            <w:hideMark/>
          </w:tcPr>
          <w:p w14:paraId="0F81E28C" w14:textId="77777777" w:rsidR="00AB398C" w:rsidRPr="00FA7FBF" w:rsidRDefault="00AB398C" w:rsidP="00CC0F65">
            <w:pPr>
              <w:jc w:val="both"/>
              <w:rPr>
                <w:rFonts w:ascii="Arial" w:hAnsi="Arial" w:cs="Arial"/>
                <w:b/>
                <w:bCs/>
                <w:lang w:val="en-GB"/>
              </w:rPr>
            </w:pPr>
            <w:r w:rsidRPr="00FA7FBF">
              <w:rPr>
                <w:rFonts w:ascii="Arial" w:hAnsi="Arial" w:cs="Arial"/>
                <w:b/>
                <w:bCs/>
                <w:lang w:val="en-GB"/>
              </w:rPr>
              <w:t>Rationale</w:t>
            </w:r>
          </w:p>
        </w:tc>
      </w:tr>
      <w:tr w:rsidR="004457A7" w:rsidRPr="00FA7FBF" w14:paraId="21BD9D67" w14:textId="77777777" w:rsidTr="00472BDA">
        <w:tc>
          <w:tcPr>
            <w:tcW w:w="1615" w:type="dxa"/>
            <w:hideMark/>
          </w:tcPr>
          <w:p w14:paraId="24C7BF60" w14:textId="77777777" w:rsidR="00AB398C" w:rsidRPr="00FA7FBF" w:rsidRDefault="00AB398C" w:rsidP="00CC0F65">
            <w:pPr>
              <w:jc w:val="both"/>
              <w:rPr>
                <w:rFonts w:ascii="Arial" w:hAnsi="Arial" w:cs="Arial"/>
                <w:lang w:val="en-GB"/>
              </w:rPr>
            </w:pPr>
            <w:r w:rsidRPr="00FA7FBF">
              <w:rPr>
                <w:rFonts w:ascii="Arial" w:hAnsi="Arial" w:cs="Arial"/>
                <w:lang w:val="en-GB"/>
              </w:rPr>
              <w:t>Carrying capacity</w:t>
            </w:r>
          </w:p>
        </w:tc>
        <w:tc>
          <w:tcPr>
            <w:tcW w:w="1080" w:type="dxa"/>
            <w:hideMark/>
          </w:tcPr>
          <w:p w14:paraId="1E057A7A" w14:textId="77777777" w:rsidR="00AB398C" w:rsidRPr="00FA7FBF" w:rsidRDefault="00AB398C" w:rsidP="00CC0F65">
            <w:pPr>
              <w:jc w:val="both"/>
              <w:rPr>
                <w:rFonts w:ascii="Arial" w:hAnsi="Arial" w:cs="Arial"/>
                <w:lang w:val="en-GB"/>
              </w:rPr>
            </w:pPr>
            <w:r w:rsidRPr="00FA7FBF">
              <w:rPr>
                <w:rFonts w:ascii="Arial" w:hAnsi="Arial" w:cs="Arial"/>
                <w:lang w:val="en-GB"/>
              </w:rPr>
              <w:t>K</w:t>
            </w:r>
          </w:p>
        </w:tc>
        <w:tc>
          <w:tcPr>
            <w:tcW w:w="1620" w:type="dxa"/>
            <w:hideMark/>
          </w:tcPr>
          <w:p w14:paraId="5338616D" w14:textId="77777777" w:rsidR="00AB398C" w:rsidRPr="00FA7FBF" w:rsidRDefault="00AB398C" w:rsidP="00CC0F65">
            <w:pPr>
              <w:jc w:val="both"/>
              <w:rPr>
                <w:rFonts w:ascii="Arial" w:hAnsi="Arial" w:cs="Arial"/>
                <w:lang w:val="en-GB"/>
              </w:rPr>
            </w:pPr>
            <w:r w:rsidRPr="00FA7FBF">
              <w:rPr>
                <w:rFonts w:ascii="Arial" w:hAnsi="Arial" w:cs="Arial"/>
                <w:lang w:val="en-GB"/>
              </w:rPr>
              <w:t>12 million vehicles / year</w:t>
            </w:r>
          </w:p>
        </w:tc>
        <w:tc>
          <w:tcPr>
            <w:tcW w:w="4747" w:type="dxa"/>
            <w:hideMark/>
          </w:tcPr>
          <w:p w14:paraId="34FE7AE6" w14:textId="1B636A74" w:rsidR="00AB398C" w:rsidRPr="00FA7FBF" w:rsidRDefault="001F456B" w:rsidP="00CC0F65">
            <w:pPr>
              <w:jc w:val="both"/>
              <w:rPr>
                <w:rFonts w:ascii="Arial" w:hAnsi="Arial" w:cs="Arial"/>
                <w:lang w:val="en-GB"/>
              </w:rPr>
            </w:pPr>
            <w:r w:rsidRPr="00FA7FBF">
              <w:rPr>
                <w:rFonts w:ascii="Arial" w:hAnsi="Arial" w:cs="Arial"/>
                <w:lang w:val="en-GB"/>
              </w:rPr>
              <w:t>~</w:t>
            </w:r>
            <w:r w:rsidR="008443E0" w:rsidRPr="00FA7FBF">
              <w:rPr>
                <w:rFonts w:ascii="Arial" w:hAnsi="Arial" w:cs="Arial"/>
                <w:lang w:val="en-GB"/>
              </w:rPr>
              <w:t>80</w:t>
            </w:r>
            <w:r w:rsidR="00AB398C" w:rsidRPr="00FA7FBF">
              <w:rPr>
                <w:rFonts w:ascii="Arial" w:hAnsi="Arial" w:cs="Arial"/>
                <w:lang w:val="en-GB"/>
              </w:rPr>
              <w:t xml:space="preserve"> % of today</w:t>
            </w:r>
            <w:r w:rsidR="00305931" w:rsidRPr="00FA7FBF">
              <w:rPr>
                <w:rFonts w:ascii="Arial" w:hAnsi="Arial" w:cs="Arial"/>
                <w:lang w:val="en-GB"/>
              </w:rPr>
              <w:t>’</w:t>
            </w:r>
            <w:r w:rsidR="00AB398C" w:rsidRPr="00FA7FBF">
              <w:rPr>
                <w:rFonts w:ascii="Arial" w:hAnsi="Arial" w:cs="Arial"/>
                <w:lang w:val="en-GB"/>
              </w:rPr>
              <w:t>s 16 M total light-duty vehicle (LDV) market</w:t>
            </w:r>
          </w:p>
        </w:tc>
      </w:tr>
      <w:tr w:rsidR="004457A7" w:rsidRPr="00FA7FBF" w14:paraId="750DF54A" w14:textId="77777777" w:rsidTr="00472BDA">
        <w:tc>
          <w:tcPr>
            <w:tcW w:w="1615" w:type="dxa"/>
            <w:hideMark/>
          </w:tcPr>
          <w:p w14:paraId="024C35B7" w14:textId="77777777" w:rsidR="00AB398C" w:rsidRPr="00FA7FBF" w:rsidRDefault="00AB398C" w:rsidP="00CC0F65">
            <w:pPr>
              <w:jc w:val="both"/>
              <w:rPr>
                <w:rFonts w:ascii="Arial" w:hAnsi="Arial" w:cs="Arial"/>
                <w:lang w:val="en-GB"/>
              </w:rPr>
            </w:pPr>
            <w:r w:rsidRPr="00FA7FBF">
              <w:rPr>
                <w:rFonts w:ascii="Arial" w:hAnsi="Arial" w:cs="Arial"/>
                <w:lang w:val="en-GB"/>
              </w:rPr>
              <w:t>Growth rate</w:t>
            </w:r>
          </w:p>
        </w:tc>
        <w:tc>
          <w:tcPr>
            <w:tcW w:w="1080" w:type="dxa"/>
            <w:hideMark/>
          </w:tcPr>
          <w:p w14:paraId="40B550EC" w14:textId="77777777" w:rsidR="00AB398C" w:rsidRPr="00FA7FBF" w:rsidRDefault="00AB398C" w:rsidP="00CC0F65">
            <w:pPr>
              <w:jc w:val="both"/>
              <w:rPr>
                <w:rFonts w:ascii="Arial" w:hAnsi="Arial" w:cs="Arial"/>
                <w:lang w:val="en-GB"/>
              </w:rPr>
            </w:pPr>
            <w:r w:rsidRPr="00FA7FBF">
              <w:rPr>
                <w:rFonts w:ascii="Arial" w:hAnsi="Arial" w:cs="Arial"/>
                <w:lang w:val="en-GB"/>
              </w:rPr>
              <w:t>r</w:t>
            </w:r>
          </w:p>
        </w:tc>
        <w:tc>
          <w:tcPr>
            <w:tcW w:w="1620" w:type="dxa"/>
            <w:hideMark/>
          </w:tcPr>
          <w:p w14:paraId="06EE445C" w14:textId="07456013" w:rsidR="00AB398C" w:rsidRPr="00FA7FBF" w:rsidRDefault="00AB398C" w:rsidP="00CC0F65">
            <w:pPr>
              <w:jc w:val="both"/>
              <w:rPr>
                <w:rFonts w:ascii="Arial" w:hAnsi="Arial" w:cs="Arial"/>
                <w:lang w:val="en-GB"/>
              </w:rPr>
            </w:pPr>
            <w:r w:rsidRPr="00FA7FBF">
              <w:rPr>
                <w:rFonts w:ascii="Arial" w:hAnsi="Arial" w:cs="Arial"/>
                <w:lang w:val="en-GB"/>
              </w:rPr>
              <w:t>0.20 yea</w:t>
            </w:r>
            <w:r w:rsidR="0086550D" w:rsidRPr="00FA7FBF">
              <w:rPr>
                <w:rFonts w:ascii="Arial" w:hAnsi="Arial" w:cs="Arial"/>
                <w:lang w:val="en-GB"/>
              </w:rPr>
              <w:t>r</w:t>
            </w:r>
            <w:r w:rsidR="0086550D" w:rsidRPr="00FA7FBF">
              <w:rPr>
                <w:rFonts w:ascii="Arial" w:hAnsi="Arial" w:cs="Arial"/>
                <w:vertAlign w:val="superscript"/>
                <w:lang w:val="en-GB"/>
              </w:rPr>
              <w:t>-1</w:t>
            </w:r>
          </w:p>
        </w:tc>
        <w:tc>
          <w:tcPr>
            <w:tcW w:w="4747" w:type="dxa"/>
            <w:hideMark/>
          </w:tcPr>
          <w:p w14:paraId="7DC120A2" w14:textId="77777777" w:rsidR="00AB398C" w:rsidRPr="00FA7FBF" w:rsidRDefault="00AB398C" w:rsidP="00CC0F65">
            <w:pPr>
              <w:jc w:val="both"/>
              <w:rPr>
                <w:rFonts w:ascii="Arial" w:hAnsi="Arial" w:cs="Arial"/>
                <w:lang w:val="en-GB"/>
              </w:rPr>
            </w:pPr>
            <w:r w:rsidRPr="00FA7FBF">
              <w:rPr>
                <w:rFonts w:ascii="Arial" w:hAnsi="Arial" w:cs="Arial"/>
                <w:lang w:val="en-GB"/>
              </w:rPr>
              <w:t>Steep enough to hit majority adoption by mid-2030s, matches China/Norway midpoint slopes</w:t>
            </w:r>
          </w:p>
        </w:tc>
      </w:tr>
      <w:tr w:rsidR="004457A7" w:rsidRPr="00FA7FBF" w14:paraId="50400BC3" w14:textId="77777777" w:rsidTr="00472BDA">
        <w:tc>
          <w:tcPr>
            <w:tcW w:w="1615" w:type="dxa"/>
            <w:hideMark/>
          </w:tcPr>
          <w:p w14:paraId="3387FD43" w14:textId="0BA8778A" w:rsidR="00AB398C" w:rsidRPr="00FA7FBF" w:rsidRDefault="00AB398C" w:rsidP="00CC0F65">
            <w:pPr>
              <w:jc w:val="both"/>
              <w:rPr>
                <w:rFonts w:ascii="Arial" w:hAnsi="Arial" w:cs="Arial"/>
                <w:lang w:val="en-GB"/>
              </w:rPr>
            </w:pPr>
            <w:r w:rsidRPr="00FA7FBF">
              <w:rPr>
                <w:rFonts w:ascii="Arial" w:hAnsi="Arial" w:cs="Arial"/>
                <w:lang w:val="en-GB"/>
              </w:rPr>
              <w:t>Inflection</w:t>
            </w:r>
            <w:r w:rsidR="00472BDA" w:rsidRPr="00FA7FBF">
              <w:rPr>
                <w:rFonts w:ascii="Arial" w:hAnsi="Arial" w:cs="Arial"/>
                <w:lang w:val="en-GB"/>
              </w:rPr>
              <w:t xml:space="preserve"> </w:t>
            </w:r>
            <w:r w:rsidRPr="00FA7FBF">
              <w:rPr>
                <w:rFonts w:ascii="Arial" w:hAnsi="Arial" w:cs="Arial"/>
                <w:lang w:val="en-GB"/>
              </w:rPr>
              <w:t>year</w:t>
            </w:r>
          </w:p>
        </w:tc>
        <w:tc>
          <w:tcPr>
            <w:tcW w:w="1080" w:type="dxa"/>
            <w:hideMark/>
          </w:tcPr>
          <w:p w14:paraId="030BC40B" w14:textId="77777777" w:rsidR="00AB398C" w:rsidRPr="00FA7FBF" w:rsidRDefault="00AB398C" w:rsidP="00CC0F65">
            <w:pPr>
              <w:jc w:val="both"/>
              <w:rPr>
                <w:rFonts w:ascii="Arial" w:hAnsi="Arial" w:cs="Arial"/>
                <w:lang w:val="en-GB"/>
              </w:rPr>
            </w:pPr>
            <w:r w:rsidRPr="00FA7FBF">
              <w:rPr>
                <w:rFonts w:ascii="Arial" w:hAnsi="Arial" w:cs="Arial"/>
                <w:lang w:val="en-GB"/>
              </w:rPr>
              <w:t>t</w:t>
            </w:r>
            <w:r w:rsidRPr="00FA7FBF">
              <w:rPr>
                <w:rFonts w:ascii="Cambria Math" w:hAnsi="Cambria Math" w:cs="Cambria Math"/>
                <w:lang w:val="en-GB"/>
              </w:rPr>
              <w:t>₀</w:t>
            </w:r>
          </w:p>
        </w:tc>
        <w:tc>
          <w:tcPr>
            <w:tcW w:w="1620" w:type="dxa"/>
            <w:hideMark/>
          </w:tcPr>
          <w:p w14:paraId="756C7F28" w14:textId="77777777" w:rsidR="00AB398C" w:rsidRPr="00FA7FBF" w:rsidRDefault="00AB398C" w:rsidP="00CC0F65">
            <w:pPr>
              <w:jc w:val="both"/>
              <w:rPr>
                <w:rFonts w:ascii="Arial" w:hAnsi="Arial" w:cs="Arial"/>
                <w:lang w:val="en-GB"/>
              </w:rPr>
            </w:pPr>
            <w:r w:rsidRPr="00FA7FBF">
              <w:rPr>
                <w:rFonts w:ascii="Arial" w:hAnsi="Arial" w:cs="Arial"/>
                <w:lang w:val="en-GB"/>
              </w:rPr>
              <w:t>2035</w:t>
            </w:r>
          </w:p>
        </w:tc>
        <w:tc>
          <w:tcPr>
            <w:tcW w:w="4747" w:type="dxa"/>
            <w:hideMark/>
          </w:tcPr>
          <w:p w14:paraId="5E572555" w14:textId="73415A6D" w:rsidR="00AB398C" w:rsidRPr="00FA7FBF" w:rsidRDefault="00AB398C" w:rsidP="00CC0F65">
            <w:pPr>
              <w:jc w:val="both"/>
              <w:rPr>
                <w:rFonts w:ascii="Arial" w:hAnsi="Arial" w:cs="Arial"/>
                <w:lang w:val="en-GB"/>
              </w:rPr>
            </w:pPr>
            <w:r w:rsidRPr="00FA7FBF">
              <w:rPr>
                <w:rFonts w:ascii="Arial" w:hAnsi="Arial" w:cs="Arial"/>
                <w:lang w:val="en-GB"/>
              </w:rPr>
              <w:t xml:space="preserve">Year when EVs cross ~6 M units/yr </w:t>
            </w:r>
            <w:r w:rsidR="00305931" w:rsidRPr="00FA7FBF">
              <w:rPr>
                <w:rFonts w:ascii="Arial" w:hAnsi="Arial" w:cs="Arial"/>
                <w:lang w:val="en-GB"/>
              </w:rPr>
              <w:t>(</w:t>
            </w:r>
            <w:r w:rsidRPr="00FA7FBF">
              <w:rPr>
                <w:rFonts w:ascii="Arial" w:hAnsi="Arial" w:cs="Arial"/>
                <w:lang w:val="en-GB"/>
              </w:rPr>
              <w:t>50 % of new LDV sales</w:t>
            </w:r>
            <w:r w:rsidR="00305931" w:rsidRPr="00FA7FBF">
              <w:rPr>
                <w:rFonts w:ascii="Arial" w:hAnsi="Arial" w:cs="Arial"/>
                <w:lang w:val="en-GB"/>
              </w:rPr>
              <w:t>)</w:t>
            </w:r>
          </w:p>
        </w:tc>
      </w:tr>
    </w:tbl>
    <w:p w14:paraId="36AACE99" w14:textId="77777777" w:rsidR="00AB398C" w:rsidRPr="00FA7FBF" w:rsidRDefault="00AB398C" w:rsidP="00CC0F65">
      <w:pPr>
        <w:jc w:val="both"/>
        <w:rPr>
          <w:rFonts w:ascii="Arial" w:hAnsi="Arial" w:cs="Arial"/>
          <w:lang w:val="en-GB"/>
        </w:rPr>
      </w:pPr>
    </w:p>
    <w:p w14:paraId="377336A2" w14:textId="1444E2EA" w:rsidR="00574429" w:rsidRPr="00FA7FBF" w:rsidRDefault="004575FC" w:rsidP="00CC0F65">
      <w:pPr>
        <w:pStyle w:val="Heading2"/>
        <w:jc w:val="both"/>
        <w:rPr>
          <w:rFonts w:ascii="Arial" w:hAnsi="Arial" w:cs="Arial"/>
          <w:color w:val="auto"/>
          <w:lang w:val="en-GB"/>
        </w:rPr>
      </w:pPr>
      <w:bookmarkStart w:id="2" w:name="_Toc199258763"/>
      <w:r w:rsidRPr="00FA7FBF">
        <w:rPr>
          <w:rFonts w:ascii="Arial" w:hAnsi="Arial" w:cs="Arial"/>
          <w:color w:val="auto"/>
          <w:lang w:val="en-GB"/>
        </w:rPr>
        <w:t>3</w:t>
      </w:r>
      <w:r w:rsidR="00574429" w:rsidRPr="00FA7FBF">
        <w:rPr>
          <w:rFonts w:ascii="Arial" w:hAnsi="Arial" w:cs="Arial"/>
          <w:color w:val="auto"/>
          <w:lang w:val="en-GB"/>
        </w:rPr>
        <w:t>. Economic factors</w:t>
      </w:r>
      <w:bookmarkEnd w:id="2"/>
    </w:p>
    <w:p w14:paraId="7889B783" w14:textId="77777777" w:rsidR="00D141D7" w:rsidRPr="00FA7FBF" w:rsidRDefault="00D141D7" w:rsidP="00D141D7">
      <w:pPr>
        <w:jc w:val="both"/>
        <w:rPr>
          <w:rFonts w:ascii="Arial" w:hAnsi="Arial" w:cs="Arial"/>
          <w:lang w:val="en-GB"/>
        </w:rPr>
      </w:pPr>
      <w:r w:rsidRPr="00FA7FBF">
        <w:rPr>
          <w:rFonts w:ascii="Arial" w:hAnsi="Arial" w:cs="Arial"/>
          <w:lang w:val="en-GB"/>
        </w:rPr>
        <w:t>Economic factors play a crucial role in EV adoption rates. Our analysis incorporates several key economic variables:</w:t>
      </w:r>
    </w:p>
    <w:p w14:paraId="234D75C7" w14:textId="77777777" w:rsidR="00D141D7" w:rsidRPr="00FA7FBF" w:rsidRDefault="00D141D7" w:rsidP="00D141D7">
      <w:pPr>
        <w:jc w:val="both"/>
        <w:rPr>
          <w:rFonts w:ascii="Arial" w:hAnsi="Arial" w:cs="Arial"/>
          <w:lang w:val="en-GB"/>
        </w:rPr>
      </w:pPr>
      <w:r w:rsidRPr="00FA7FBF">
        <w:rPr>
          <w:rFonts w:ascii="Arial" w:hAnsi="Arial" w:cs="Arial"/>
          <w:lang w:val="en-GB"/>
        </w:rPr>
        <w:t>Battery costs represent approximately 30% of EV retail prices and have been declining steadily. From approximately $120/kWh in 2023, we project costs will follow a sigmoid decline toward an asymptotic floor of $50/kWh by the mid-2040s. This decline directly impacts vehicle affordability and consequently adoption rates.</w:t>
      </w:r>
    </w:p>
    <w:p w14:paraId="4F8C4667" w14:textId="7C4A3820" w:rsidR="00D141D7" w:rsidRPr="00FA7FBF" w:rsidRDefault="00D141D7" w:rsidP="00D141D7">
      <w:pPr>
        <w:jc w:val="center"/>
        <w:rPr>
          <w:rFonts w:ascii="Arial" w:hAnsi="Arial" w:cs="Arial"/>
          <w:lang w:val="en-GB"/>
        </w:rPr>
      </w:pPr>
      <w:r w:rsidRPr="00FA7FBF">
        <w:rPr>
          <w:rFonts w:ascii="Arial" w:hAnsi="Arial" w:cs="Arial"/>
          <w:noProof/>
          <w:lang w:val="en-GB"/>
        </w:rPr>
        <w:drawing>
          <wp:inline distT="0" distB="0" distL="0" distR="0" wp14:anchorId="46581FDB" wp14:editId="61BCA52B">
            <wp:extent cx="4021015" cy="3216990"/>
            <wp:effectExtent l="0" t="0" r="0" b="2540"/>
            <wp:docPr id="1272682419" name="Picture 1" descr="A graph showing a curv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82419" name="Picture 1" descr="A graph showing a curve and a line&#10;&#10;AI-generated content may be incorrect."/>
                    <pic:cNvPicPr/>
                  </pic:nvPicPr>
                  <pic:blipFill>
                    <a:blip r:embed="rId8"/>
                    <a:stretch>
                      <a:fillRect/>
                    </a:stretch>
                  </pic:blipFill>
                  <pic:spPr>
                    <a:xfrm>
                      <a:off x="0" y="0"/>
                      <a:ext cx="4039523" cy="3231797"/>
                    </a:xfrm>
                    <a:prstGeom prst="rect">
                      <a:avLst/>
                    </a:prstGeom>
                  </pic:spPr>
                </pic:pic>
              </a:graphicData>
            </a:graphic>
          </wp:inline>
        </w:drawing>
      </w:r>
    </w:p>
    <w:p w14:paraId="0057EE05" w14:textId="77777777" w:rsidR="00D141D7" w:rsidRPr="00FA7FBF" w:rsidRDefault="00D141D7" w:rsidP="00D141D7">
      <w:pPr>
        <w:jc w:val="both"/>
        <w:rPr>
          <w:rFonts w:ascii="Arial" w:hAnsi="Arial" w:cs="Arial"/>
          <w:lang w:val="en-GB"/>
        </w:rPr>
      </w:pPr>
      <w:r w:rsidRPr="00FA7FBF">
        <w:rPr>
          <w:rFonts w:ascii="Arial" w:hAnsi="Arial" w:cs="Arial"/>
          <w:lang w:val="en-GB"/>
        </w:rPr>
        <w:lastRenderedPageBreak/>
        <w:t>The model incorporates GDP growth projections with a mean annual growth rate of 1.8% and standard deviation of 1.0%. Economic growth affects purchasing power and vehicle affordability, with an elasticity factor of 0.8 (meaning a 1% increase in GDP corresponds to a 0.8% increase in EV demand, all else equal).</w:t>
      </w:r>
    </w:p>
    <w:p w14:paraId="307EEBE7" w14:textId="09928039" w:rsidR="00D141D7" w:rsidRPr="00FA7FBF" w:rsidRDefault="00D141D7" w:rsidP="00D141D7">
      <w:pPr>
        <w:jc w:val="both"/>
        <w:rPr>
          <w:rFonts w:ascii="Arial" w:hAnsi="Arial" w:cs="Arial"/>
          <w:lang w:val="en-GB"/>
        </w:rPr>
      </w:pPr>
      <w:r w:rsidRPr="00FA7FBF">
        <w:rPr>
          <w:rFonts w:ascii="Arial" w:hAnsi="Arial" w:cs="Arial"/>
          <w:lang w:val="en-GB"/>
        </w:rPr>
        <w:t xml:space="preserve">Consumer response to price changes is </w:t>
      </w:r>
      <w:r w:rsidR="007506F2" w:rsidRPr="00FA7FBF">
        <w:rPr>
          <w:rFonts w:ascii="Arial" w:hAnsi="Arial" w:cs="Arial"/>
          <w:lang w:val="en-GB"/>
        </w:rPr>
        <w:t>modelled</w:t>
      </w:r>
      <w:r w:rsidRPr="00FA7FBF">
        <w:rPr>
          <w:rFonts w:ascii="Arial" w:hAnsi="Arial" w:cs="Arial"/>
          <w:lang w:val="en-GB"/>
        </w:rPr>
        <w:t xml:space="preserve"> with a price elasticity of 1.1, indicating that a 1% decrease in EV prices corresponds to a 1.1% increase in demand. This elasticity factor is applied to the price changes resulting from battery cost reductions.</w:t>
      </w:r>
    </w:p>
    <w:p w14:paraId="2182B5CF" w14:textId="77777777" w:rsidR="00D141D7" w:rsidRPr="00FA7FBF" w:rsidRDefault="00D141D7" w:rsidP="00D141D7">
      <w:pPr>
        <w:jc w:val="both"/>
        <w:rPr>
          <w:rFonts w:ascii="Arial" w:hAnsi="Arial" w:cs="Arial"/>
          <w:lang w:val="en-GB"/>
        </w:rPr>
      </w:pPr>
      <w:r w:rsidRPr="00FA7FBF">
        <w:rPr>
          <w:rFonts w:ascii="Arial" w:hAnsi="Arial" w:cs="Arial"/>
          <w:lang w:val="en-GB"/>
        </w:rPr>
        <w:t>The current economic environment is characterized by increased volatility due to:</w:t>
      </w:r>
    </w:p>
    <w:p w14:paraId="2E8585D1" w14:textId="77777777" w:rsidR="00D141D7" w:rsidRPr="00FA7FBF" w:rsidRDefault="00D141D7" w:rsidP="00D141D7">
      <w:pPr>
        <w:numPr>
          <w:ilvl w:val="0"/>
          <w:numId w:val="14"/>
        </w:numPr>
        <w:jc w:val="both"/>
        <w:rPr>
          <w:rFonts w:ascii="Arial" w:hAnsi="Arial" w:cs="Arial"/>
          <w:lang w:val="en-GB"/>
        </w:rPr>
      </w:pPr>
      <w:r w:rsidRPr="00FA7FBF">
        <w:rPr>
          <w:rFonts w:ascii="Arial" w:hAnsi="Arial" w:cs="Arial"/>
          <w:lang w:val="en-GB"/>
        </w:rPr>
        <w:t>Trade tensions and tariff policies affecting supply chains</w:t>
      </w:r>
    </w:p>
    <w:p w14:paraId="536B5E91" w14:textId="77777777" w:rsidR="00D141D7" w:rsidRPr="00FA7FBF" w:rsidRDefault="00D141D7" w:rsidP="00D141D7">
      <w:pPr>
        <w:numPr>
          <w:ilvl w:val="0"/>
          <w:numId w:val="14"/>
        </w:numPr>
        <w:jc w:val="both"/>
        <w:rPr>
          <w:rFonts w:ascii="Arial" w:hAnsi="Arial" w:cs="Arial"/>
          <w:lang w:val="en-GB"/>
        </w:rPr>
      </w:pPr>
      <w:r w:rsidRPr="00FA7FBF">
        <w:rPr>
          <w:rFonts w:ascii="Arial" w:hAnsi="Arial" w:cs="Arial"/>
          <w:lang w:val="en-GB"/>
        </w:rPr>
        <w:t>Inflation pressures and monetary policy responses</w:t>
      </w:r>
    </w:p>
    <w:p w14:paraId="5917D0FE" w14:textId="77777777" w:rsidR="00D141D7" w:rsidRPr="00FA7FBF" w:rsidRDefault="00D141D7" w:rsidP="00D141D7">
      <w:pPr>
        <w:numPr>
          <w:ilvl w:val="0"/>
          <w:numId w:val="14"/>
        </w:numPr>
        <w:jc w:val="both"/>
        <w:rPr>
          <w:rFonts w:ascii="Arial" w:hAnsi="Arial" w:cs="Arial"/>
          <w:lang w:val="en-GB"/>
        </w:rPr>
      </w:pPr>
      <w:r w:rsidRPr="00FA7FBF">
        <w:rPr>
          <w:rFonts w:ascii="Arial" w:hAnsi="Arial" w:cs="Arial"/>
          <w:lang w:val="en-GB"/>
        </w:rPr>
        <w:t>Stock market fluctuations impacting consumer confidence</w:t>
      </w:r>
    </w:p>
    <w:p w14:paraId="01B984D5" w14:textId="77777777" w:rsidR="00D141D7" w:rsidRPr="00FA7FBF" w:rsidRDefault="00D141D7" w:rsidP="00D141D7">
      <w:pPr>
        <w:numPr>
          <w:ilvl w:val="0"/>
          <w:numId w:val="14"/>
        </w:numPr>
        <w:jc w:val="both"/>
        <w:rPr>
          <w:rFonts w:ascii="Arial" w:hAnsi="Arial" w:cs="Arial"/>
          <w:lang w:val="en-GB"/>
        </w:rPr>
      </w:pPr>
      <w:r w:rsidRPr="00FA7FBF">
        <w:rPr>
          <w:rFonts w:ascii="Arial" w:hAnsi="Arial" w:cs="Arial"/>
          <w:lang w:val="en-GB"/>
        </w:rPr>
        <w:t>Global supply chain disruptions</w:t>
      </w:r>
    </w:p>
    <w:p w14:paraId="15363062" w14:textId="24A2F6D6" w:rsidR="00574429" w:rsidRPr="00FA7FBF" w:rsidRDefault="00D141D7" w:rsidP="00CC0F65">
      <w:pPr>
        <w:jc w:val="both"/>
        <w:rPr>
          <w:rFonts w:ascii="Arial" w:hAnsi="Arial" w:cs="Arial"/>
          <w:lang w:val="en-GB"/>
        </w:rPr>
      </w:pPr>
      <w:r w:rsidRPr="00FA7FBF">
        <w:rPr>
          <w:rFonts w:ascii="Arial" w:hAnsi="Arial" w:cs="Arial"/>
          <w:lang w:val="en-GB"/>
        </w:rPr>
        <w:t>These factors create a “fog of war” effect that increases uncertainty in forecasts. Our model addresses this through Monte Carlo simulations that incorporate this uncertainty, producing not just median projections but also confidence intervals (10-90% ranges) for each scenario.</w:t>
      </w:r>
    </w:p>
    <w:p w14:paraId="5AEAE848" w14:textId="19400CD1" w:rsidR="00574429" w:rsidRPr="00FA7FBF" w:rsidRDefault="00574429" w:rsidP="00CC0F65">
      <w:pPr>
        <w:jc w:val="both"/>
        <w:rPr>
          <w:rFonts w:ascii="Arial" w:hAnsi="Arial" w:cs="Arial"/>
          <w:lang w:val="en-GB"/>
        </w:rPr>
      </w:pPr>
    </w:p>
    <w:p w14:paraId="00DDF358" w14:textId="60EAD66E" w:rsidR="00574429" w:rsidRPr="00FA7FBF" w:rsidRDefault="004575FC" w:rsidP="00CC0F65">
      <w:pPr>
        <w:pStyle w:val="Heading2"/>
        <w:jc w:val="both"/>
        <w:rPr>
          <w:rFonts w:ascii="Arial" w:hAnsi="Arial" w:cs="Arial"/>
          <w:color w:val="auto"/>
          <w:lang w:val="en-GB"/>
        </w:rPr>
      </w:pPr>
      <w:bookmarkStart w:id="3" w:name="_Toc199258764"/>
      <w:r w:rsidRPr="00FA7FBF">
        <w:rPr>
          <w:rFonts w:ascii="Arial" w:hAnsi="Arial" w:cs="Arial"/>
          <w:color w:val="auto"/>
          <w:lang w:val="en-GB"/>
        </w:rPr>
        <w:t>4</w:t>
      </w:r>
      <w:r w:rsidR="00574429" w:rsidRPr="00FA7FBF">
        <w:rPr>
          <w:rFonts w:ascii="Arial" w:hAnsi="Arial" w:cs="Arial"/>
          <w:color w:val="auto"/>
          <w:lang w:val="en-GB"/>
        </w:rPr>
        <w:t xml:space="preserve">. Social </w:t>
      </w:r>
      <w:r w:rsidR="000C44FC" w:rsidRPr="00FA7FBF">
        <w:rPr>
          <w:rFonts w:ascii="Arial" w:hAnsi="Arial" w:cs="Arial"/>
          <w:color w:val="auto"/>
          <w:lang w:val="en-GB"/>
        </w:rPr>
        <w:t>and</w:t>
      </w:r>
      <w:r w:rsidR="00574429" w:rsidRPr="00FA7FBF">
        <w:rPr>
          <w:rFonts w:ascii="Arial" w:hAnsi="Arial" w:cs="Arial"/>
          <w:color w:val="auto"/>
          <w:lang w:val="en-GB"/>
        </w:rPr>
        <w:t xml:space="preserve"> legal factors</w:t>
      </w:r>
      <w:bookmarkEnd w:id="3"/>
    </w:p>
    <w:p w14:paraId="2578D6CD" w14:textId="77777777" w:rsidR="00D141D7" w:rsidRPr="00FA7FBF" w:rsidRDefault="00D141D7" w:rsidP="00D141D7">
      <w:pPr>
        <w:jc w:val="both"/>
        <w:rPr>
          <w:rFonts w:ascii="Arial" w:hAnsi="Arial" w:cs="Arial"/>
          <w:noProof/>
          <w:lang w:val="en-GB"/>
        </w:rPr>
      </w:pPr>
      <w:r w:rsidRPr="00FA7FBF">
        <w:rPr>
          <w:rFonts w:ascii="Arial" w:hAnsi="Arial" w:cs="Arial"/>
          <w:noProof/>
          <w:lang w:val="en-GB"/>
        </w:rPr>
        <w:t>Government policies and social attitudes significantly influence EV adoption. Our analysis incorporates the following key policy events and their projected impacts:</w:t>
      </w:r>
    </w:p>
    <w:p w14:paraId="27D53856" w14:textId="0D1EB6DB" w:rsidR="00D141D7" w:rsidRPr="00FA7FBF" w:rsidRDefault="00D141D7" w:rsidP="00D141D7">
      <w:pPr>
        <w:jc w:val="both"/>
        <w:rPr>
          <w:rFonts w:ascii="Arial" w:hAnsi="Arial" w:cs="Arial"/>
          <w:noProof/>
          <w:lang w:val="en-GB"/>
        </w:rPr>
      </w:pPr>
      <w:r w:rsidRPr="00FA7FBF">
        <w:rPr>
          <w:rFonts w:ascii="Arial" w:hAnsi="Arial" w:cs="Arial"/>
          <w:noProof/>
          <w:lang w:val="en-GB"/>
        </w:rPr>
        <w:t>Federal Incentives</w:t>
      </w:r>
      <w:r w:rsidR="007506F2" w:rsidRPr="00FA7FBF">
        <w:rPr>
          <w:rFonts w:ascii="Arial" w:hAnsi="Arial" w:cs="Arial"/>
          <w:noProof/>
          <w:lang w:val="en-GB"/>
        </w:rPr>
        <w:t>:</w:t>
      </w:r>
    </w:p>
    <w:p w14:paraId="39DF081F" w14:textId="77777777" w:rsidR="00D141D7" w:rsidRPr="00FA7FBF" w:rsidRDefault="00D141D7" w:rsidP="00D141D7">
      <w:pPr>
        <w:numPr>
          <w:ilvl w:val="0"/>
          <w:numId w:val="15"/>
        </w:numPr>
        <w:jc w:val="both"/>
        <w:rPr>
          <w:rFonts w:ascii="Arial" w:hAnsi="Arial" w:cs="Arial"/>
          <w:noProof/>
          <w:lang w:val="en-GB"/>
        </w:rPr>
      </w:pPr>
      <w:r w:rsidRPr="00FA7FBF">
        <w:rPr>
          <w:rFonts w:ascii="Arial" w:hAnsi="Arial" w:cs="Arial"/>
          <w:noProof/>
          <w:lang w:val="en-GB"/>
        </w:rPr>
        <w:t>Federal Tax Credit Phase-Down (2024): The gradual reduction of federal incentives creates a slight headwind (-2% impact) in the near term.</w:t>
      </w:r>
    </w:p>
    <w:p w14:paraId="3C474EAD" w14:textId="77777777" w:rsidR="00D141D7" w:rsidRPr="00FA7FBF" w:rsidRDefault="00D141D7" w:rsidP="00D141D7">
      <w:pPr>
        <w:numPr>
          <w:ilvl w:val="0"/>
          <w:numId w:val="15"/>
        </w:numPr>
        <w:jc w:val="both"/>
        <w:rPr>
          <w:rFonts w:ascii="Arial" w:hAnsi="Arial" w:cs="Arial"/>
          <w:noProof/>
          <w:lang w:val="en-GB"/>
        </w:rPr>
      </w:pPr>
      <w:r w:rsidRPr="00FA7FBF">
        <w:rPr>
          <w:rFonts w:ascii="Arial" w:hAnsi="Arial" w:cs="Arial"/>
          <w:noProof/>
          <w:lang w:val="en-GB"/>
        </w:rPr>
        <w:t>Federal 100% ZEV Mandate (2040): A potential federal zero-emission vehicle mandate would create a significant step-change in adoption (+10% impact).</w:t>
      </w:r>
    </w:p>
    <w:p w14:paraId="16A20C48" w14:textId="544DBCC2" w:rsidR="00D141D7" w:rsidRPr="00FA7FBF" w:rsidRDefault="00D141D7" w:rsidP="00D141D7">
      <w:pPr>
        <w:jc w:val="both"/>
        <w:rPr>
          <w:rFonts w:ascii="Arial" w:hAnsi="Arial" w:cs="Arial"/>
          <w:noProof/>
          <w:lang w:val="en-GB"/>
        </w:rPr>
      </w:pPr>
      <w:r w:rsidRPr="00FA7FBF">
        <w:rPr>
          <w:rFonts w:ascii="Arial" w:hAnsi="Arial" w:cs="Arial"/>
          <w:noProof/>
          <w:lang w:val="en-GB"/>
        </w:rPr>
        <w:t>State Policies</w:t>
      </w:r>
      <w:r w:rsidR="007506F2" w:rsidRPr="00FA7FBF">
        <w:rPr>
          <w:rFonts w:ascii="Arial" w:hAnsi="Arial" w:cs="Arial"/>
          <w:noProof/>
          <w:lang w:val="en-GB"/>
        </w:rPr>
        <w:t>:</w:t>
      </w:r>
    </w:p>
    <w:p w14:paraId="61BDD9EE" w14:textId="7FB81691" w:rsidR="00D141D7" w:rsidRPr="00FA7FBF" w:rsidRDefault="00D141D7" w:rsidP="00D141D7">
      <w:pPr>
        <w:numPr>
          <w:ilvl w:val="0"/>
          <w:numId w:val="16"/>
        </w:numPr>
        <w:jc w:val="both"/>
        <w:rPr>
          <w:rFonts w:ascii="Arial" w:hAnsi="Arial" w:cs="Arial"/>
          <w:noProof/>
          <w:lang w:val="en-GB"/>
        </w:rPr>
      </w:pPr>
      <w:r w:rsidRPr="00FA7FBF">
        <w:rPr>
          <w:rFonts w:ascii="Arial" w:hAnsi="Arial" w:cs="Arial"/>
          <w:noProof/>
          <w:lang w:val="en-GB"/>
        </w:rPr>
        <w:t>Multiple States Adopt California ZEV Standards (2026): As more states align with California</w:t>
      </w:r>
      <w:r w:rsidR="00305931" w:rsidRPr="00FA7FBF">
        <w:rPr>
          <w:rFonts w:ascii="Arial" w:hAnsi="Arial" w:cs="Arial"/>
          <w:noProof/>
          <w:lang w:val="en-GB"/>
        </w:rPr>
        <w:t>’</w:t>
      </w:r>
      <w:r w:rsidRPr="00FA7FBF">
        <w:rPr>
          <w:rFonts w:ascii="Arial" w:hAnsi="Arial" w:cs="Arial"/>
          <w:noProof/>
          <w:lang w:val="en-GB"/>
        </w:rPr>
        <w:t>s regulations, this creates a moderate boost (+3% impact).</w:t>
      </w:r>
    </w:p>
    <w:p w14:paraId="4B5E6D01" w14:textId="77777777" w:rsidR="00D141D7" w:rsidRPr="00FA7FBF" w:rsidRDefault="00D141D7" w:rsidP="00D141D7">
      <w:pPr>
        <w:numPr>
          <w:ilvl w:val="0"/>
          <w:numId w:val="16"/>
        </w:numPr>
        <w:jc w:val="both"/>
        <w:rPr>
          <w:rFonts w:ascii="Arial" w:hAnsi="Arial" w:cs="Arial"/>
          <w:noProof/>
          <w:lang w:val="en-GB"/>
        </w:rPr>
      </w:pPr>
      <w:r w:rsidRPr="00FA7FBF">
        <w:rPr>
          <w:rFonts w:ascii="Arial" w:hAnsi="Arial" w:cs="Arial"/>
          <w:noProof/>
          <w:lang w:val="en-GB"/>
        </w:rPr>
        <w:t>Several States 100% ZEV Mandate (2035): State-level mandates for 100% zero-emission vehicles create a substantial acceleration (+7% impact).</w:t>
      </w:r>
    </w:p>
    <w:p w14:paraId="0088AEA3" w14:textId="454F4534" w:rsidR="00D141D7" w:rsidRPr="00FA7FBF" w:rsidRDefault="00D141D7" w:rsidP="00D141D7">
      <w:pPr>
        <w:jc w:val="both"/>
        <w:rPr>
          <w:rFonts w:ascii="Arial" w:hAnsi="Arial" w:cs="Arial"/>
          <w:noProof/>
          <w:lang w:val="en-GB"/>
        </w:rPr>
      </w:pPr>
      <w:r w:rsidRPr="00FA7FBF">
        <w:rPr>
          <w:rFonts w:ascii="Arial" w:hAnsi="Arial" w:cs="Arial"/>
          <w:noProof/>
          <w:lang w:val="en-GB"/>
        </w:rPr>
        <w:t>Infrastructure and Carbon Policy</w:t>
      </w:r>
      <w:r w:rsidR="007506F2" w:rsidRPr="00FA7FBF">
        <w:rPr>
          <w:rFonts w:ascii="Arial" w:hAnsi="Arial" w:cs="Arial"/>
          <w:noProof/>
          <w:lang w:val="en-GB"/>
        </w:rPr>
        <w:t>:</w:t>
      </w:r>
    </w:p>
    <w:p w14:paraId="16A04C94" w14:textId="77777777" w:rsidR="00D141D7" w:rsidRPr="00FA7FBF" w:rsidRDefault="00D141D7" w:rsidP="00D141D7">
      <w:pPr>
        <w:numPr>
          <w:ilvl w:val="0"/>
          <w:numId w:val="17"/>
        </w:numPr>
        <w:jc w:val="both"/>
        <w:rPr>
          <w:rFonts w:ascii="Arial" w:hAnsi="Arial" w:cs="Arial"/>
          <w:noProof/>
          <w:lang w:val="en-GB"/>
        </w:rPr>
      </w:pPr>
      <w:r w:rsidRPr="00FA7FBF">
        <w:rPr>
          <w:rFonts w:ascii="Arial" w:hAnsi="Arial" w:cs="Arial"/>
          <w:noProof/>
          <w:lang w:val="en-GB"/>
        </w:rPr>
        <w:t>Infrastructure Investment Peaks (2028): Major investments in charging infrastructure remove adoption barriers (+2% impact).</w:t>
      </w:r>
    </w:p>
    <w:p w14:paraId="1EA6876F" w14:textId="77777777" w:rsidR="00D141D7" w:rsidRPr="00FA7FBF" w:rsidRDefault="00D141D7" w:rsidP="00D141D7">
      <w:pPr>
        <w:numPr>
          <w:ilvl w:val="0"/>
          <w:numId w:val="17"/>
        </w:numPr>
        <w:jc w:val="both"/>
        <w:rPr>
          <w:rFonts w:ascii="Arial" w:hAnsi="Arial" w:cs="Arial"/>
          <w:noProof/>
          <w:lang w:val="en-GB"/>
        </w:rPr>
      </w:pPr>
      <w:r w:rsidRPr="00FA7FBF">
        <w:rPr>
          <w:rFonts w:ascii="Arial" w:hAnsi="Arial" w:cs="Arial"/>
          <w:noProof/>
          <w:lang w:val="en-GB"/>
        </w:rPr>
        <w:t>Carbon Pricing Introduction (2030): The introduction of carbon pricing mechanisms creates economic incentives for EV adoption (+5% impact).</w:t>
      </w:r>
    </w:p>
    <w:p w14:paraId="6563EBD6" w14:textId="508667D3" w:rsidR="00574429" w:rsidRPr="00FA7FBF" w:rsidRDefault="00D141D7" w:rsidP="00CC0F65">
      <w:pPr>
        <w:jc w:val="both"/>
        <w:rPr>
          <w:rFonts w:ascii="Arial" w:hAnsi="Arial" w:cs="Arial"/>
          <w:noProof/>
          <w:lang w:val="en-GB"/>
        </w:rPr>
      </w:pPr>
      <w:r w:rsidRPr="00FA7FBF">
        <w:rPr>
          <w:rFonts w:ascii="Arial" w:hAnsi="Arial" w:cs="Arial"/>
          <w:noProof/>
          <w:lang w:val="en-GB"/>
        </w:rPr>
        <w:t>The cumulative impact of these policies creates distinct step changes in the adoption curve, particularly visible in the updated model that explicitly incorporates these discrete events. The timing and magnitude of these policies vary significantly across scenarios, with the GreenSurge scenario featuring stronger and earlier policy implementation, while the StallOut scenario features weakened or delayed policies.</w:t>
      </w:r>
    </w:p>
    <w:p w14:paraId="6964F2F5" w14:textId="42766AEC" w:rsidR="00D141D7" w:rsidRPr="00FA7FBF" w:rsidRDefault="000C44FC" w:rsidP="00472BDA">
      <w:pPr>
        <w:jc w:val="center"/>
        <w:rPr>
          <w:rFonts w:ascii="Arial" w:hAnsi="Arial" w:cs="Arial"/>
          <w:noProof/>
          <w:lang w:val="en-GB"/>
        </w:rPr>
      </w:pPr>
      <w:r w:rsidRPr="00FA7FBF">
        <w:rPr>
          <w:rFonts w:ascii="Arial" w:hAnsi="Arial" w:cs="Arial"/>
          <w:noProof/>
          <w:lang w:val="en-GB"/>
        </w:rPr>
        <w:lastRenderedPageBreak/>
        <w:drawing>
          <wp:inline distT="0" distB="0" distL="0" distR="0" wp14:anchorId="1DF7EE29" wp14:editId="56E17BA9">
            <wp:extent cx="5041109" cy="3024554"/>
            <wp:effectExtent l="0" t="0" r="7620" b="4445"/>
            <wp:docPr id="39253620" name="Picture 1" descr="A graph with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3620" name="Picture 1" descr="A graph with red line&#10;&#10;AI-generated content may be incorrect."/>
                    <pic:cNvPicPr/>
                  </pic:nvPicPr>
                  <pic:blipFill>
                    <a:blip r:embed="rId9"/>
                    <a:stretch>
                      <a:fillRect/>
                    </a:stretch>
                  </pic:blipFill>
                  <pic:spPr>
                    <a:xfrm>
                      <a:off x="0" y="0"/>
                      <a:ext cx="5046271" cy="3027651"/>
                    </a:xfrm>
                    <a:prstGeom prst="rect">
                      <a:avLst/>
                    </a:prstGeom>
                  </pic:spPr>
                </pic:pic>
              </a:graphicData>
            </a:graphic>
          </wp:inline>
        </w:drawing>
      </w:r>
    </w:p>
    <w:p w14:paraId="491FE30E" w14:textId="77777777" w:rsidR="00D141D7" w:rsidRPr="00FA7FBF" w:rsidRDefault="00D141D7" w:rsidP="00CC0F65">
      <w:pPr>
        <w:jc w:val="both"/>
        <w:rPr>
          <w:rFonts w:ascii="Arial" w:hAnsi="Arial" w:cs="Arial"/>
          <w:lang w:val="en-GB"/>
        </w:rPr>
      </w:pPr>
    </w:p>
    <w:p w14:paraId="455B5140" w14:textId="72D9E53E" w:rsidR="00574429" w:rsidRPr="00FA7FBF" w:rsidRDefault="004575FC" w:rsidP="00CC0F65">
      <w:pPr>
        <w:pStyle w:val="Heading2"/>
        <w:jc w:val="both"/>
        <w:rPr>
          <w:rFonts w:ascii="Arial" w:hAnsi="Arial" w:cs="Arial"/>
          <w:color w:val="auto"/>
          <w:lang w:val="en-GB"/>
        </w:rPr>
      </w:pPr>
      <w:bookmarkStart w:id="4" w:name="_Toc199258765"/>
      <w:r w:rsidRPr="00FA7FBF">
        <w:rPr>
          <w:rFonts w:ascii="Arial" w:hAnsi="Arial" w:cs="Arial"/>
          <w:color w:val="auto"/>
          <w:lang w:val="en-GB"/>
        </w:rPr>
        <w:t>5</w:t>
      </w:r>
      <w:r w:rsidR="00574429" w:rsidRPr="00FA7FBF">
        <w:rPr>
          <w:rFonts w:ascii="Arial" w:hAnsi="Arial" w:cs="Arial"/>
          <w:color w:val="auto"/>
          <w:lang w:val="en-GB"/>
        </w:rPr>
        <w:t>. Technological factors</w:t>
      </w:r>
      <w:bookmarkEnd w:id="4"/>
    </w:p>
    <w:p w14:paraId="6AAD4DBF" w14:textId="77777777" w:rsidR="000C44FC" w:rsidRPr="00FA7FBF" w:rsidRDefault="000C44FC" w:rsidP="000C44FC">
      <w:pPr>
        <w:jc w:val="both"/>
        <w:rPr>
          <w:rFonts w:ascii="Arial" w:hAnsi="Arial" w:cs="Arial"/>
          <w:lang w:val="en-GB"/>
        </w:rPr>
      </w:pPr>
      <w:r w:rsidRPr="00FA7FBF">
        <w:rPr>
          <w:rFonts w:ascii="Arial" w:hAnsi="Arial" w:cs="Arial"/>
          <w:lang w:val="en-GB"/>
        </w:rPr>
        <w:t>Technological developments significantly influence EV adoption rates. Our analysis incorporates the following key technological factors and their projected impacts:</w:t>
      </w:r>
    </w:p>
    <w:p w14:paraId="158C88EF" w14:textId="03D97005" w:rsidR="000C44FC" w:rsidRPr="00FA7FBF" w:rsidRDefault="000C44FC" w:rsidP="000C44FC">
      <w:pPr>
        <w:jc w:val="both"/>
        <w:rPr>
          <w:rFonts w:ascii="Arial" w:hAnsi="Arial" w:cs="Arial"/>
          <w:lang w:val="en-GB"/>
        </w:rPr>
      </w:pPr>
      <w:r w:rsidRPr="00FA7FBF">
        <w:rPr>
          <w:rFonts w:ascii="Arial" w:hAnsi="Arial" w:cs="Arial"/>
          <w:lang w:val="en-GB"/>
        </w:rPr>
        <w:t>Manufacturing and Production</w:t>
      </w:r>
      <w:r w:rsidR="00305931" w:rsidRPr="00FA7FBF">
        <w:rPr>
          <w:rFonts w:ascii="Arial" w:hAnsi="Arial" w:cs="Arial"/>
          <w:lang w:val="en-GB"/>
        </w:rPr>
        <w:t>:</w:t>
      </w:r>
    </w:p>
    <w:p w14:paraId="4B6DE58E" w14:textId="77777777" w:rsidR="000C44FC" w:rsidRPr="00FA7FBF" w:rsidRDefault="000C44FC" w:rsidP="000C44FC">
      <w:pPr>
        <w:numPr>
          <w:ilvl w:val="0"/>
          <w:numId w:val="18"/>
        </w:numPr>
        <w:jc w:val="both"/>
        <w:rPr>
          <w:rFonts w:ascii="Arial" w:hAnsi="Arial" w:cs="Arial"/>
          <w:lang w:val="en-GB"/>
        </w:rPr>
      </w:pPr>
      <w:r w:rsidRPr="00FA7FBF">
        <w:rPr>
          <w:rFonts w:ascii="Arial" w:hAnsi="Arial" w:cs="Arial"/>
          <w:lang w:val="en-GB"/>
        </w:rPr>
        <w:t>Car Production Efficiency (+7.5%): Improvements in manufacturing processes, automation, and scale economies reduce production costs and increase availability.</w:t>
      </w:r>
    </w:p>
    <w:p w14:paraId="520C6348" w14:textId="77777777" w:rsidR="000C44FC" w:rsidRPr="00FA7FBF" w:rsidRDefault="000C44FC" w:rsidP="000C44FC">
      <w:pPr>
        <w:numPr>
          <w:ilvl w:val="0"/>
          <w:numId w:val="18"/>
        </w:numPr>
        <w:jc w:val="both"/>
        <w:rPr>
          <w:rFonts w:ascii="Arial" w:hAnsi="Arial" w:cs="Arial"/>
          <w:lang w:val="en-GB"/>
        </w:rPr>
      </w:pPr>
      <w:r w:rsidRPr="00FA7FBF">
        <w:rPr>
          <w:rFonts w:ascii="Arial" w:hAnsi="Arial" w:cs="Arial"/>
          <w:lang w:val="en-GB"/>
        </w:rPr>
        <w:t>Components/Parts Manufacturing (+2.5%): Advancements in the supply chain for EV-specific components improve reliability and reduce costs.</w:t>
      </w:r>
    </w:p>
    <w:p w14:paraId="4049B42C" w14:textId="77777777" w:rsidR="000C44FC" w:rsidRPr="00FA7FBF" w:rsidRDefault="000C44FC" w:rsidP="000C44FC">
      <w:pPr>
        <w:numPr>
          <w:ilvl w:val="0"/>
          <w:numId w:val="18"/>
        </w:numPr>
        <w:jc w:val="both"/>
        <w:rPr>
          <w:rFonts w:ascii="Arial" w:hAnsi="Arial" w:cs="Arial"/>
          <w:lang w:val="en-GB"/>
        </w:rPr>
      </w:pPr>
      <w:r w:rsidRPr="00FA7FBF">
        <w:rPr>
          <w:rFonts w:ascii="Arial" w:hAnsi="Arial" w:cs="Arial"/>
          <w:lang w:val="en-GB"/>
        </w:rPr>
        <w:t>AI in Manufacturing (+3.0%): Artificial intelligence applications in production planning, quality control, and process optimization enhance efficiency.</w:t>
      </w:r>
    </w:p>
    <w:p w14:paraId="6691CEDA" w14:textId="47AB2BAF" w:rsidR="000C44FC" w:rsidRPr="00FA7FBF" w:rsidRDefault="000C44FC" w:rsidP="000C44FC">
      <w:pPr>
        <w:jc w:val="both"/>
        <w:rPr>
          <w:rFonts w:ascii="Arial" w:hAnsi="Arial" w:cs="Arial"/>
          <w:lang w:val="en-GB"/>
        </w:rPr>
      </w:pPr>
      <w:r w:rsidRPr="00FA7FBF">
        <w:rPr>
          <w:rFonts w:ascii="Arial" w:hAnsi="Arial" w:cs="Arial"/>
          <w:lang w:val="en-GB"/>
        </w:rPr>
        <w:t>Battery and Charging Technology</w:t>
      </w:r>
      <w:r w:rsidR="00305931" w:rsidRPr="00FA7FBF">
        <w:rPr>
          <w:rFonts w:ascii="Arial" w:hAnsi="Arial" w:cs="Arial"/>
          <w:lang w:val="en-GB"/>
        </w:rPr>
        <w:t>:</w:t>
      </w:r>
    </w:p>
    <w:p w14:paraId="02B97D5B" w14:textId="77777777" w:rsidR="000C44FC" w:rsidRPr="00FA7FBF" w:rsidRDefault="000C44FC" w:rsidP="000C44FC">
      <w:pPr>
        <w:numPr>
          <w:ilvl w:val="0"/>
          <w:numId w:val="19"/>
        </w:numPr>
        <w:jc w:val="both"/>
        <w:rPr>
          <w:rFonts w:ascii="Arial" w:hAnsi="Arial" w:cs="Arial"/>
          <w:lang w:val="en-GB"/>
        </w:rPr>
      </w:pPr>
      <w:r w:rsidRPr="00FA7FBF">
        <w:rPr>
          <w:rFonts w:ascii="Arial" w:hAnsi="Arial" w:cs="Arial"/>
          <w:lang w:val="en-GB"/>
        </w:rPr>
        <w:t>Battery Technology Improvements (+4.5%): Advancements in chemistry, energy density, and manufacturing processes improve range and reduce costs.</w:t>
      </w:r>
    </w:p>
    <w:p w14:paraId="210ABEB6" w14:textId="77777777" w:rsidR="000C44FC" w:rsidRPr="00FA7FBF" w:rsidRDefault="000C44FC" w:rsidP="000C44FC">
      <w:pPr>
        <w:numPr>
          <w:ilvl w:val="0"/>
          <w:numId w:val="19"/>
        </w:numPr>
        <w:jc w:val="both"/>
        <w:rPr>
          <w:rFonts w:ascii="Arial" w:hAnsi="Arial" w:cs="Arial"/>
          <w:lang w:val="en-GB"/>
        </w:rPr>
      </w:pPr>
      <w:r w:rsidRPr="00FA7FBF">
        <w:rPr>
          <w:rFonts w:ascii="Arial" w:hAnsi="Arial" w:cs="Arial"/>
          <w:lang w:val="en-GB"/>
        </w:rPr>
        <w:t>Charging Infrastructure (+3.5%): Expansion and technological improvements in charging networks reduce range anxiety and improve convenience.</w:t>
      </w:r>
    </w:p>
    <w:p w14:paraId="34431DDE" w14:textId="0CB7B770" w:rsidR="000C44FC" w:rsidRPr="00FA7FBF" w:rsidRDefault="000C44FC" w:rsidP="000C44FC">
      <w:pPr>
        <w:jc w:val="both"/>
        <w:rPr>
          <w:rFonts w:ascii="Arial" w:hAnsi="Arial" w:cs="Arial"/>
          <w:lang w:val="en-GB"/>
        </w:rPr>
      </w:pPr>
      <w:r w:rsidRPr="00FA7FBF">
        <w:rPr>
          <w:rFonts w:ascii="Arial" w:hAnsi="Arial" w:cs="Arial"/>
          <w:lang w:val="en-GB"/>
        </w:rPr>
        <w:t>Competing and Supporting Technologies</w:t>
      </w:r>
      <w:r w:rsidR="00305931" w:rsidRPr="00FA7FBF">
        <w:rPr>
          <w:rFonts w:ascii="Arial" w:hAnsi="Arial" w:cs="Arial"/>
          <w:lang w:val="en-GB"/>
        </w:rPr>
        <w:t>:</w:t>
      </w:r>
    </w:p>
    <w:p w14:paraId="0DDD9EA6" w14:textId="77777777" w:rsidR="000C44FC" w:rsidRPr="00FA7FBF" w:rsidRDefault="000C44FC" w:rsidP="000C44FC">
      <w:pPr>
        <w:numPr>
          <w:ilvl w:val="0"/>
          <w:numId w:val="20"/>
        </w:numPr>
        <w:jc w:val="both"/>
        <w:rPr>
          <w:rFonts w:ascii="Arial" w:hAnsi="Arial" w:cs="Arial"/>
          <w:lang w:val="en-GB"/>
        </w:rPr>
      </w:pPr>
      <w:r w:rsidRPr="00FA7FBF">
        <w:rPr>
          <w:rFonts w:ascii="Arial" w:hAnsi="Arial" w:cs="Arial"/>
          <w:lang w:val="en-GB"/>
        </w:rPr>
        <w:t>Hydrogen Technologies Competition (-5.0%): Development of hydrogen fuel cell vehicles may divert some investment and adoption from battery EVs.</w:t>
      </w:r>
    </w:p>
    <w:p w14:paraId="0A1C0759" w14:textId="77777777" w:rsidR="000C44FC" w:rsidRPr="00FA7FBF" w:rsidRDefault="000C44FC" w:rsidP="000C44FC">
      <w:pPr>
        <w:numPr>
          <w:ilvl w:val="0"/>
          <w:numId w:val="20"/>
        </w:numPr>
        <w:jc w:val="both"/>
        <w:rPr>
          <w:rFonts w:ascii="Arial" w:hAnsi="Arial" w:cs="Arial"/>
          <w:lang w:val="en-GB"/>
        </w:rPr>
      </w:pPr>
      <w:r w:rsidRPr="00FA7FBF">
        <w:rPr>
          <w:rFonts w:ascii="Arial" w:hAnsi="Arial" w:cs="Arial"/>
          <w:lang w:val="en-GB"/>
        </w:rPr>
        <w:t>Smart Cities Development (+2.5%): Integration of EVs with smart city infrastructure creates synergies and incentives for adoption.</w:t>
      </w:r>
    </w:p>
    <w:p w14:paraId="705287EB" w14:textId="77777777" w:rsidR="000C44FC" w:rsidRPr="00FA7FBF" w:rsidRDefault="000C44FC" w:rsidP="000C44FC">
      <w:pPr>
        <w:numPr>
          <w:ilvl w:val="0"/>
          <w:numId w:val="20"/>
        </w:numPr>
        <w:jc w:val="both"/>
        <w:rPr>
          <w:rFonts w:ascii="Arial" w:hAnsi="Arial" w:cs="Arial"/>
          <w:lang w:val="en-GB"/>
        </w:rPr>
      </w:pPr>
      <w:r w:rsidRPr="00FA7FBF">
        <w:rPr>
          <w:rFonts w:ascii="Arial" w:hAnsi="Arial" w:cs="Arial"/>
          <w:lang w:val="en-GB"/>
        </w:rPr>
        <w:t>Grid Modernization (+2.0%): Improvements in electrical grid capacity, reliability, and smart features support EV charging needs.</w:t>
      </w:r>
    </w:p>
    <w:p w14:paraId="537155D9" w14:textId="630D6D27" w:rsidR="00574429" w:rsidRPr="00FA7FBF" w:rsidRDefault="000C44FC" w:rsidP="00CC0F65">
      <w:pPr>
        <w:jc w:val="both"/>
        <w:rPr>
          <w:rFonts w:ascii="Arial" w:hAnsi="Arial" w:cs="Arial"/>
          <w:lang w:val="en-GB"/>
        </w:rPr>
      </w:pPr>
      <w:r w:rsidRPr="00FA7FBF">
        <w:rPr>
          <w:rFonts w:ascii="Arial" w:hAnsi="Arial" w:cs="Arial"/>
          <w:noProof/>
          <w:lang w:val="en-GB"/>
        </w:rPr>
        <w:lastRenderedPageBreak/>
        <w:drawing>
          <wp:inline distT="0" distB="0" distL="0" distR="0" wp14:anchorId="15216070" wp14:editId="5A3DA79D">
            <wp:extent cx="5760720" cy="3456305"/>
            <wp:effectExtent l="0" t="0" r="0" b="0"/>
            <wp:docPr id="856118927" name="Picture 1" descr="A graph with green squares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18927" name="Picture 1" descr="A graph with green squares and red text&#10;&#10;AI-generated content may be incorrect."/>
                    <pic:cNvPicPr/>
                  </pic:nvPicPr>
                  <pic:blipFill>
                    <a:blip r:embed="rId10"/>
                    <a:stretch>
                      <a:fillRect/>
                    </a:stretch>
                  </pic:blipFill>
                  <pic:spPr>
                    <a:xfrm>
                      <a:off x="0" y="0"/>
                      <a:ext cx="5760720" cy="3456305"/>
                    </a:xfrm>
                    <a:prstGeom prst="rect">
                      <a:avLst/>
                    </a:prstGeom>
                  </pic:spPr>
                </pic:pic>
              </a:graphicData>
            </a:graphic>
          </wp:inline>
        </w:drawing>
      </w:r>
    </w:p>
    <w:p w14:paraId="33187FD4" w14:textId="77777777" w:rsidR="008C74EC" w:rsidRPr="00FA7FBF" w:rsidRDefault="008C74EC" w:rsidP="00CC0F65">
      <w:pPr>
        <w:jc w:val="both"/>
        <w:rPr>
          <w:rFonts w:ascii="Arial" w:hAnsi="Arial" w:cs="Arial"/>
          <w:lang w:val="en-GB"/>
        </w:rPr>
      </w:pPr>
    </w:p>
    <w:p w14:paraId="592C5921" w14:textId="633970FF" w:rsidR="000C44FC" w:rsidRPr="00FA7FBF" w:rsidRDefault="000C44FC" w:rsidP="00CC0F65">
      <w:pPr>
        <w:jc w:val="both"/>
        <w:rPr>
          <w:rFonts w:ascii="Arial" w:hAnsi="Arial" w:cs="Arial"/>
          <w:lang w:val="en-GB"/>
        </w:rPr>
      </w:pPr>
      <w:r w:rsidRPr="00FA7FBF">
        <w:rPr>
          <w:rFonts w:ascii="Arial" w:hAnsi="Arial" w:cs="Arial"/>
          <w:lang w:val="en-GB"/>
        </w:rPr>
        <w:t xml:space="preserve">Below is a comparison of the individual impact of four </w:t>
      </w:r>
      <w:r w:rsidR="008C74EC" w:rsidRPr="00FA7FBF">
        <w:rPr>
          <w:rFonts w:ascii="Arial" w:hAnsi="Arial" w:cs="Arial"/>
          <w:lang w:val="en-GB"/>
        </w:rPr>
        <w:t xml:space="preserve">selected </w:t>
      </w:r>
      <w:r w:rsidRPr="00FA7FBF">
        <w:rPr>
          <w:rFonts w:ascii="Arial" w:hAnsi="Arial" w:cs="Arial"/>
          <w:lang w:val="en-GB"/>
        </w:rPr>
        <w:t>factors on annual EV sales:</w:t>
      </w:r>
    </w:p>
    <w:p w14:paraId="3DB691E7" w14:textId="28C3F0E4" w:rsidR="000C44FC" w:rsidRPr="00FA7FBF" w:rsidRDefault="0042229F" w:rsidP="00CC0F65">
      <w:pPr>
        <w:jc w:val="both"/>
        <w:rPr>
          <w:rFonts w:ascii="Arial" w:hAnsi="Arial" w:cs="Arial"/>
          <w:lang w:val="en-GB"/>
        </w:rPr>
      </w:pPr>
      <w:r w:rsidRPr="00FA7FBF">
        <w:rPr>
          <w:rFonts w:ascii="Arial" w:hAnsi="Arial" w:cs="Arial"/>
          <w:noProof/>
          <w:lang w:val="en-GB"/>
        </w:rPr>
        <w:drawing>
          <wp:inline distT="0" distB="0" distL="0" distR="0" wp14:anchorId="7FFD278D" wp14:editId="6AA09948">
            <wp:extent cx="5760720" cy="3840480"/>
            <wp:effectExtent l="0" t="0" r="0" b="7620"/>
            <wp:docPr id="479917433"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17433" name="Picture 1" descr="A graph of a graph of a graph&#10;&#10;AI-generated content may be incorrect."/>
                    <pic:cNvPicPr/>
                  </pic:nvPicPr>
                  <pic:blipFill>
                    <a:blip r:embed="rId11"/>
                    <a:stretch>
                      <a:fillRect/>
                    </a:stretch>
                  </pic:blipFill>
                  <pic:spPr>
                    <a:xfrm>
                      <a:off x="0" y="0"/>
                      <a:ext cx="5760720" cy="3840480"/>
                    </a:xfrm>
                    <a:prstGeom prst="rect">
                      <a:avLst/>
                    </a:prstGeom>
                  </pic:spPr>
                </pic:pic>
              </a:graphicData>
            </a:graphic>
          </wp:inline>
        </w:drawing>
      </w:r>
    </w:p>
    <w:p w14:paraId="3DF74D9C" w14:textId="4288CC04" w:rsidR="00574429" w:rsidRPr="00FA7FBF" w:rsidRDefault="00574429" w:rsidP="00CC0F65">
      <w:pPr>
        <w:jc w:val="both"/>
        <w:rPr>
          <w:rFonts w:ascii="Arial" w:hAnsi="Arial" w:cs="Arial"/>
          <w:lang w:val="en-GB"/>
        </w:rPr>
      </w:pPr>
    </w:p>
    <w:p w14:paraId="5369231A" w14:textId="27FE9956" w:rsidR="00574429" w:rsidRPr="00FA7FBF" w:rsidRDefault="004575FC" w:rsidP="00CC0F65">
      <w:pPr>
        <w:pStyle w:val="Heading2"/>
        <w:jc w:val="both"/>
        <w:rPr>
          <w:rFonts w:ascii="Arial" w:hAnsi="Arial" w:cs="Arial"/>
          <w:color w:val="auto"/>
          <w:lang w:val="en-GB"/>
        </w:rPr>
      </w:pPr>
      <w:bookmarkStart w:id="5" w:name="_Toc199258766"/>
      <w:r w:rsidRPr="00FA7FBF">
        <w:rPr>
          <w:rFonts w:ascii="Arial" w:hAnsi="Arial" w:cs="Arial"/>
          <w:color w:val="auto"/>
          <w:lang w:val="en-GB"/>
        </w:rPr>
        <w:lastRenderedPageBreak/>
        <w:t>6</w:t>
      </w:r>
      <w:r w:rsidR="00574429" w:rsidRPr="00FA7FBF">
        <w:rPr>
          <w:rFonts w:ascii="Arial" w:hAnsi="Arial" w:cs="Arial"/>
          <w:color w:val="auto"/>
          <w:lang w:val="en-GB"/>
        </w:rPr>
        <w:t xml:space="preserve">. Integration </w:t>
      </w:r>
      <w:r w:rsidR="000C44FC" w:rsidRPr="00FA7FBF">
        <w:rPr>
          <w:rFonts w:ascii="Arial" w:hAnsi="Arial" w:cs="Arial"/>
          <w:color w:val="auto"/>
          <w:lang w:val="en-GB"/>
        </w:rPr>
        <w:t>and</w:t>
      </w:r>
      <w:r w:rsidR="00574429" w:rsidRPr="00FA7FBF">
        <w:rPr>
          <w:rFonts w:ascii="Arial" w:hAnsi="Arial" w:cs="Arial"/>
          <w:color w:val="auto"/>
          <w:lang w:val="en-GB"/>
        </w:rPr>
        <w:t xml:space="preserve"> final prediction</w:t>
      </w:r>
      <w:bookmarkEnd w:id="5"/>
    </w:p>
    <w:p w14:paraId="01236C4F" w14:textId="13A76FFD" w:rsidR="00296969" w:rsidRPr="00FA7FBF" w:rsidRDefault="003F0B50" w:rsidP="00296969">
      <w:pPr>
        <w:jc w:val="both"/>
        <w:rPr>
          <w:rFonts w:ascii="Arial" w:hAnsi="Arial" w:cs="Arial"/>
          <w:lang w:val="en-GB"/>
        </w:rPr>
      </w:pPr>
      <w:r w:rsidRPr="00FA7FBF">
        <w:rPr>
          <w:rFonts w:ascii="Arial" w:hAnsi="Arial" w:cs="Arial"/>
          <w:lang w:val="en-GB"/>
        </w:rPr>
        <w:t>The</w:t>
      </w:r>
      <w:r w:rsidR="00296969" w:rsidRPr="00FA7FBF">
        <w:rPr>
          <w:rFonts w:ascii="Arial" w:hAnsi="Arial" w:cs="Arial"/>
          <w:lang w:val="en-GB"/>
        </w:rPr>
        <w:t xml:space="preserve"> model</w:t>
      </w:r>
      <w:r w:rsidRPr="00FA7FBF">
        <w:rPr>
          <w:rFonts w:ascii="Arial" w:hAnsi="Arial" w:cs="Arial"/>
          <w:lang w:val="en-GB"/>
        </w:rPr>
        <w:t>, run for 1000 simulations,</w:t>
      </w:r>
      <w:r w:rsidR="00296969" w:rsidRPr="00FA7FBF">
        <w:rPr>
          <w:rFonts w:ascii="Arial" w:hAnsi="Arial" w:cs="Arial"/>
          <w:lang w:val="en-GB"/>
        </w:rPr>
        <w:t xml:space="preserve"> explicitly integrates all economic, social</w:t>
      </w:r>
      <w:r w:rsidRPr="00FA7FBF">
        <w:rPr>
          <w:rFonts w:ascii="Arial" w:hAnsi="Arial" w:cs="Arial"/>
          <w:lang w:val="en-GB"/>
        </w:rPr>
        <w:t xml:space="preserve">, </w:t>
      </w:r>
      <w:r w:rsidR="00296969" w:rsidRPr="00FA7FBF">
        <w:rPr>
          <w:rFonts w:ascii="Arial" w:hAnsi="Arial" w:cs="Arial"/>
          <w:lang w:val="en-GB"/>
        </w:rPr>
        <w:t>legal, and technological factors as discrete events with specific timing and impact magnitudes. This approach creates a more realistic forecast that clearly shows step changes and inflection points corresponding to major policy implementations and technological breakthroughs.</w:t>
      </w:r>
    </w:p>
    <w:p w14:paraId="67EC8D16" w14:textId="6E5E0117" w:rsidR="00BC54AE" w:rsidRPr="00FA7FBF" w:rsidRDefault="00150031" w:rsidP="00296969">
      <w:pPr>
        <w:jc w:val="both"/>
        <w:rPr>
          <w:rFonts w:ascii="Arial" w:hAnsi="Arial" w:cs="Arial"/>
          <w:lang w:val="en-GB"/>
        </w:rPr>
      </w:pPr>
      <w:r w:rsidRPr="00150031">
        <w:rPr>
          <w:rFonts w:ascii="Arial" w:hAnsi="Arial" w:cs="Arial"/>
          <w:lang w:val="en-GB"/>
        </w:rPr>
        <w:drawing>
          <wp:inline distT="0" distB="0" distL="0" distR="0" wp14:anchorId="275CCF69" wp14:editId="080F3FD0">
            <wp:extent cx="5760720" cy="3360420"/>
            <wp:effectExtent l="0" t="0" r="0" b="0"/>
            <wp:docPr id="1112164899" name="Picture 1" descr="A graph of sales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64899" name="Picture 1" descr="A graph of sales growth&#10;&#10;AI-generated content may be incorrect."/>
                    <pic:cNvPicPr/>
                  </pic:nvPicPr>
                  <pic:blipFill>
                    <a:blip r:embed="rId12"/>
                    <a:stretch>
                      <a:fillRect/>
                    </a:stretch>
                  </pic:blipFill>
                  <pic:spPr>
                    <a:xfrm>
                      <a:off x="0" y="0"/>
                      <a:ext cx="5760720" cy="3360420"/>
                    </a:xfrm>
                    <a:prstGeom prst="rect">
                      <a:avLst/>
                    </a:prstGeom>
                  </pic:spPr>
                </pic:pic>
              </a:graphicData>
            </a:graphic>
          </wp:inline>
        </w:drawing>
      </w:r>
    </w:p>
    <w:p w14:paraId="46FEC234" w14:textId="22671B83" w:rsidR="00296969" w:rsidRPr="00FA7FBF" w:rsidRDefault="00296969" w:rsidP="00296969">
      <w:pPr>
        <w:jc w:val="both"/>
        <w:rPr>
          <w:rFonts w:ascii="Arial" w:hAnsi="Arial" w:cs="Arial"/>
          <w:lang w:val="en-GB"/>
        </w:rPr>
      </w:pPr>
      <w:r w:rsidRPr="00FA7FBF">
        <w:rPr>
          <w:rFonts w:ascii="Arial" w:hAnsi="Arial" w:cs="Arial"/>
          <w:lang w:val="en-GB"/>
        </w:rPr>
        <w:t xml:space="preserve">The </w:t>
      </w:r>
      <w:r w:rsidR="00B03D9F" w:rsidRPr="00FA7FBF">
        <w:rPr>
          <w:rFonts w:ascii="Arial" w:hAnsi="Arial" w:cs="Arial"/>
          <w:lang w:val="en-GB"/>
        </w:rPr>
        <w:t>Monte Carlo simulation</w:t>
      </w:r>
      <w:r w:rsidRPr="00FA7FBF">
        <w:rPr>
          <w:rFonts w:ascii="Arial" w:hAnsi="Arial" w:cs="Arial"/>
          <w:lang w:val="en-GB"/>
        </w:rPr>
        <w:t xml:space="preserve"> produce</w:t>
      </w:r>
      <w:r w:rsidR="00B03D9F" w:rsidRPr="00FA7FBF">
        <w:rPr>
          <w:rFonts w:ascii="Arial" w:hAnsi="Arial" w:cs="Arial"/>
          <w:lang w:val="en-GB"/>
        </w:rPr>
        <w:t>d</w:t>
      </w:r>
      <w:r w:rsidRPr="00FA7FBF">
        <w:rPr>
          <w:rFonts w:ascii="Arial" w:hAnsi="Arial" w:cs="Arial"/>
          <w:lang w:val="en-GB"/>
        </w:rPr>
        <w:t xml:space="preserve"> th</w:t>
      </w:r>
      <w:r w:rsidR="00B03D9F" w:rsidRPr="00FA7FBF">
        <w:rPr>
          <w:rFonts w:ascii="Arial" w:hAnsi="Arial" w:cs="Arial"/>
          <w:lang w:val="en-GB"/>
        </w:rPr>
        <w:t>e following results</w:t>
      </w:r>
      <w:r w:rsidRPr="00FA7FBF">
        <w:rPr>
          <w:rFonts w:ascii="Arial" w:hAnsi="Arial" w:cs="Arial"/>
          <w:lang w:val="en-GB"/>
        </w:rPr>
        <w:t>:</w:t>
      </w:r>
    </w:p>
    <w:p w14:paraId="366D24E0" w14:textId="21A30B0A" w:rsidR="00296969" w:rsidRPr="00FA7FBF" w:rsidRDefault="00296969" w:rsidP="00296969">
      <w:pPr>
        <w:numPr>
          <w:ilvl w:val="0"/>
          <w:numId w:val="21"/>
        </w:numPr>
        <w:jc w:val="both"/>
        <w:rPr>
          <w:rFonts w:ascii="Arial" w:hAnsi="Arial" w:cs="Arial"/>
          <w:lang w:val="en-GB"/>
        </w:rPr>
      </w:pPr>
      <w:r w:rsidRPr="00FA7FBF">
        <w:rPr>
          <w:rFonts w:ascii="Arial" w:hAnsi="Arial" w:cs="Arial"/>
          <w:b/>
          <w:bCs/>
          <w:lang w:val="en-GB"/>
        </w:rPr>
        <w:t>Base Scenario</w:t>
      </w:r>
      <w:r w:rsidRPr="00FA7FBF">
        <w:rPr>
          <w:rFonts w:ascii="Arial" w:hAnsi="Arial" w:cs="Arial"/>
          <w:lang w:val="en-GB"/>
        </w:rPr>
        <w:t>: Represents the most likely path given current trends and moderate implementation of policies and technological developments. Projects 1</w:t>
      </w:r>
      <w:r w:rsidR="00150031">
        <w:rPr>
          <w:rFonts w:ascii="Arial" w:hAnsi="Arial" w:cs="Arial"/>
          <w:lang w:val="en-GB"/>
        </w:rPr>
        <w:t>4.8</w:t>
      </w:r>
      <w:r w:rsidRPr="00FA7FBF">
        <w:rPr>
          <w:rFonts w:ascii="Arial" w:hAnsi="Arial" w:cs="Arial"/>
          <w:lang w:val="en-GB"/>
        </w:rPr>
        <w:t xml:space="preserve"> million annual EV sales by 2050 (approximately </w:t>
      </w:r>
      <w:r w:rsidR="00150031">
        <w:rPr>
          <w:rFonts w:ascii="Arial" w:hAnsi="Arial" w:cs="Arial"/>
          <w:lang w:val="en-GB"/>
        </w:rPr>
        <w:t>90</w:t>
      </w:r>
      <w:r w:rsidRPr="00FA7FBF">
        <w:rPr>
          <w:rFonts w:ascii="Arial" w:hAnsi="Arial" w:cs="Arial"/>
          <w:lang w:val="en-GB"/>
        </w:rPr>
        <w:t>% of total vehicle market).</w:t>
      </w:r>
    </w:p>
    <w:p w14:paraId="142C7E78" w14:textId="3D646C9B" w:rsidR="00296969" w:rsidRPr="00FA7FBF" w:rsidRDefault="00296969" w:rsidP="00296969">
      <w:pPr>
        <w:numPr>
          <w:ilvl w:val="0"/>
          <w:numId w:val="21"/>
        </w:numPr>
        <w:jc w:val="both"/>
        <w:rPr>
          <w:rFonts w:ascii="Arial" w:hAnsi="Arial" w:cs="Arial"/>
          <w:lang w:val="en-GB"/>
        </w:rPr>
      </w:pPr>
      <w:r w:rsidRPr="00FA7FBF">
        <w:rPr>
          <w:rFonts w:ascii="Arial" w:hAnsi="Arial" w:cs="Arial"/>
          <w:b/>
          <w:bCs/>
          <w:lang w:val="en-GB"/>
        </w:rPr>
        <w:t>GreenSurge Scenario</w:t>
      </w:r>
      <w:r w:rsidRPr="00FA7FBF">
        <w:rPr>
          <w:rFonts w:ascii="Arial" w:hAnsi="Arial" w:cs="Arial"/>
          <w:lang w:val="en-GB"/>
        </w:rPr>
        <w:t>: Assumes accelerated policy implementation, stronger incentives, and faster technological development. Projects 16</w:t>
      </w:r>
      <w:r w:rsidR="00150031">
        <w:rPr>
          <w:rFonts w:ascii="Arial" w:hAnsi="Arial" w:cs="Arial"/>
          <w:lang w:val="en-GB"/>
        </w:rPr>
        <w:t>.1</w:t>
      </w:r>
      <w:r w:rsidRPr="00FA7FBF">
        <w:rPr>
          <w:rFonts w:ascii="Arial" w:hAnsi="Arial" w:cs="Arial"/>
          <w:lang w:val="en-GB"/>
        </w:rPr>
        <w:t xml:space="preserve"> million annual EV sales by 2050 (the whole </w:t>
      </w:r>
      <w:r w:rsidR="00BC54AE" w:rsidRPr="00FA7FBF">
        <w:rPr>
          <w:rFonts w:ascii="Arial" w:hAnsi="Arial" w:cs="Arial"/>
          <w:lang w:val="en-GB"/>
        </w:rPr>
        <w:t xml:space="preserve">light-duty </w:t>
      </w:r>
      <w:r w:rsidRPr="00FA7FBF">
        <w:rPr>
          <w:rFonts w:ascii="Arial" w:hAnsi="Arial" w:cs="Arial"/>
          <w:lang w:val="en-GB"/>
        </w:rPr>
        <w:t>vehicle market).</w:t>
      </w:r>
    </w:p>
    <w:p w14:paraId="53B28BA4" w14:textId="28132320" w:rsidR="00296969" w:rsidRPr="00FA7FBF" w:rsidRDefault="00296969" w:rsidP="00CC0F65">
      <w:pPr>
        <w:numPr>
          <w:ilvl w:val="0"/>
          <w:numId w:val="21"/>
        </w:numPr>
        <w:jc w:val="both"/>
        <w:rPr>
          <w:rFonts w:ascii="Arial" w:hAnsi="Arial" w:cs="Arial"/>
          <w:lang w:val="en-GB"/>
        </w:rPr>
      </w:pPr>
      <w:r w:rsidRPr="00FA7FBF">
        <w:rPr>
          <w:rFonts w:ascii="Arial" w:hAnsi="Arial" w:cs="Arial"/>
          <w:b/>
          <w:bCs/>
          <w:lang w:val="en-GB"/>
        </w:rPr>
        <w:t>StallOut Scenario</w:t>
      </w:r>
      <w:r w:rsidRPr="00FA7FBF">
        <w:rPr>
          <w:rFonts w:ascii="Arial" w:hAnsi="Arial" w:cs="Arial"/>
          <w:lang w:val="en-GB"/>
        </w:rPr>
        <w:t>: Assumes weakened or reversed policies, delayed technological development, and economic headwinds. Projects 1</w:t>
      </w:r>
      <w:r w:rsidR="00150031">
        <w:rPr>
          <w:rFonts w:ascii="Arial" w:hAnsi="Arial" w:cs="Arial"/>
          <w:lang w:val="en-GB"/>
        </w:rPr>
        <w:t>2</w:t>
      </w:r>
      <w:r w:rsidRPr="00FA7FBF">
        <w:rPr>
          <w:rFonts w:ascii="Arial" w:hAnsi="Arial" w:cs="Arial"/>
          <w:lang w:val="en-GB"/>
        </w:rPr>
        <w:t xml:space="preserve">.1 million annual EV sales by 2050 (approximately </w:t>
      </w:r>
      <w:r w:rsidR="00150031">
        <w:rPr>
          <w:rFonts w:ascii="Arial" w:hAnsi="Arial" w:cs="Arial"/>
          <w:lang w:val="en-GB"/>
        </w:rPr>
        <w:t>80</w:t>
      </w:r>
      <w:r w:rsidRPr="00FA7FBF">
        <w:rPr>
          <w:rFonts w:ascii="Arial" w:hAnsi="Arial" w:cs="Arial"/>
          <w:lang w:val="en-GB"/>
        </w:rPr>
        <w:t>% of total vehicle market).</w:t>
      </w:r>
    </w:p>
    <w:p w14:paraId="41053D49" w14:textId="0DE7BFCB" w:rsidR="00BC54AE" w:rsidRPr="00FA7FBF" w:rsidRDefault="00BC54AE" w:rsidP="00BC54AE">
      <w:pPr>
        <w:jc w:val="both"/>
        <w:rPr>
          <w:rFonts w:ascii="Arial" w:hAnsi="Arial" w:cs="Arial"/>
          <w:lang w:val="en-GB"/>
        </w:rPr>
      </w:pPr>
      <w:r w:rsidRPr="00FA7FBF">
        <w:rPr>
          <w:rFonts w:ascii="Arial" w:hAnsi="Arial" w:cs="Arial"/>
          <w:lang w:val="en-GB"/>
        </w:rPr>
        <w:t xml:space="preserve">The annual growth rate analysis shows rapid growth in the near term (2024-2030) across all scenarios, with rates exceeding 15% annually. Growth rates gradually decline as the market matures, dropping below 10% in </w:t>
      </w:r>
      <w:r w:rsidR="003E7E53" w:rsidRPr="00FA7FBF">
        <w:rPr>
          <w:rFonts w:ascii="Arial" w:hAnsi="Arial" w:cs="Arial"/>
          <w:lang w:val="en-GB"/>
        </w:rPr>
        <w:t>all</w:t>
      </w:r>
      <w:r w:rsidRPr="00FA7FBF">
        <w:rPr>
          <w:rFonts w:ascii="Arial" w:hAnsi="Arial" w:cs="Arial"/>
          <w:lang w:val="en-GB"/>
        </w:rPr>
        <w:t xml:space="preserve"> scenario</w:t>
      </w:r>
      <w:r w:rsidR="003E7E53" w:rsidRPr="00FA7FBF">
        <w:rPr>
          <w:rFonts w:ascii="Arial" w:hAnsi="Arial" w:cs="Arial"/>
          <w:lang w:val="en-GB"/>
        </w:rPr>
        <w:t>s</w:t>
      </w:r>
      <w:r w:rsidR="00305931" w:rsidRPr="00FA7FBF">
        <w:rPr>
          <w:rFonts w:ascii="Arial" w:hAnsi="Arial" w:cs="Arial"/>
          <w:lang w:val="en-GB"/>
        </w:rPr>
        <w:t xml:space="preserve"> at</w:t>
      </w:r>
      <w:r w:rsidRPr="00FA7FBF">
        <w:rPr>
          <w:rFonts w:ascii="Arial" w:hAnsi="Arial" w:cs="Arial"/>
          <w:lang w:val="en-GB"/>
        </w:rPr>
        <w:t xml:space="preserve"> </w:t>
      </w:r>
      <w:r w:rsidR="003E7E53" w:rsidRPr="00FA7FBF">
        <w:rPr>
          <w:rFonts w:ascii="Arial" w:hAnsi="Arial" w:cs="Arial"/>
          <w:lang w:val="en-GB"/>
        </w:rPr>
        <w:t xml:space="preserve">almost the same time </w:t>
      </w:r>
      <w:r w:rsidRPr="00FA7FBF">
        <w:rPr>
          <w:rFonts w:ascii="Arial" w:hAnsi="Arial" w:cs="Arial"/>
          <w:lang w:val="en-GB"/>
        </w:rPr>
        <w:t>by 2036</w:t>
      </w:r>
      <w:r w:rsidR="003E7E53" w:rsidRPr="00FA7FBF">
        <w:rPr>
          <w:rFonts w:ascii="Arial" w:hAnsi="Arial" w:cs="Arial"/>
          <w:lang w:val="en-GB"/>
        </w:rPr>
        <w:t>.</w:t>
      </w:r>
    </w:p>
    <w:p w14:paraId="6BC5C5C4" w14:textId="013649D0" w:rsidR="003E7E53" w:rsidRPr="00FA7FBF" w:rsidRDefault="00E12F9A" w:rsidP="00F77C71">
      <w:pPr>
        <w:jc w:val="center"/>
        <w:rPr>
          <w:rFonts w:ascii="Arial" w:hAnsi="Arial" w:cs="Arial"/>
          <w:lang w:val="en-GB"/>
        </w:rPr>
      </w:pPr>
      <w:r w:rsidRPr="00E12F9A">
        <w:rPr>
          <w:rFonts w:ascii="Arial" w:hAnsi="Arial" w:cs="Arial"/>
          <w:lang w:val="en-GB"/>
        </w:rPr>
        <w:lastRenderedPageBreak/>
        <w:drawing>
          <wp:inline distT="0" distB="0" distL="0" distR="0" wp14:anchorId="1ABA5907" wp14:editId="26F462A8">
            <wp:extent cx="5760720" cy="3456305"/>
            <wp:effectExtent l="0" t="0" r="0" b="0"/>
            <wp:docPr id="24388487" name="Picture 1" descr="A graph showing the growth of ev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8487" name="Picture 1" descr="A graph showing the growth of ev sales&#10;&#10;AI-generated content may be incorrect."/>
                    <pic:cNvPicPr/>
                  </pic:nvPicPr>
                  <pic:blipFill>
                    <a:blip r:embed="rId13"/>
                    <a:stretch>
                      <a:fillRect/>
                    </a:stretch>
                  </pic:blipFill>
                  <pic:spPr>
                    <a:xfrm>
                      <a:off x="0" y="0"/>
                      <a:ext cx="5760720" cy="3456305"/>
                    </a:xfrm>
                    <a:prstGeom prst="rect">
                      <a:avLst/>
                    </a:prstGeom>
                  </pic:spPr>
                </pic:pic>
              </a:graphicData>
            </a:graphic>
          </wp:inline>
        </w:drawing>
      </w:r>
    </w:p>
    <w:p w14:paraId="7A4EC3EF" w14:textId="103F3FAE" w:rsidR="00574429" w:rsidRPr="00FA7FBF" w:rsidRDefault="00BC54AE" w:rsidP="00BC54AE">
      <w:pPr>
        <w:jc w:val="both"/>
        <w:rPr>
          <w:rFonts w:ascii="Arial" w:hAnsi="Arial" w:cs="Arial"/>
          <w:lang w:val="en-GB"/>
        </w:rPr>
      </w:pPr>
      <w:r w:rsidRPr="00FA7FBF">
        <w:rPr>
          <w:rFonts w:ascii="Arial" w:hAnsi="Arial" w:cs="Arial"/>
          <w:lang w:val="en-GB"/>
        </w:rPr>
        <w:t>Market share projections indicate that EVs will reach 50% of new vehicle sales in the Base scenario by 203</w:t>
      </w:r>
      <w:r w:rsidR="00E12F9A">
        <w:rPr>
          <w:rFonts w:ascii="Arial" w:hAnsi="Arial" w:cs="Arial"/>
          <w:lang w:val="en-GB"/>
        </w:rPr>
        <w:t>4</w:t>
      </w:r>
      <w:r w:rsidRPr="00FA7FBF">
        <w:rPr>
          <w:rFonts w:ascii="Arial" w:hAnsi="Arial" w:cs="Arial"/>
          <w:lang w:val="en-GB"/>
        </w:rPr>
        <w:t>, in the GreenSurge scenario by 2032, and in the StallOut scenario by 20</w:t>
      </w:r>
      <w:r w:rsidR="003E7E53" w:rsidRPr="00FA7FBF">
        <w:rPr>
          <w:rFonts w:ascii="Arial" w:hAnsi="Arial" w:cs="Arial"/>
          <w:lang w:val="en-GB"/>
        </w:rPr>
        <w:t>4</w:t>
      </w:r>
      <w:r w:rsidR="00E12F9A">
        <w:rPr>
          <w:rFonts w:ascii="Arial" w:hAnsi="Arial" w:cs="Arial"/>
          <w:lang w:val="en-GB"/>
        </w:rPr>
        <w:t>0</w:t>
      </w:r>
      <w:r w:rsidRPr="00FA7FBF">
        <w:rPr>
          <w:rFonts w:ascii="Arial" w:hAnsi="Arial" w:cs="Arial"/>
          <w:lang w:val="en-GB"/>
        </w:rPr>
        <w:t xml:space="preserve">. Full market saturation (100%) is </w:t>
      </w:r>
      <w:r w:rsidR="003E7E53" w:rsidRPr="00FA7FBF">
        <w:rPr>
          <w:rFonts w:ascii="Arial" w:hAnsi="Arial" w:cs="Arial"/>
          <w:lang w:val="en-GB"/>
        </w:rPr>
        <w:t xml:space="preserve">almost </w:t>
      </w:r>
      <w:r w:rsidRPr="00FA7FBF">
        <w:rPr>
          <w:rFonts w:ascii="Arial" w:hAnsi="Arial" w:cs="Arial"/>
          <w:lang w:val="en-GB"/>
        </w:rPr>
        <w:t xml:space="preserve">reached in the GreenSurge scenario </w:t>
      </w:r>
      <w:r w:rsidR="003E7E53" w:rsidRPr="00FA7FBF">
        <w:rPr>
          <w:rFonts w:ascii="Arial" w:hAnsi="Arial" w:cs="Arial"/>
          <w:lang w:val="en-GB"/>
        </w:rPr>
        <w:t>from 204</w:t>
      </w:r>
      <w:r w:rsidR="003B6589" w:rsidRPr="00FA7FBF">
        <w:rPr>
          <w:rFonts w:ascii="Arial" w:hAnsi="Arial" w:cs="Arial"/>
          <w:lang w:val="en-GB"/>
        </w:rPr>
        <w:t>0</w:t>
      </w:r>
      <w:r w:rsidRPr="00FA7FBF">
        <w:rPr>
          <w:rFonts w:ascii="Arial" w:hAnsi="Arial" w:cs="Arial"/>
          <w:lang w:val="en-GB"/>
        </w:rPr>
        <w:t>,</w:t>
      </w:r>
      <w:r w:rsidR="003E7E53" w:rsidRPr="00FA7FBF">
        <w:rPr>
          <w:rFonts w:ascii="Arial" w:hAnsi="Arial" w:cs="Arial"/>
          <w:lang w:val="en-GB"/>
        </w:rPr>
        <w:t xml:space="preserve"> while it </w:t>
      </w:r>
      <w:r w:rsidRPr="00FA7FBF">
        <w:rPr>
          <w:rFonts w:ascii="Arial" w:hAnsi="Arial" w:cs="Arial"/>
          <w:lang w:val="en-GB"/>
        </w:rPr>
        <w:t xml:space="preserve">is not reached in the </w:t>
      </w:r>
      <w:r w:rsidR="003E7E53" w:rsidRPr="00FA7FBF">
        <w:rPr>
          <w:rFonts w:ascii="Arial" w:hAnsi="Arial" w:cs="Arial"/>
          <w:lang w:val="en-GB"/>
        </w:rPr>
        <w:t>other</w:t>
      </w:r>
      <w:r w:rsidRPr="00FA7FBF">
        <w:rPr>
          <w:rFonts w:ascii="Arial" w:hAnsi="Arial" w:cs="Arial"/>
          <w:lang w:val="en-GB"/>
        </w:rPr>
        <w:t xml:space="preserve"> scenario</w:t>
      </w:r>
      <w:r w:rsidR="003E7E53" w:rsidRPr="00FA7FBF">
        <w:rPr>
          <w:rFonts w:ascii="Arial" w:hAnsi="Arial" w:cs="Arial"/>
          <w:lang w:val="en-GB"/>
        </w:rPr>
        <w:t>s.</w:t>
      </w:r>
    </w:p>
    <w:p w14:paraId="1EB900B8" w14:textId="08767922" w:rsidR="003E7E53" w:rsidRPr="00FA7FBF" w:rsidRDefault="00E12F9A" w:rsidP="003E7E53">
      <w:pPr>
        <w:jc w:val="both"/>
        <w:rPr>
          <w:rFonts w:ascii="Arial" w:hAnsi="Arial" w:cs="Arial"/>
          <w:lang w:val="en-GB"/>
        </w:rPr>
      </w:pPr>
      <w:r w:rsidRPr="00E12F9A">
        <w:rPr>
          <w:rFonts w:ascii="Arial" w:hAnsi="Arial" w:cs="Arial"/>
          <w:lang w:val="en-GB"/>
        </w:rPr>
        <w:drawing>
          <wp:inline distT="0" distB="0" distL="0" distR="0" wp14:anchorId="4411B07E" wp14:editId="7E46355E">
            <wp:extent cx="5760720" cy="3456305"/>
            <wp:effectExtent l="0" t="0" r="0" b="0"/>
            <wp:docPr id="1265462719" name="Picture 1" descr="A graph showing the sales of ev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62719" name="Picture 1" descr="A graph showing the sales of ev market&#10;&#10;AI-generated content may be incorrect."/>
                    <pic:cNvPicPr/>
                  </pic:nvPicPr>
                  <pic:blipFill>
                    <a:blip r:embed="rId14"/>
                    <a:stretch>
                      <a:fillRect/>
                    </a:stretch>
                  </pic:blipFill>
                  <pic:spPr>
                    <a:xfrm>
                      <a:off x="0" y="0"/>
                      <a:ext cx="5760720" cy="3456305"/>
                    </a:xfrm>
                    <a:prstGeom prst="rect">
                      <a:avLst/>
                    </a:prstGeom>
                  </pic:spPr>
                </pic:pic>
              </a:graphicData>
            </a:graphic>
          </wp:inline>
        </w:drawing>
      </w:r>
    </w:p>
    <w:p w14:paraId="30872FCA" w14:textId="425D3DFE" w:rsidR="003E7E53" w:rsidRPr="00FA7FBF" w:rsidRDefault="003E7E53" w:rsidP="003E7E53">
      <w:pPr>
        <w:jc w:val="both"/>
        <w:rPr>
          <w:rFonts w:ascii="Arial" w:hAnsi="Arial" w:cs="Arial"/>
          <w:lang w:val="en-GB"/>
        </w:rPr>
      </w:pPr>
      <w:r w:rsidRPr="00FA7FBF">
        <w:rPr>
          <w:rFonts w:ascii="Arial" w:hAnsi="Arial" w:cs="Arial"/>
          <w:lang w:val="en-GB"/>
        </w:rPr>
        <w:t>The sensitivity analysis reveals that policy factors generally have larger individual impacts than technological factors, with the Federal 100% ZEV Mandate (+5.</w:t>
      </w:r>
      <w:r w:rsidR="00C42E0E" w:rsidRPr="00FA7FBF">
        <w:rPr>
          <w:rFonts w:ascii="Arial" w:hAnsi="Arial" w:cs="Arial"/>
          <w:lang w:val="en-GB"/>
        </w:rPr>
        <w:t>3</w:t>
      </w:r>
      <w:r w:rsidRPr="00FA7FBF">
        <w:rPr>
          <w:rFonts w:ascii="Arial" w:hAnsi="Arial" w:cs="Arial"/>
          <w:lang w:val="en-GB"/>
        </w:rPr>
        <w:t>%) and Several States 100% ZEV Mandate (+4.</w:t>
      </w:r>
      <w:r w:rsidR="00C42E0E" w:rsidRPr="00FA7FBF">
        <w:rPr>
          <w:rFonts w:ascii="Arial" w:hAnsi="Arial" w:cs="Arial"/>
          <w:lang w:val="en-GB"/>
        </w:rPr>
        <w:t>2</w:t>
      </w:r>
      <w:r w:rsidRPr="00FA7FBF">
        <w:rPr>
          <w:rFonts w:ascii="Arial" w:hAnsi="Arial" w:cs="Arial"/>
          <w:lang w:val="en-GB"/>
        </w:rPr>
        <w:t>%) having the largest positive impacts. Among technological factors, Car Production Efficiency (+3.</w:t>
      </w:r>
      <w:r w:rsidR="00C42E0E" w:rsidRPr="00FA7FBF">
        <w:rPr>
          <w:rFonts w:ascii="Arial" w:hAnsi="Arial" w:cs="Arial"/>
          <w:lang w:val="en-GB"/>
        </w:rPr>
        <w:t>2</w:t>
      </w:r>
      <w:r w:rsidRPr="00FA7FBF">
        <w:rPr>
          <w:rFonts w:ascii="Arial" w:hAnsi="Arial" w:cs="Arial"/>
          <w:lang w:val="en-GB"/>
        </w:rPr>
        <w:t>%) and Battery Technology Improvements (+2.</w:t>
      </w:r>
      <w:r w:rsidR="00C42E0E" w:rsidRPr="00FA7FBF">
        <w:rPr>
          <w:rFonts w:ascii="Arial" w:hAnsi="Arial" w:cs="Arial"/>
          <w:lang w:val="en-GB"/>
        </w:rPr>
        <w:t>1</w:t>
      </w:r>
      <w:r w:rsidRPr="00FA7FBF">
        <w:rPr>
          <w:rFonts w:ascii="Arial" w:hAnsi="Arial" w:cs="Arial"/>
          <w:lang w:val="en-GB"/>
        </w:rPr>
        <w:t xml:space="preserve">%) have the most </w:t>
      </w:r>
      <w:r w:rsidRPr="00FA7FBF">
        <w:rPr>
          <w:rFonts w:ascii="Arial" w:hAnsi="Arial" w:cs="Arial"/>
          <w:lang w:val="en-GB"/>
        </w:rPr>
        <w:lastRenderedPageBreak/>
        <w:t>significant positive impacts, while Hydrogen Technologies Competition (-2.</w:t>
      </w:r>
      <w:r w:rsidR="00C42E0E" w:rsidRPr="00FA7FBF">
        <w:rPr>
          <w:rFonts w:ascii="Arial" w:hAnsi="Arial" w:cs="Arial"/>
          <w:lang w:val="en-GB"/>
        </w:rPr>
        <w:t>1</w:t>
      </w:r>
      <w:r w:rsidRPr="00FA7FBF">
        <w:rPr>
          <w:rFonts w:ascii="Arial" w:hAnsi="Arial" w:cs="Arial"/>
          <w:lang w:val="en-GB"/>
        </w:rPr>
        <w:t>%) represents the largest negative factor.</w:t>
      </w:r>
    </w:p>
    <w:p w14:paraId="56D4E189" w14:textId="5160648E" w:rsidR="003E7E53" w:rsidRPr="00FA7FBF" w:rsidRDefault="00C42E0E" w:rsidP="003E7E53">
      <w:pPr>
        <w:jc w:val="both"/>
        <w:rPr>
          <w:rFonts w:ascii="Arial" w:hAnsi="Arial" w:cs="Arial"/>
          <w:lang w:val="en-GB"/>
        </w:rPr>
      </w:pPr>
      <w:r w:rsidRPr="00FA7FBF">
        <w:rPr>
          <w:rFonts w:ascii="Arial" w:hAnsi="Arial" w:cs="Arial"/>
          <w:noProof/>
          <w:lang w:val="en-GB"/>
        </w:rPr>
        <w:drawing>
          <wp:inline distT="0" distB="0" distL="0" distR="0" wp14:anchorId="79FE84DB" wp14:editId="19F5837E">
            <wp:extent cx="5760720" cy="2880360"/>
            <wp:effectExtent l="0" t="0" r="0" b="0"/>
            <wp:docPr id="67751084" name="Picture 1" descr="A graph with multiple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1084" name="Picture 1" descr="A graph with multiple colored bars&#10;&#10;AI-generated content may be incorrect."/>
                    <pic:cNvPicPr/>
                  </pic:nvPicPr>
                  <pic:blipFill>
                    <a:blip r:embed="rId15"/>
                    <a:stretch>
                      <a:fillRect/>
                    </a:stretch>
                  </pic:blipFill>
                  <pic:spPr>
                    <a:xfrm>
                      <a:off x="0" y="0"/>
                      <a:ext cx="5760720" cy="2880360"/>
                    </a:xfrm>
                    <a:prstGeom prst="rect">
                      <a:avLst/>
                    </a:prstGeom>
                  </pic:spPr>
                </pic:pic>
              </a:graphicData>
            </a:graphic>
          </wp:inline>
        </w:drawing>
      </w:r>
    </w:p>
    <w:p w14:paraId="08110EF1" w14:textId="77777777" w:rsidR="00C42E0E" w:rsidRPr="00FA7FBF" w:rsidRDefault="00C42E0E" w:rsidP="003E7E53">
      <w:pPr>
        <w:jc w:val="both"/>
        <w:rPr>
          <w:rFonts w:ascii="Arial" w:hAnsi="Arial" w:cs="Arial"/>
          <w:lang w:val="en-GB"/>
        </w:rPr>
      </w:pPr>
    </w:p>
    <w:p w14:paraId="3ABF91A0" w14:textId="46B24B13" w:rsidR="00574429" w:rsidRPr="00FA7FBF" w:rsidRDefault="004575FC" w:rsidP="00CC0F65">
      <w:pPr>
        <w:pStyle w:val="Heading2"/>
        <w:jc w:val="both"/>
        <w:rPr>
          <w:rFonts w:ascii="Arial" w:hAnsi="Arial" w:cs="Arial"/>
          <w:color w:val="auto"/>
          <w:lang w:val="en-GB"/>
        </w:rPr>
      </w:pPr>
      <w:bookmarkStart w:id="6" w:name="_Toc199258767"/>
      <w:r w:rsidRPr="00FA7FBF">
        <w:rPr>
          <w:rFonts w:ascii="Arial" w:hAnsi="Arial" w:cs="Arial"/>
          <w:color w:val="auto"/>
          <w:lang w:val="en-GB"/>
        </w:rPr>
        <w:t>7</w:t>
      </w:r>
      <w:r w:rsidR="00574429" w:rsidRPr="00FA7FBF">
        <w:rPr>
          <w:rFonts w:ascii="Arial" w:hAnsi="Arial" w:cs="Arial"/>
          <w:color w:val="auto"/>
          <w:lang w:val="en-GB"/>
        </w:rPr>
        <w:t>. Conclusion</w:t>
      </w:r>
      <w:bookmarkEnd w:id="6"/>
    </w:p>
    <w:p w14:paraId="7767E1EE" w14:textId="6A57D638" w:rsidR="008B0578" w:rsidRPr="00FA7FBF" w:rsidRDefault="008B0578" w:rsidP="008B0578">
      <w:pPr>
        <w:jc w:val="both"/>
        <w:rPr>
          <w:rFonts w:ascii="Arial" w:hAnsi="Arial" w:cs="Arial"/>
          <w:lang w:val="en-GB"/>
        </w:rPr>
      </w:pPr>
      <w:r w:rsidRPr="00FA7FBF">
        <w:rPr>
          <w:rFonts w:ascii="Arial" w:hAnsi="Arial" w:cs="Arial"/>
          <w:lang w:val="en-GB"/>
        </w:rPr>
        <w:t>The step-change nature of the forecast model, showing discrete jumps rather than smooth curves, reflects market reality more accurately than traditional logistic projections. EV adoption doesn</w:t>
      </w:r>
      <w:r w:rsidR="00305931" w:rsidRPr="00FA7FBF">
        <w:rPr>
          <w:rFonts w:ascii="Arial" w:hAnsi="Arial" w:cs="Arial"/>
          <w:lang w:val="en-GB"/>
        </w:rPr>
        <w:t>’</w:t>
      </w:r>
      <w:r w:rsidRPr="00FA7FBF">
        <w:rPr>
          <w:rFonts w:ascii="Arial" w:hAnsi="Arial" w:cs="Arial"/>
          <w:lang w:val="en-GB"/>
        </w:rPr>
        <w:t>t follow predictable patterns</w:t>
      </w:r>
      <w:r w:rsidR="00305931" w:rsidRPr="00FA7FBF">
        <w:rPr>
          <w:rFonts w:ascii="Arial" w:hAnsi="Arial" w:cs="Arial"/>
          <w:lang w:val="en-GB"/>
        </w:rPr>
        <w:t xml:space="preserve"> – </w:t>
      </w:r>
      <w:r w:rsidRPr="00FA7FBF">
        <w:rPr>
          <w:rFonts w:ascii="Arial" w:hAnsi="Arial" w:cs="Arial"/>
          <w:lang w:val="en-GB"/>
        </w:rPr>
        <w:t>it responds to specific policy implementations, infrastructure milestones, and technological breakthroughs that create sudden shifts in consumer behavior and industry investment.</w:t>
      </w:r>
    </w:p>
    <w:p w14:paraId="0435C819" w14:textId="3DB2E5E1" w:rsidR="008B0578" w:rsidRPr="00FA7FBF" w:rsidRDefault="008B0578" w:rsidP="008B0578">
      <w:pPr>
        <w:jc w:val="both"/>
        <w:rPr>
          <w:rFonts w:ascii="Arial" w:hAnsi="Arial" w:cs="Arial"/>
          <w:lang w:val="en-GB"/>
        </w:rPr>
      </w:pPr>
      <w:r w:rsidRPr="00FA7FBF">
        <w:rPr>
          <w:rFonts w:ascii="Arial" w:hAnsi="Arial" w:cs="Arial"/>
          <w:lang w:val="en-GB"/>
        </w:rPr>
        <w:t>The analysis makes clear that achieving 1</w:t>
      </w:r>
      <w:r w:rsidR="00150031">
        <w:rPr>
          <w:rFonts w:ascii="Arial" w:hAnsi="Arial" w:cs="Arial"/>
          <w:lang w:val="en-GB"/>
        </w:rPr>
        <w:t>1-12</w:t>
      </w:r>
      <w:r w:rsidRPr="00FA7FBF">
        <w:rPr>
          <w:rFonts w:ascii="Arial" w:hAnsi="Arial" w:cs="Arial"/>
          <w:lang w:val="en-GB"/>
        </w:rPr>
        <w:t xml:space="preserve"> million annual EV sales by 2050</w:t>
      </w:r>
      <w:r w:rsidR="00150031">
        <w:rPr>
          <w:rFonts w:ascii="Arial" w:hAnsi="Arial" w:cs="Arial"/>
          <w:lang w:val="en-GB"/>
        </w:rPr>
        <w:t xml:space="preserve"> </w:t>
      </w:r>
      <w:r w:rsidR="00150031" w:rsidRPr="00150031">
        <w:rPr>
          <w:rFonts w:ascii="Arial" w:hAnsi="Arial" w:cs="Arial"/>
        </w:rPr>
        <w:t xml:space="preserve">(representing 70-80% market share) </w:t>
      </w:r>
      <w:r w:rsidRPr="00FA7FBF">
        <w:rPr>
          <w:rFonts w:ascii="Arial" w:hAnsi="Arial" w:cs="Arial"/>
          <w:lang w:val="en-GB"/>
        </w:rPr>
        <w:t>isn</w:t>
      </w:r>
      <w:r w:rsidR="00305931" w:rsidRPr="00FA7FBF">
        <w:rPr>
          <w:rFonts w:ascii="Arial" w:hAnsi="Arial" w:cs="Arial"/>
          <w:lang w:val="en-GB"/>
        </w:rPr>
        <w:t>’</w:t>
      </w:r>
      <w:r w:rsidRPr="00FA7FBF">
        <w:rPr>
          <w:rFonts w:ascii="Arial" w:hAnsi="Arial" w:cs="Arial"/>
          <w:lang w:val="en-GB"/>
        </w:rPr>
        <w:t>t just environmentally necessary – it</w:t>
      </w:r>
      <w:r w:rsidR="00305931" w:rsidRPr="00FA7FBF">
        <w:rPr>
          <w:rFonts w:ascii="Arial" w:hAnsi="Arial" w:cs="Arial"/>
          <w:lang w:val="en-GB"/>
        </w:rPr>
        <w:t>’</w:t>
      </w:r>
      <w:r w:rsidRPr="00FA7FBF">
        <w:rPr>
          <w:rFonts w:ascii="Arial" w:hAnsi="Arial" w:cs="Arial"/>
          <w:lang w:val="en-GB"/>
        </w:rPr>
        <w:t>s economically inevitable. The question isn</w:t>
      </w:r>
      <w:r w:rsidR="00305931" w:rsidRPr="00FA7FBF">
        <w:rPr>
          <w:rFonts w:ascii="Arial" w:hAnsi="Arial" w:cs="Arial"/>
          <w:lang w:val="en-GB"/>
        </w:rPr>
        <w:t>’</w:t>
      </w:r>
      <w:r w:rsidRPr="00FA7FBF">
        <w:rPr>
          <w:rFonts w:ascii="Arial" w:hAnsi="Arial" w:cs="Arial"/>
          <w:lang w:val="en-GB"/>
        </w:rPr>
        <w:t xml:space="preserve">t whether this transition will occur, but whether the U.S. will lead it or be forced to catch up. All scenarios converge on a common theme: the next ten years will determine whether the U.S. achieves EV leadership or falls behind global competitors. The </w:t>
      </w:r>
      <w:r w:rsidR="00AB3771">
        <w:rPr>
          <w:rFonts w:ascii="Arial" w:hAnsi="Arial" w:cs="Arial"/>
          <w:lang w:val="en-GB"/>
        </w:rPr>
        <w:t>GreenSurge</w:t>
      </w:r>
      <w:r w:rsidRPr="00FA7FBF">
        <w:rPr>
          <w:rFonts w:ascii="Arial" w:hAnsi="Arial" w:cs="Arial"/>
          <w:lang w:val="en-GB"/>
        </w:rPr>
        <w:t xml:space="preserve"> scenario</w:t>
      </w:r>
      <w:r w:rsidR="00305931" w:rsidRPr="00FA7FBF">
        <w:rPr>
          <w:rFonts w:ascii="Arial" w:hAnsi="Arial" w:cs="Arial"/>
          <w:lang w:val="en-GB"/>
        </w:rPr>
        <w:t>’</w:t>
      </w:r>
      <w:r w:rsidRPr="00FA7FBF">
        <w:rPr>
          <w:rFonts w:ascii="Arial" w:hAnsi="Arial" w:cs="Arial"/>
          <w:lang w:val="en-GB"/>
        </w:rPr>
        <w:t>s projection of 50% market share by 203</w:t>
      </w:r>
      <w:r w:rsidR="00AB3771">
        <w:rPr>
          <w:rFonts w:ascii="Arial" w:hAnsi="Arial" w:cs="Arial"/>
          <w:lang w:val="en-GB"/>
        </w:rPr>
        <w:t>2</w:t>
      </w:r>
      <w:r w:rsidRPr="00FA7FBF">
        <w:rPr>
          <w:rFonts w:ascii="Arial" w:hAnsi="Arial" w:cs="Arial"/>
          <w:lang w:val="en-GB"/>
        </w:rPr>
        <w:t xml:space="preserve"> versus the StallOut scenario</w:t>
      </w:r>
      <w:r w:rsidR="00305931" w:rsidRPr="00FA7FBF">
        <w:rPr>
          <w:rFonts w:ascii="Arial" w:hAnsi="Arial" w:cs="Arial"/>
          <w:lang w:val="en-GB"/>
        </w:rPr>
        <w:t>’</w:t>
      </w:r>
      <w:r w:rsidRPr="00FA7FBF">
        <w:rPr>
          <w:rFonts w:ascii="Arial" w:hAnsi="Arial" w:cs="Arial"/>
          <w:lang w:val="en-GB"/>
        </w:rPr>
        <w:t>s delay until 204</w:t>
      </w:r>
      <w:r w:rsidR="00AB3771">
        <w:rPr>
          <w:rFonts w:ascii="Arial" w:hAnsi="Arial" w:cs="Arial"/>
          <w:lang w:val="en-GB"/>
        </w:rPr>
        <w:t>0</w:t>
      </w:r>
      <w:r w:rsidRPr="00FA7FBF">
        <w:rPr>
          <w:rFonts w:ascii="Arial" w:hAnsi="Arial" w:cs="Arial"/>
          <w:lang w:val="en-GB"/>
        </w:rPr>
        <w:t xml:space="preserve"> illustrates how policy hesitation could cost the U.S. a decade of progress.</w:t>
      </w:r>
    </w:p>
    <w:p w14:paraId="1E4A1218" w14:textId="77777777" w:rsidR="008B0578" w:rsidRPr="00FA7FBF" w:rsidRDefault="008B0578" w:rsidP="008B0578">
      <w:pPr>
        <w:jc w:val="both"/>
        <w:rPr>
          <w:rFonts w:ascii="Arial" w:hAnsi="Arial" w:cs="Arial"/>
          <w:lang w:val="en-GB"/>
        </w:rPr>
      </w:pPr>
      <w:r w:rsidRPr="00FA7FBF">
        <w:rPr>
          <w:rFonts w:ascii="Arial" w:hAnsi="Arial" w:cs="Arial"/>
          <w:lang w:val="en-GB"/>
        </w:rPr>
        <w:t>The path forward requires coordinated action across all stakeholders during this decisive scaling decade. Success demands treating EV adoption not as a future possibility but as a present imperative requiring immediate, sustained commitment across policy, industry, and infrastructure development.</w:t>
      </w:r>
    </w:p>
    <w:p w14:paraId="0C5BDBD8" w14:textId="77777777" w:rsidR="00057E07" w:rsidRPr="00FA7FBF" w:rsidRDefault="00057E07" w:rsidP="00CC0F65">
      <w:pPr>
        <w:jc w:val="both"/>
        <w:rPr>
          <w:rFonts w:ascii="Arial" w:hAnsi="Arial" w:cs="Arial"/>
          <w:lang w:val="en-GB"/>
        </w:rPr>
      </w:pPr>
    </w:p>
    <w:p w14:paraId="47B4271F" w14:textId="1C393A22" w:rsidR="00574429" w:rsidRPr="00FA7FBF" w:rsidRDefault="00574429" w:rsidP="00CC0F65">
      <w:pPr>
        <w:pStyle w:val="Heading2"/>
        <w:jc w:val="both"/>
        <w:rPr>
          <w:rFonts w:ascii="Arial" w:hAnsi="Arial" w:cs="Arial"/>
          <w:color w:val="auto"/>
          <w:lang w:val="en-GB"/>
        </w:rPr>
      </w:pPr>
      <w:bookmarkStart w:id="7" w:name="_Toc199258768"/>
      <w:r w:rsidRPr="00FA7FBF">
        <w:rPr>
          <w:rFonts w:ascii="Arial" w:hAnsi="Arial" w:cs="Arial"/>
          <w:color w:val="auto"/>
          <w:lang w:val="en-GB"/>
        </w:rPr>
        <w:t>References</w:t>
      </w:r>
      <w:bookmarkEnd w:id="7"/>
    </w:p>
    <w:p w14:paraId="13DB24F2" w14:textId="77777777" w:rsidR="00062BBB" w:rsidRPr="00E12F9A" w:rsidRDefault="00062BBB" w:rsidP="00CF627B">
      <w:pPr>
        <w:numPr>
          <w:ilvl w:val="0"/>
          <w:numId w:val="9"/>
        </w:numPr>
        <w:rPr>
          <w:rFonts w:ascii="Arial" w:hAnsi="Arial" w:cs="Arial"/>
        </w:rPr>
      </w:pPr>
      <w:r w:rsidRPr="00FA7FBF">
        <w:rPr>
          <w:rFonts w:ascii="Arial" w:hAnsi="Arial" w:cs="Arial"/>
          <w:lang w:val="en-GB"/>
        </w:rPr>
        <w:t xml:space="preserve">MacroTrends. </w:t>
      </w:r>
      <w:r w:rsidRPr="00FA7FBF">
        <w:rPr>
          <w:rFonts w:ascii="Arial" w:hAnsi="Arial" w:cs="Arial"/>
          <w:i/>
          <w:iCs/>
          <w:lang w:val="en-GB"/>
        </w:rPr>
        <w:t>United States GDP - Gross Domestic Product.</w:t>
      </w:r>
      <w:r w:rsidRPr="00FA7FBF">
        <w:rPr>
          <w:rFonts w:ascii="Arial" w:hAnsi="Arial" w:cs="Arial"/>
          <w:lang w:val="en-GB"/>
        </w:rPr>
        <w:br/>
      </w:r>
      <w:hyperlink r:id="rId16" w:history="1">
        <w:r w:rsidRPr="00E12F9A">
          <w:rPr>
            <w:rStyle w:val="Hyperlink"/>
            <w:rFonts w:ascii="Arial" w:hAnsi="Arial" w:cs="Arial"/>
          </w:rPr>
          <w:t>https://www.macrotrends.net/global-metrics/countries/usa/united-states/gdp-gross-domestic-product</w:t>
        </w:r>
      </w:hyperlink>
    </w:p>
    <w:p w14:paraId="7D77C9E5" w14:textId="3BC2172A" w:rsidR="00062BBB" w:rsidRPr="00E12F9A" w:rsidRDefault="00062BBB" w:rsidP="00CF627B">
      <w:pPr>
        <w:numPr>
          <w:ilvl w:val="0"/>
          <w:numId w:val="9"/>
        </w:numPr>
        <w:rPr>
          <w:rFonts w:ascii="Arial" w:hAnsi="Arial" w:cs="Arial"/>
        </w:rPr>
      </w:pPr>
      <w:r w:rsidRPr="00FA7FBF">
        <w:rPr>
          <w:rFonts w:ascii="Arial" w:hAnsi="Arial" w:cs="Arial"/>
          <w:lang w:val="en-GB"/>
        </w:rPr>
        <w:t xml:space="preserve">World Bank. </w:t>
      </w:r>
      <w:r w:rsidRPr="00FA7FBF">
        <w:rPr>
          <w:rFonts w:ascii="Arial" w:hAnsi="Arial" w:cs="Arial"/>
          <w:i/>
          <w:iCs/>
          <w:lang w:val="en-GB"/>
        </w:rPr>
        <w:t>Inflation, consumer prices (annual %) - United States.</w:t>
      </w:r>
      <w:r w:rsidRPr="00FA7FBF">
        <w:rPr>
          <w:rFonts w:ascii="Arial" w:hAnsi="Arial" w:cs="Arial"/>
          <w:lang w:val="en-GB"/>
        </w:rPr>
        <w:br/>
      </w:r>
      <w:hyperlink r:id="rId17" w:history="1">
        <w:r w:rsidRPr="00E12F9A">
          <w:rPr>
            <w:rStyle w:val="Hyperlink"/>
            <w:rFonts w:ascii="Arial" w:hAnsi="Arial" w:cs="Arial"/>
          </w:rPr>
          <w:t>https://data.worldbank.org/indicator/FP.CPI.TOTL.ZG?locations=US</w:t>
        </w:r>
      </w:hyperlink>
    </w:p>
    <w:p w14:paraId="5B3AE57A" w14:textId="65A2E38E" w:rsidR="00062BBB" w:rsidRPr="00E12F9A" w:rsidRDefault="00062BBB" w:rsidP="00CF627B">
      <w:pPr>
        <w:numPr>
          <w:ilvl w:val="0"/>
          <w:numId w:val="9"/>
        </w:numPr>
        <w:rPr>
          <w:rFonts w:ascii="Arial" w:hAnsi="Arial" w:cs="Arial"/>
        </w:rPr>
      </w:pPr>
      <w:r w:rsidRPr="00FA7FBF">
        <w:rPr>
          <w:rFonts w:ascii="Arial" w:hAnsi="Arial" w:cs="Arial"/>
          <w:lang w:val="en-GB"/>
        </w:rPr>
        <w:lastRenderedPageBreak/>
        <w:t xml:space="preserve">Our World in Data. </w:t>
      </w:r>
      <w:r w:rsidRPr="00FA7FBF">
        <w:rPr>
          <w:rFonts w:ascii="Arial" w:hAnsi="Arial" w:cs="Arial"/>
          <w:i/>
          <w:iCs/>
          <w:lang w:val="en-GB"/>
        </w:rPr>
        <w:t>Electric car sales.</w:t>
      </w:r>
      <w:r w:rsidRPr="00FA7FBF">
        <w:rPr>
          <w:rFonts w:ascii="Arial" w:hAnsi="Arial" w:cs="Arial"/>
          <w:lang w:val="en-GB"/>
        </w:rPr>
        <w:br/>
      </w:r>
      <w:hyperlink r:id="rId18" w:history="1">
        <w:r w:rsidRPr="00E12F9A">
          <w:rPr>
            <w:rStyle w:val="Hyperlink"/>
            <w:rFonts w:ascii="Arial" w:hAnsi="Arial" w:cs="Arial"/>
          </w:rPr>
          <w:t>https://ourworldindata.org/grapher/electric-car-sales?v=1&amp;csvType=full&amp;useColumnShortNames=false</w:t>
        </w:r>
      </w:hyperlink>
    </w:p>
    <w:p w14:paraId="717D263C" w14:textId="22E99432" w:rsidR="00574429" w:rsidRPr="00FA7FBF" w:rsidRDefault="00574429" w:rsidP="00062BBB">
      <w:pPr>
        <w:numPr>
          <w:ilvl w:val="0"/>
          <w:numId w:val="9"/>
        </w:numPr>
        <w:rPr>
          <w:rFonts w:ascii="Arial" w:hAnsi="Arial" w:cs="Arial"/>
          <w:lang w:val="en-GB"/>
        </w:rPr>
      </w:pPr>
      <w:r w:rsidRPr="00FA7FBF">
        <w:rPr>
          <w:rFonts w:ascii="Arial" w:hAnsi="Arial" w:cs="Arial"/>
          <w:lang w:val="en-GB"/>
        </w:rPr>
        <w:t xml:space="preserve">BloombergNEF, </w:t>
      </w:r>
      <w:r w:rsidRPr="00FA7FBF">
        <w:rPr>
          <w:rFonts w:ascii="Arial" w:hAnsi="Arial" w:cs="Arial"/>
          <w:i/>
          <w:iCs/>
          <w:lang w:val="en-GB"/>
        </w:rPr>
        <w:t>Battery Price Survey 2024.</w:t>
      </w:r>
      <w:r w:rsidR="00057E07" w:rsidRPr="00FA7FBF">
        <w:rPr>
          <w:rFonts w:ascii="Arial" w:hAnsi="Arial" w:cs="Arial"/>
          <w:lang w:val="en-GB"/>
        </w:rPr>
        <w:t xml:space="preserve"> </w:t>
      </w:r>
      <w:r w:rsidR="00062BBB" w:rsidRPr="00FA7FBF">
        <w:rPr>
          <w:rFonts w:ascii="Arial" w:hAnsi="Arial" w:cs="Arial"/>
          <w:lang w:val="en-GB"/>
        </w:rPr>
        <w:t xml:space="preserve">           </w:t>
      </w:r>
      <w:hyperlink r:id="rId19" w:history="1">
        <w:r w:rsidR="006800CB" w:rsidRPr="00FA7FBF">
          <w:rPr>
            <w:rStyle w:val="Hyperlink"/>
            <w:rFonts w:ascii="Arial" w:hAnsi="Arial" w:cs="Arial"/>
            <w:i/>
            <w:iCs/>
            <w:lang w:val="en-GB"/>
          </w:rPr>
          <w:t>https://about.bnef.com/blog/lithium-ion-battery-pack-prices-see-largest-drop-since-2017-falling-to-115-per-kilowatt-hour-bloombergnef/</w:t>
        </w:r>
      </w:hyperlink>
      <w:r w:rsidR="00057E07" w:rsidRPr="00FA7FBF">
        <w:rPr>
          <w:rFonts w:ascii="Arial" w:hAnsi="Arial" w:cs="Arial"/>
          <w:i/>
          <w:iCs/>
          <w:lang w:val="en-GB"/>
        </w:rPr>
        <w:t xml:space="preserve"> </w:t>
      </w:r>
    </w:p>
    <w:p w14:paraId="089892B9" w14:textId="1EAF3830" w:rsidR="00CF627B" w:rsidRPr="00E12F9A" w:rsidRDefault="00574429" w:rsidP="00CF627B">
      <w:pPr>
        <w:numPr>
          <w:ilvl w:val="0"/>
          <w:numId w:val="9"/>
        </w:numPr>
        <w:rPr>
          <w:rFonts w:ascii="Arial" w:hAnsi="Arial" w:cs="Arial"/>
        </w:rPr>
      </w:pPr>
      <w:r w:rsidRPr="00FA7FBF">
        <w:rPr>
          <w:rFonts w:ascii="Arial" w:hAnsi="Arial" w:cs="Arial"/>
          <w:lang w:val="en-GB"/>
        </w:rPr>
        <w:t xml:space="preserve">Pew Research Center, </w:t>
      </w:r>
      <w:r w:rsidR="00CF627B" w:rsidRPr="00FA7FBF">
        <w:rPr>
          <w:rFonts w:ascii="Arial" w:hAnsi="Arial" w:cs="Arial"/>
          <w:i/>
          <w:iCs/>
          <w:lang w:val="en-GB"/>
        </w:rPr>
        <w:t>How Americans view electric vehicles</w:t>
      </w:r>
      <w:r w:rsidR="006800CB" w:rsidRPr="00FA7FBF">
        <w:rPr>
          <w:rFonts w:ascii="Arial" w:hAnsi="Arial" w:cs="Arial"/>
          <w:i/>
          <w:iCs/>
          <w:lang w:val="en-GB"/>
        </w:rPr>
        <w:t xml:space="preserve">. </w:t>
      </w:r>
      <w:hyperlink r:id="rId20" w:history="1">
        <w:r w:rsidR="002113A9" w:rsidRPr="00E12F9A">
          <w:rPr>
            <w:rStyle w:val="Hyperlink"/>
            <w:rFonts w:ascii="Arial" w:hAnsi="Arial" w:cs="Arial"/>
          </w:rPr>
          <w:t>https://www.pewresearch.org/short-reads/2023/07/13/how-americans-view-electric-vehicles/</w:t>
        </w:r>
      </w:hyperlink>
      <w:r w:rsidR="00CF627B" w:rsidRPr="00E12F9A">
        <w:rPr>
          <w:rFonts w:ascii="Arial" w:hAnsi="Arial" w:cs="Arial"/>
        </w:rPr>
        <w:t xml:space="preserve"> </w:t>
      </w:r>
    </w:p>
    <w:p w14:paraId="654338E7" w14:textId="42706DDA" w:rsidR="00CF627B" w:rsidRPr="00E12F9A" w:rsidRDefault="00574429" w:rsidP="00CF627B">
      <w:pPr>
        <w:numPr>
          <w:ilvl w:val="0"/>
          <w:numId w:val="9"/>
        </w:numPr>
        <w:rPr>
          <w:rFonts w:ascii="Arial" w:hAnsi="Arial" w:cs="Arial"/>
        </w:rPr>
      </w:pPr>
      <w:r w:rsidRPr="00FA7FBF">
        <w:rPr>
          <w:rFonts w:ascii="Arial" w:hAnsi="Arial" w:cs="Arial"/>
          <w:lang w:val="en-GB"/>
        </w:rPr>
        <w:t xml:space="preserve">Argonne National Lab, </w:t>
      </w:r>
      <w:r w:rsidRPr="00FA7FBF">
        <w:rPr>
          <w:rFonts w:ascii="Arial" w:hAnsi="Arial" w:cs="Arial"/>
          <w:i/>
          <w:iCs/>
          <w:lang w:val="en-GB"/>
        </w:rPr>
        <w:t>Light</w:t>
      </w:r>
      <w:r w:rsidRPr="00FA7FBF">
        <w:rPr>
          <w:rFonts w:ascii="Arial" w:hAnsi="Arial" w:cs="Arial"/>
          <w:i/>
          <w:iCs/>
          <w:lang w:val="en-GB"/>
        </w:rPr>
        <w:noBreakHyphen/>
        <w:t>Duty Electric Drive Sales Tracker</w:t>
      </w:r>
      <w:r w:rsidR="006800CB" w:rsidRPr="00FA7FBF">
        <w:rPr>
          <w:rFonts w:ascii="Arial" w:hAnsi="Arial" w:cs="Arial"/>
          <w:i/>
          <w:iCs/>
          <w:lang w:val="en-GB"/>
        </w:rPr>
        <w:t xml:space="preserve">. </w:t>
      </w:r>
      <w:hyperlink r:id="rId21" w:history="1">
        <w:r w:rsidR="006800CB" w:rsidRPr="00E12F9A">
          <w:rPr>
            <w:rStyle w:val="Hyperlink"/>
            <w:rFonts w:ascii="Arial" w:hAnsi="Arial" w:cs="Arial"/>
          </w:rPr>
          <w:t>https://www.anl.gov/esia/light-duty-electric-drive-vehicles-monthly-sales-updates</w:t>
        </w:r>
      </w:hyperlink>
      <w:r w:rsidR="00CF627B" w:rsidRPr="00E12F9A">
        <w:rPr>
          <w:rFonts w:ascii="Arial" w:hAnsi="Arial" w:cs="Arial"/>
        </w:rPr>
        <w:t xml:space="preserve"> </w:t>
      </w:r>
    </w:p>
    <w:p w14:paraId="533B1460" w14:textId="46C93349" w:rsidR="00574429" w:rsidRPr="00FA7FBF" w:rsidRDefault="00CF627B" w:rsidP="006800CB">
      <w:pPr>
        <w:numPr>
          <w:ilvl w:val="0"/>
          <w:numId w:val="9"/>
        </w:numPr>
        <w:rPr>
          <w:rFonts w:ascii="Arial" w:hAnsi="Arial" w:cs="Arial"/>
          <w:lang w:val="en-GB"/>
        </w:rPr>
      </w:pPr>
      <w:r w:rsidRPr="00FA7FBF">
        <w:rPr>
          <w:rFonts w:ascii="Arial" w:hAnsi="Arial" w:cs="Arial"/>
          <w:lang w:val="en-GB"/>
        </w:rPr>
        <w:t xml:space="preserve">International Energy Agency. </w:t>
      </w:r>
      <w:r w:rsidRPr="00FA7FBF">
        <w:rPr>
          <w:rFonts w:ascii="Arial" w:hAnsi="Arial" w:cs="Arial"/>
          <w:i/>
          <w:iCs/>
          <w:lang w:val="en-GB"/>
        </w:rPr>
        <w:t>Global EV Outlook 2024</w:t>
      </w:r>
      <w:r w:rsidR="006800CB" w:rsidRPr="00FA7FBF">
        <w:rPr>
          <w:rFonts w:ascii="Arial" w:hAnsi="Arial" w:cs="Arial"/>
          <w:i/>
          <w:iCs/>
          <w:lang w:val="en-GB"/>
        </w:rPr>
        <w:t xml:space="preserve">. </w:t>
      </w:r>
      <w:hyperlink r:id="rId22" w:history="1">
        <w:r w:rsidR="006800CB" w:rsidRPr="00FA7FBF">
          <w:rPr>
            <w:rStyle w:val="Hyperlink"/>
            <w:rFonts w:ascii="Arial" w:hAnsi="Arial" w:cs="Arial"/>
            <w:lang w:val="en-GB"/>
          </w:rPr>
          <w:t>https://www.iea.org/reports/global-ev-outlook-2024</w:t>
        </w:r>
      </w:hyperlink>
    </w:p>
    <w:p w14:paraId="1170C08E" w14:textId="01FF9F2D" w:rsidR="006800CB" w:rsidRPr="00E12F9A" w:rsidRDefault="006800CB" w:rsidP="006800CB">
      <w:pPr>
        <w:numPr>
          <w:ilvl w:val="0"/>
          <w:numId w:val="9"/>
        </w:numPr>
        <w:rPr>
          <w:rFonts w:ascii="Arial" w:hAnsi="Arial" w:cs="Arial"/>
        </w:rPr>
      </w:pPr>
      <w:r w:rsidRPr="00FA7FBF">
        <w:rPr>
          <w:rFonts w:ascii="Arial" w:hAnsi="Arial" w:cs="Arial"/>
          <w:lang w:val="en-GB"/>
        </w:rPr>
        <w:t xml:space="preserve">Deloitte. </w:t>
      </w:r>
      <w:r w:rsidRPr="00FA7FBF">
        <w:rPr>
          <w:rFonts w:ascii="Arial" w:hAnsi="Arial" w:cs="Arial"/>
          <w:i/>
          <w:iCs/>
          <w:lang w:val="en-GB"/>
        </w:rPr>
        <w:t>Electric Vehicle Industry Trends.</w:t>
      </w:r>
      <w:r w:rsidRPr="00FA7FBF">
        <w:rPr>
          <w:rFonts w:ascii="Arial" w:hAnsi="Arial" w:cs="Arial"/>
          <w:lang w:val="en-GB"/>
        </w:rPr>
        <w:br/>
      </w:r>
      <w:hyperlink r:id="rId23" w:history="1">
        <w:r w:rsidRPr="00E12F9A">
          <w:rPr>
            <w:rStyle w:val="Hyperlink"/>
            <w:rFonts w:ascii="Arial" w:hAnsi="Arial" w:cs="Arial"/>
          </w:rPr>
          <w:t>https://www2.deloitte.com/us/en/pages/consumer-business/articles/electric-vehicle-industry-trends.html</w:t>
        </w:r>
      </w:hyperlink>
    </w:p>
    <w:p w14:paraId="52C61F52" w14:textId="6169077E" w:rsidR="002113A9" w:rsidRPr="00FA7FBF" w:rsidRDefault="00A52BBC" w:rsidP="006800CB">
      <w:pPr>
        <w:numPr>
          <w:ilvl w:val="0"/>
          <w:numId w:val="9"/>
        </w:numPr>
        <w:rPr>
          <w:rFonts w:ascii="Arial" w:hAnsi="Arial" w:cs="Arial"/>
          <w:lang w:val="en-GB"/>
        </w:rPr>
      </w:pPr>
      <w:r w:rsidRPr="00FA7FBF">
        <w:rPr>
          <w:rFonts w:ascii="Arial" w:hAnsi="Arial" w:cs="Arial"/>
          <w:lang w:val="en-GB"/>
        </w:rPr>
        <w:t xml:space="preserve">BloombergNEF. </w:t>
      </w:r>
      <w:r w:rsidRPr="00FA7FBF">
        <w:rPr>
          <w:rFonts w:ascii="Arial" w:hAnsi="Arial" w:cs="Arial"/>
          <w:i/>
          <w:iCs/>
          <w:lang w:val="en-GB"/>
        </w:rPr>
        <w:t xml:space="preserve">Long-Term Electric Vehicle Outlook.     </w:t>
      </w:r>
      <w:hyperlink r:id="rId24" w:history="1">
        <w:r w:rsidR="002113A9" w:rsidRPr="00FA7FBF">
          <w:rPr>
            <w:rStyle w:val="Hyperlink"/>
            <w:rFonts w:ascii="Arial" w:hAnsi="Arial" w:cs="Arial"/>
            <w:lang w:val="en-GB"/>
          </w:rPr>
          <w:t>https://about.bnef.com/electric-vehicle-outlook/</w:t>
        </w:r>
      </w:hyperlink>
      <w:r w:rsidR="002113A9" w:rsidRPr="00FA7FBF">
        <w:rPr>
          <w:rFonts w:ascii="Arial" w:hAnsi="Arial" w:cs="Arial"/>
          <w:lang w:val="en-GB"/>
        </w:rPr>
        <w:t xml:space="preserve"> </w:t>
      </w:r>
    </w:p>
    <w:sectPr w:rsidR="002113A9" w:rsidRPr="00FA7FBF">
      <w:headerReference w:type="defaul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876F6" w14:textId="77777777" w:rsidR="009F1113" w:rsidRDefault="009F1113" w:rsidP="00CC0F65">
      <w:pPr>
        <w:spacing w:after="0" w:line="240" w:lineRule="auto"/>
      </w:pPr>
      <w:r>
        <w:separator/>
      </w:r>
    </w:p>
  </w:endnote>
  <w:endnote w:type="continuationSeparator" w:id="0">
    <w:p w14:paraId="050EBC80" w14:textId="77777777" w:rsidR="009F1113" w:rsidRDefault="009F1113" w:rsidP="00CC0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BD212" w14:textId="77777777" w:rsidR="009F1113" w:rsidRDefault="009F1113" w:rsidP="00CC0F65">
      <w:pPr>
        <w:spacing w:after="0" w:line="240" w:lineRule="auto"/>
      </w:pPr>
      <w:r>
        <w:separator/>
      </w:r>
    </w:p>
  </w:footnote>
  <w:footnote w:type="continuationSeparator" w:id="0">
    <w:p w14:paraId="3915953C" w14:textId="77777777" w:rsidR="009F1113" w:rsidRDefault="009F1113" w:rsidP="00CC0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F722" w14:textId="5F7940B6" w:rsidR="00CC0F65" w:rsidRPr="004A0A16" w:rsidRDefault="00CC0F65" w:rsidP="001F456B">
    <w:pPr>
      <w:rPr>
        <w:rFonts w:ascii="Arial" w:hAnsi="Arial" w:cs="Arial"/>
        <w:color w:val="767171" w:themeColor="background2" w:themeShade="80"/>
        <w:lang w:val="en-US"/>
      </w:rPr>
    </w:pPr>
    <w:r w:rsidRPr="004A0A16">
      <w:rPr>
        <w:rFonts w:ascii="Arial" w:hAnsi="Arial" w:cs="Arial"/>
        <w:color w:val="767171" w:themeColor="background2" w:themeShade="80"/>
        <w:lang w:val="en-US"/>
      </w:rPr>
      <w:t>Alin Bonciu</w:t>
    </w:r>
    <w:r w:rsidR="001F456B" w:rsidRPr="004A0A16">
      <w:rPr>
        <w:rFonts w:ascii="Arial" w:hAnsi="Arial" w:cs="Arial"/>
        <w:color w:val="767171" w:themeColor="background2" w:themeShade="80"/>
        <w:lang w:val="en-US"/>
      </w:rPr>
      <w:tab/>
    </w:r>
    <w:r w:rsidR="001F456B" w:rsidRPr="004A0A16">
      <w:rPr>
        <w:rFonts w:ascii="Arial" w:hAnsi="Arial" w:cs="Arial"/>
        <w:color w:val="767171" w:themeColor="background2" w:themeShade="80"/>
        <w:lang w:val="en-US"/>
      </w:rPr>
      <w:tab/>
    </w:r>
    <w:r w:rsidR="001F456B" w:rsidRPr="004A0A16">
      <w:rPr>
        <w:rFonts w:ascii="Arial" w:hAnsi="Arial" w:cs="Arial"/>
        <w:color w:val="767171" w:themeColor="background2" w:themeShade="80"/>
        <w:lang w:val="en-US"/>
      </w:rPr>
      <w:tab/>
    </w:r>
    <w:r w:rsidR="001F456B" w:rsidRPr="004A0A16">
      <w:rPr>
        <w:rFonts w:ascii="Arial" w:hAnsi="Arial" w:cs="Arial"/>
        <w:color w:val="767171" w:themeColor="background2" w:themeShade="80"/>
        <w:lang w:val="en-US"/>
      </w:rPr>
      <w:tab/>
    </w:r>
    <w:r w:rsidR="001F456B" w:rsidRPr="004A0A16">
      <w:rPr>
        <w:rFonts w:ascii="Arial" w:hAnsi="Arial" w:cs="Arial"/>
        <w:color w:val="767171" w:themeColor="background2" w:themeShade="80"/>
        <w:lang w:val="en-US"/>
      </w:rPr>
      <w:tab/>
    </w:r>
    <w:r w:rsidR="001F456B" w:rsidRPr="004A0A16">
      <w:rPr>
        <w:rFonts w:ascii="Arial" w:hAnsi="Arial" w:cs="Arial"/>
        <w:color w:val="767171" w:themeColor="background2" w:themeShade="80"/>
        <w:lang w:val="en-US"/>
      </w:rPr>
      <w:tab/>
    </w:r>
    <w:r w:rsidR="001F456B" w:rsidRPr="004A0A16">
      <w:rPr>
        <w:rFonts w:ascii="Arial" w:hAnsi="Arial" w:cs="Arial"/>
        <w:color w:val="767171" w:themeColor="background2" w:themeShade="80"/>
        <w:lang w:val="en-US"/>
      </w:rPr>
      <w:tab/>
      <w:t xml:space="preserve">    NUST POLITEHNICA Bucharest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148B"/>
    <w:multiLevelType w:val="multilevel"/>
    <w:tmpl w:val="8000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F22B9"/>
    <w:multiLevelType w:val="multilevel"/>
    <w:tmpl w:val="B3D4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6F76C6"/>
    <w:multiLevelType w:val="multilevel"/>
    <w:tmpl w:val="AA00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9A4DBF"/>
    <w:multiLevelType w:val="multilevel"/>
    <w:tmpl w:val="D688D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2367A"/>
    <w:multiLevelType w:val="multilevel"/>
    <w:tmpl w:val="3358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5C1CCA"/>
    <w:multiLevelType w:val="multilevel"/>
    <w:tmpl w:val="BC58361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E7D58"/>
    <w:multiLevelType w:val="multilevel"/>
    <w:tmpl w:val="BB42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2683D"/>
    <w:multiLevelType w:val="multilevel"/>
    <w:tmpl w:val="5BFC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FD0AE6"/>
    <w:multiLevelType w:val="multilevel"/>
    <w:tmpl w:val="8848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73765D"/>
    <w:multiLevelType w:val="multilevel"/>
    <w:tmpl w:val="283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1A3FC4"/>
    <w:multiLevelType w:val="multilevel"/>
    <w:tmpl w:val="1252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E0F9B"/>
    <w:multiLevelType w:val="multilevel"/>
    <w:tmpl w:val="E614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5B1F9F"/>
    <w:multiLevelType w:val="multilevel"/>
    <w:tmpl w:val="9DCC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A702E1"/>
    <w:multiLevelType w:val="multilevel"/>
    <w:tmpl w:val="554EF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9B3EB5"/>
    <w:multiLevelType w:val="multilevel"/>
    <w:tmpl w:val="C862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D3D90"/>
    <w:multiLevelType w:val="multilevel"/>
    <w:tmpl w:val="DCD0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8C2832"/>
    <w:multiLevelType w:val="multilevel"/>
    <w:tmpl w:val="663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F0A5D"/>
    <w:multiLevelType w:val="multilevel"/>
    <w:tmpl w:val="9774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4B2A19"/>
    <w:multiLevelType w:val="multilevel"/>
    <w:tmpl w:val="5DE0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9388B"/>
    <w:multiLevelType w:val="multilevel"/>
    <w:tmpl w:val="F1AC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6D556D"/>
    <w:multiLevelType w:val="multilevel"/>
    <w:tmpl w:val="E618A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161491">
    <w:abstractNumId w:val="18"/>
  </w:num>
  <w:num w:numId="2" w16cid:durableId="1390495744">
    <w:abstractNumId w:val="13"/>
  </w:num>
  <w:num w:numId="3" w16cid:durableId="1683819513">
    <w:abstractNumId w:val="15"/>
  </w:num>
  <w:num w:numId="4" w16cid:durableId="135076016">
    <w:abstractNumId w:val="0"/>
  </w:num>
  <w:num w:numId="5" w16cid:durableId="995575119">
    <w:abstractNumId w:val="14"/>
  </w:num>
  <w:num w:numId="6" w16cid:durableId="1814954369">
    <w:abstractNumId w:val="6"/>
  </w:num>
  <w:num w:numId="7" w16cid:durableId="1814062043">
    <w:abstractNumId w:val="10"/>
  </w:num>
  <w:num w:numId="8" w16cid:durableId="975254081">
    <w:abstractNumId w:val="3"/>
  </w:num>
  <w:num w:numId="9" w16cid:durableId="1213544487">
    <w:abstractNumId w:val="5"/>
  </w:num>
  <w:num w:numId="10" w16cid:durableId="794561807">
    <w:abstractNumId w:val="16"/>
  </w:num>
  <w:num w:numId="11" w16cid:durableId="1215385298">
    <w:abstractNumId w:val="17"/>
  </w:num>
  <w:num w:numId="12" w16cid:durableId="689527659">
    <w:abstractNumId w:val="20"/>
  </w:num>
  <w:num w:numId="13" w16cid:durableId="395781246">
    <w:abstractNumId w:val="9"/>
  </w:num>
  <w:num w:numId="14" w16cid:durableId="2002852702">
    <w:abstractNumId w:val="4"/>
  </w:num>
  <w:num w:numId="15" w16cid:durableId="324209104">
    <w:abstractNumId w:val="1"/>
  </w:num>
  <w:num w:numId="16" w16cid:durableId="316999970">
    <w:abstractNumId w:val="8"/>
  </w:num>
  <w:num w:numId="17" w16cid:durableId="955789733">
    <w:abstractNumId w:val="2"/>
  </w:num>
  <w:num w:numId="18" w16cid:durableId="1646885573">
    <w:abstractNumId w:val="19"/>
  </w:num>
  <w:num w:numId="19" w16cid:durableId="1289552552">
    <w:abstractNumId w:val="11"/>
  </w:num>
  <w:num w:numId="20" w16cid:durableId="970092349">
    <w:abstractNumId w:val="7"/>
  </w:num>
  <w:num w:numId="21" w16cid:durableId="13452801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532"/>
    <w:rsid w:val="00001583"/>
    <w:rsid w:val="00057E07"/>
    <w:rsid w:val="00060532"/>
    <w:rsid w:val="00062BBB"/>
    <w:rsid w:val="000C44FC"/>
    <w:rsid w:val="001371C7"/>
    <w:rsid w:val="00150031"/>
    <w:rsid w:val="00192602"/>
    <w:rsid w:val="001C7409"/>
    <w:rsid w:val="001F456B"/>
    <w:rsid w:val="002113A9"/>
    <w:rsid w:val="00212514"/>
    <w:rsid w:val="00296969"/>
    <w:rsid w:val="002C422D"/>
    <w:rsid w:val="00305931"/>
    <w:rsid w:val="003424D7"/>
    <w:rsid w:val="003B5279"/>
    <w:rsid w:val="003B6589"/>
    <w:rsid w:val="003E7E53"/>
    <w:rsid w:val="003F0B50"/>
    <w:rsid w:val="0042229F"/>
    <w:rsid w:val="004457A7"/>
    <w:rsid w:val="004575FC"/>
    <w:rsid w:val="00472BDA"/>
    <w:rsid w:val="004A0A16"/>
    <w:rsid w:val="004A5486"/>
    <w:rsid w:val="004F61FC"/>
    <w:rsid w:val="0055270E"/>
    <w:rsid w:val="00574429"/>
    <w:rsid w:val="005A25B5"/>
    <w:rsid w:val="005E5094"/>
    <w:rsid w:val="00605C35"/>
    <w:rsid w:val="00611081"/>
    <w:rsid w:val="006800CB"/>
    <w:rsid w:val="006C56DF"/>
    <w:rsid w:val="00704751"/>
    <w:rsid w:val="0074622E"/>
    <w:rsid w:val="007506F2"/>
    <w:rsid w:val="00775937"/>
    <w:rsid w:val="008443E0"/>
    <w:rsid w:val="0086550D"/>
    <w:rsid w:val="00881989"/>
    <w:rsid w:val="008B0578"/>
    <w:rsid w:val="008C74EC"/>
    <w:rsid w:val="008E6C9F"/>
    <w:rsid w:val="00967B86"/>
    <w:rsid w:val="0099148F"/>
    <w:rsid w:val="009F1113"/>
    <w:rsid w:val="00A52BBC"/>
    <w:rsid w:val="00AA634F"/>
    <w:rsid w:val="00AB3771"/>
    <w:rsid w:val="00AB398C"/>
    <w:rsid w:val="00B03D9F"/>
    <w:rsid w:val="00B2352C"/>
    <w:rsid w:val="00BA0642"/>
    <w:rsid w:val="00BC54AE"/>
    <w:rsid w:val="00C004B7"/>
    <w:rsid w:val="00C42E0E"/>
    <w:rsid w:val="00CC0F65"/>
    <w:rsid w:val="00CF627B"/>
    <w:rsid w:val="00D141D7"/>
    <w:rsid w:val="00D436F8"/>
    <w:rsid w:val="00DC6F88"/>
    <w:rsid w:val="00DF09F6"/>
    <w:rsid w:val="00DF1E42"/>
    <w:rsid w:val="00E12F9A"/>
    <w:rsid w:val="00E24C21"/>
    <w:rsid w:val="00E442B1"/>
    <w:rsid w:val="00EA646F"/>
    <w:rsid w:val="00F25511"/>
    <w:rsid w:val="00F75683"/>
    <w:rsid w:val="00F77C71"/>
    <w:rsid w:val="00FA7FB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8692D"/>
  <w15:chartTrackingRefBased/>
  <w15:docId w15:val="{3C886488-16BF-46F8-9609-C4960BFEA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5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05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05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5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5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5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05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05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5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5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532"/>
    <w:rPr>
      <w:rFonts w:eastAsiaTheme="majorEastAsia" w:cstheme="majorBidi"/>
      <w:color w:val="272727" w:themeColor="text1" w:themeTint="D8"/>
    </w:rPr>
  </w:style>
  <w:style w:type="paragraph" w:styleId="Title">
    <w:name w:val="Title"/>
    <w:basedOn w:val="Normal"/>
    <w:next w:val="Normal"/>
    <w:link w:val="TitleChar"/>
    <w:uiPriority w:val="10"/>
    <w:qFormat/>
    <w:rsid w:val="00060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532"/>
    <w:pPr>
      <w:spacing w:before="160"/>
      <w:jc w:val="center"/>
    </w:pPr>
    <w:rPr>
      <w:i/>
      <w:iCs/>
      <w:color w:val="404040" w:themeColor="text1" w:themeTint="BF"/>
    </w:rPr>
  </w:style>
  <w:style w:type="character" w:customStyle="1" w:styleId="QuoteChar">
    <w:name w:val="Quote Char"/>
    <w:basedOn w:val="DefaultParagraphFont"/>
    <w:link w:val="Quote"/>
    <w:uiPriority w:val="29"/>
    <w:rsid w:val="00060532"/>
    <w:rPr>
      <w:i/>
      <w:iCs/>
      <w:color w:val="404040" w:themeColor="text1" w:themeTint="BF"/>
    </w:rPr>
  </w:style>
  <w:style w:type="paragraph" w:styleId="ListParagraph">
    <w:name w:val="List Paragraph"/>
    <w:basedOn w:val="Normal"/>
    <w:uiPriority w:val="34"/>
    <w:qFormat/>
    <w:rsid w:val="00060532"/>
    <w:pPr>
      <w:ind w:left="720"/>
      <w:contextualSpacing/>
    </w:pPr>
  </w:style>
  <w:style w:type="character" w:styleId="IntenseEmphasis">
    <w:name w:val="Intense Emphasis"/>
    <w:basedOn w:val="DefaultParagraphFont"/>
    <w:uiPriority w:val="21"/>
    <w:qFormat/>
    <w:rsid w:val="00060532"/>
    <w:rPr>
      <w:i/>
      <w:iCs/>
      <w:color w:val="2F5496" w:themeColor="accent1" w:themeShade="BF"/>
    </w:rPr>
  </w:style>
  <w:style w:type="paragraph" w:styleId="IntenseQuote">
    <w:name w:val="Intense Quote"/>
    <w:basedOn w:val="Normal"/>
    <w:next w:val="Normal"/>
    <w:link w:val="IntenseQuoteChar"/>
    <w:uiPriority w:val="30"/>
    <w:qFormat/>
    <w:rsid w:val="000605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532"/>
    <w:rPr>
      <w:i/>
      <w:iCs/>
      <w:color w:val="2F5496" w:themeColor="accent1" w:themeShade="BF"/>
    </w:rPr>
  </w:style>
  <w:style w:type="character" w:styleId="IntenseReference">
    <w:name w:val="Intense Reference"/>
    <w:basedOn w:val="DefaultParagraphFont"/>
    <w:uiPriority w:val="32"/>
    <w:qFormat/>
    <w:rsid w:val="00060532"/>
    <w:rPr>
      <w:b/>
      <w:bCs/>
      <w:smallCaps/>
      <w:color w:val="2F5496" w:themeColor="accent1" w:themeShade="BF"/>
      <w:spacing w:val="5"/>
    </w:rPr>
  </w:style>
  <w:style w:type="character" w:customStyle="1" w:styleId="katex-mathml">
    <w:name w:val="katex-mathml"/>
    <w:basedOn w:val="DefaultParagraphFont"/>
    <w:rsid w:val="002C422D"/>
  </w:style>
  <w:style w:type="character" w:customStyle="1" w:styleId="mord">
    <w:name w:val="mord"/>
    <w:basedOn w:val="DefaultParagraphFont"/>
    <w:rsid w:val="002C422D"/>
  </w:style>
  <w:style w:type="character" w:customStyle="1" w:styleId="mopen">
    <w:name w:val="mopen"/>
    <w:basedOn w:val="DefaultParagraphFont"/>
    <w:rsid w:val="002C422D"/>
  </w:style>
  <w:style w:type="character" w:customStyle="1" w:styleId="mclose">
    <w:name w:val="mclose"/>
    <w:basedOn w:val="DefaultParagraphFont"/>
    <w:rsid w:val="002C422D"/>
  </w:style>
  <w:style w:type="character" w:customStyle="1" w:styleId="mrel">
    <w:name w:val="mrel"/>
    <w:basedOn w:val="DefaultParagraphFont"/>
    <w:rsid w:val="002C422D"/>
  </w:style>
  <w:style w:type="character" w:customStyle="1" w:styleId="mbin">
    <w:name w:val="mbin"/>
    <w:basedOn w:val="DefaultParagraphFont"/>
    <w:rsid w:val="002C422D"/>
  </w:style>
  <w:style w:type="character" w:customStyle="1" w:styleId="vlist-s">
    <w:name w:val="vlist-s"/>
    <w:basedOn w:val="DefaultParagraphFont"/>
    <w:rsid w:val="002C422D"/>
  </w:style>
  <w:style w:type="character" w:styleId="Strong">
    <w:name w:val="Strong"/>
    <w:basedOn w:val="DefaultParagraphFont"/>
    <w:uiPriority w:val="22"/>
    <w:qFormat/>
    <w:rsid w:val="002C422D"/>
    <w:rPr>
      <w:b/>
      <w:bCs/>
    </w:rPr>
  </w:style>
  <w:style w:type="paragraph" w:styleId="Caption">
    <w:name w:val="caption"/>
    <w:basedOn w:val="Normal"/>
    <w:next w:val="Normal"/>
    <w:uiPriority w:val="35"/>
    <w:unhideWhenUsed/>
    <w:qFormat/>
    <w:rsid w:val="004F61FC"/>
    <w:pPr>
      <w:spacing w:after="200" w:line="240" w:lineRule="auto"/>
    </w:pPr>
    <w:rPr>
      <w:i/>
      <w:iCs/>
      <w:color w:val="44546A" w:themeColor="text2"/>
      <w:sz w:val="18"/>
      <w:szCs w:val="18"/>
    </w:rPr>
  </w:style>
  <w:style w:type="paragraph" w:styleId="Header">
    <w:name w:val="header"/>
    <w:basedOn w:val="Normal"/>
    <w:link w:val="HeaderChar"/>
    <w:uiPriority w:val="99"/>
    <w:unhideWhenUsed/>
    <w:rsid w:val="00CC0F65"/>
    <w:pPr>
      <w:tabs>
        <w:tab w:val="center" w:pos="4536"/>
        <w:tab w:val="right" w:pos="9072"/>
      </w:tabs>
      <w:spacing w:after="0" w:line="240" w:lineRule="auto"/>
    </w:pPr>
  </w:style>
  <w:style w:type="character" w:customStyle="1" w:styleId="HeaderChar">
    <w:name w:val="Header Char"/>
    <w:basedOn w:val="DefaultParagraphFont"/>
    <w:link w:val="Header"/>
    <w:uiPriority w:val="99"/>
    <w:rsid w:val="00CC0F65"/>
  </w:style>
  <w:style w:type="paragraph" w:styleId="Footer">
    <w:name w:val="footer"/>
    <w:basedOn w:val="Normal"/>
    <w:link w:val="FooterChar"/>
    <w:uiPriority w:val="99"/>
    <w:unhideWhenUsed/>
    <w:rsid w:val="00CC0F65"/>
    <w:pPr>
      <w:tabs>
        <w:tab w:val="center" w:pos="4536"/>
        <w:tab w:val="right" w:pos="9072"/>
      </w:tabs>
      <w:spacing w:after="0" w:line="240" w:lineRule="auto"/>
    </w:pPr>
  </w:style>
  <w:style w:type="character" w:customStyle="1" w:styleId="FooterChar">
    <w:name w:val="Footer Char"/>
    <w:basedOn w:val="DefaultParagraphFont"/>
    <w:link w:val="Footer"/>
    <w:uiPriority w:val="99"/>
    <w:rsid w:val="00CC0F65"/>
  </w:style>
  <w:style w:type="character" w:styleId="Hyperlink">
    <w:name w:val="Hyperlink"/>
    <w:basedOn w:val="DefaultParagraphFont"/>
    <w:uiPriority w:val="99"/>
    <w:unhideWhenUsed/>
    <w:rsid w:val="00CF627B"/>
    <w:rPr>
      <w:color w:val="0563C1" w:themeColor="hyperlink"/>
      <w:u w:val="single"/>
    </w:rPr>
  </w:style>
  <w:style w:type="character" w:styleId="UnresolvedMention">
    <w:name w:val="Unresolved Mention"/>
    <w:basedOn w:val="DefaultParagraphFont"/>
    <w:uiPriority w:val="99"/>
    <w:semiHidden/>
    <w:unhideWhenUsed/>
    <w:rsid w:val="00CF627B"/>
    <w:rPr>
      <w:color w:val="605E5C"/>
      <w:shd w:val="clear" w:color="auto" w:fill="E1DFDD"/>
    </w:rPr>
  </w:style>
  <w:style w:type="character" w:styleId="FollowedHyperlink">
    <w:name w:val="FollowedHyperlink"/>
    <w:basedOn w:val="DefaultParagraphFont"/>
    <w:uiPriority w:val="99"/>
    <w:semiHidden/>
    <w:unhideWhenUsed/>
    <w:rsid w:val="00CF627B"/>
    <w:rPr>
      <w:color w:val="954F72" w:themeColor="followedHyperlink"/>
      <w:u w:val="single"/>
    </w:rPr>
  </w:style>
  <w:style w:type="paragraph" w:styleId="TOCHeading">
    <w:name w:val="TOC Heading"/>
    <w:basedOn w:val="Heading1"/>
    <w:next w:val="Normal"/>
    <w:uiPriority w:val="39"/>
    <w:unhideWhenUsed/>
    <w:qFormat/>
    <w:rsid w:val="0061108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11081"/>
    <w:pPr>
      <w:spacing w:after="100"/>
    </w:pPr>
  </w:style>
  <w:style w:type="paragraph" w:styleId="TOC2">
    <w:name w:val="toc 2"/>
    <w:basedOn w:val="Normal"/>
    <w:next w:val="Normal"/>
    <w:autoRedefine/>
    <w:uiPriority w:val="39"/>
    <w:unhideWhenUsed/>
    <w:rsid w:val="0061108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47212">
      <w:bodyDiv w:val="1"/>
      <w:marLeft w:val="0"/>
      <w:marRight w:val="0"/>
      <w:marTop w:val="0"/>
      <w:marBottom w:val="0"/>
      <w:divBdr>
        <w:top w:val="none" w:sz="0" w:space="0" w:color="auto"/>
        <w:left w:val="none" w:sz="0" w:space="0" w:color="auto"/>
        <w:bottom w:val="none" w:sz="0" w:space="0" w:color="auto"/>
        <w:right w:val="none" w:sz="0" w:space="0" w:color="auto"/>
      </w:divBdr>
    </w:div>
    <w:div w:id="116031165">
      <w:bodyDiv w:val="1"/>
      <w:marLeft w:val="0"/>
      <w:marRight w:val="0"/>
      <w:marTop w:val="0"/>
      <w:marBottom w:val="0"/>
      <w:divBdr>
        <w:top w:val="none" w:sz="0" w:space="0" w:color="auto"/>
        <w:left w:val="none" w:sz="0" w:space="0" w:color="auto"/>
        <w:bottom w:val="none" w:sz="0" w:space="0" w:color="auto"/>
        <w:right w:val="none" w:sz="0" w:space="0" w:color="auto"/>
      </w:divBdr>
      <w:divsChild>
        <w:div w:id="973949712">
          <w:marLeft w:val="0"/>
          <w:marRight w:val="0"/>
          <w:marTop w:val="0"/>
          <w:marBottom w:val="0"/>
          <w:divBdr>
            <w:top w:val="single" w:sz="2" w:space="0" w:color="E5E7EB"/>
            <w:left w:val="single" w:sz="2" w:space="0" w:color="E5E7EB"/>
            <w:bottom w:val="single" w:sz="2" w:space="0" w:color="E5E7EB"/>
            <w:right w:val="single" w:sz="2" w:space="0" w:color="E5E7EB"/>
          </w:divBdr>
        </w:div>
        <w:div w:id="1214150137">
          <w:marLeft w:val="0"/>
          <w:marRight w:val="0"/>
          <w:marTop w:val="0"/>
          <w:marBottom w:val="0"/>
          <w:divBdr>
            <w:top w:val="single" w:sz="2" w:space="0" w:color="E5E7EB"/>
            <w:left w:val="single" w:sz="2" w:space="0" w:color="E5E7EB"/>
            <w:bottom w:val="single" w:sz="2" w:space="0" w:color="E5E7EB"/>
            <w:right w:val="single" w:sz="2" w:space="0" w:color="E5E7EB"/>
          </w:divBdr>
        </w:div>
        <w:div w:id="803160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554102">
      <w:bodyDiv w:val="1"/>
      <w:marLeft w:val="0"/>
      <w:marRight w:val="0"/>
      <w:marTop w:val="0"/>
      <w:marBottom w:val="0"/>
      <w:divBdr>
        <w:top w:val="none" w:sz="0" w:space="0" w:color="auto"/>
        <w:left w:val="none" w:sz="0" w:space="0" w:color="auto"/>
        <w:bottom w:val="none" w:sz="0" w:space="0" w:color="auto"/>
        <w:right w:val="none" w:sz="0" w:space="0" w:color="auto"/>
      </w:divBdr>
      <w:divsChild>
        <w:div w:id="55472455">
          <w:marLeft w:val="0"/>
          <w:marRight w:val="0"/>
          <w:marTop w:val="0"/>
          <w:marBottom w:val="0"/>
          <w:divBdr>
            <w:top w:val="none" w:sz="0" w:space="0" w:color="auto"/>
            <w:left w:val="none" w:sz="0" w:space="0" w:color="auto"/>
            <w:bottom w:val="none" w:sz="0" w:space="0" w:color="auto"/>
            <w:right w:val="none" w:sz="0" w:space="0" w:color="auto"/>
          </w:divBdr>
          <w:divsChild>
            <w:div w:id="704137568">
              <w:marLeft w:val="0"/>
              <w:marRight w:val="0"/>
              <w:marTop w:val="0"/>
              <w:marBottom w:val="0"/>
              <w:divBdr>
                <w:top w:val="none" w:sz="0" w:space="0" w:color="auto"/>
                <w:left w:val="none" w:sz="0" w:space="0" w:color="auto"/>
                <w:bottom w:val="none" w:sz="0" w:space="0" w:color="auto"/>
                <w:right w:val="none" w:sz="0" w:space="0" w:color="auto"/>
              </w:divBdr>
            </w:div>
          </w:divsChild>
        </w:div>
        <w:div w:id="982588181">
          <w:marLeft w:val="0"/>
          <w:marRight w:val="0"/>
          <w:marTop w:val="0"/>
          <w:marBottom w:val="0"/>
          <w:divBdr>
            <w:top w:val="none" w:sz="0" w:space="0" w:color="auto"/>
            <w:left w:val="none" w:sz="0" w:space="0" w:color="auto"/>
            <w:bottom w:val="none" w:sz="0" w:space="0" w:color="auto"/>
            <w:right w:val="none" w:sz="0" w:space="0" w:color="auto"/>
          </w:divBdr>
          <w:divsChild>
            <w:div w:id="514729611">
              <w:marLeft w:val="0"/>
              <w:marRight w:val="0"/>
              <w:marTop w:val="0"/>
              <w:marBottom w:val="0"/>
              <w:divBdr>
                <w:top w:val="none" w:sz="0" w:space="0" w:color="auto"/>
                <w:left w:val="none" w:sz="0" w:space="0" w:color="auto"/>
                <w:bottom w:val="none" w:sz="0" w:space="0" w:color="auto"/>
                <w:right w:val="none" w:sz="0" w:space="0" w:color="auto"/>
              </w:divBdr>
            </w:div>
          </w:divsChild>
        </w:div>
        <w:div w:id="885994253">
          <w:marLeft w:val="0"/>
          <w:marRight w:val="0"/>
          <w:marTop w:val="0"/>
          <w:marBottom w:val="0"/>
          <w:divBdr>
            <w:top w:val="none" w:sz="0" w:space="0" w:color="auto"/>
            <w:left w:val="none" w:sz="0" w:space="0" w:color="auto"/>
            <w:bottom w:val="none" w:sz="0" w:space="0" w:color="auto"/>
            <w:right w:val="none" w:sz="0" w:space="0" w:color="auto"/>
          </w:divBdr>
          <w:divsChild>
            <w:div w:id="37470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69250">
      <w:bodyDiv w:val="1"/>
      <w:marLeft w:val="0"/>
      <w:marRight w:val="0"/>
      <w:marTop w:val="0"/>
      <w:marBottom w:val="0"/>
      <w:divBdr>
        <w:top w:val="none" w:sz="0" w:space="0" w:color="auto"/>
        <w:left w:val="none" w:sz="0" w:space="0" w:color="auto"/>
        <w:bottom w:val="none" w:sz="0" w:space="0" w:color="auto"/>
        <w:right w:val="none" w:sz="0" w:space="0" w:color="auto"/>
      </w:divBdr>
      <w:divsChild>
        <w:div w:id="2105418992">
          <w:marLeft w:val="0"/>
          <w:marRight w:val="0"/>
          <w:marTop w:val="0"/>
          <w:marBottom w:val="0"/>
          <w:divBdr>
            <w:top w:val="single" w:sz="2" w:space="0" w:color="E5E7EB"/>
            <w:left w:val="single" w:sz="2" w:space="0" w:color="E5E7EB"/>
            <w:bottom w:val="single" w:sz="2" w:space="0" w:color="E5E7EB"/>
            <w:right w:val="single" w:sz="2" w:space="0" w:color="E5E7EB"/>
          </w:divBdr>
        </w:div>
        <w:div w:id="825706032">
          <w:marLeft w:val="0"/>
          <w:marRight w:val="0"/>
          <w:marTop w:val="0"/>
          <w:marBottom w:val="0"/>
          <w:divBdr>
            <w:top w:val="single" w:sz="2" w:space="0" w:color="E5E7EB"/>
            <w:left w:val="single" w:sz="2" w:space="0" w:color="E5E7EB"/>
            <w:bottom w:val="single" w:sz="2" w:space="0" w:color="E5E7EB"/>
            <w:right w:val="single" w:sz="2" w:space="0" w:color="E5E7EB"/>
          </w:divBdr>
        </w:div>
        <w:div w:id="335235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0053290">
      <w:bodyDiv w:val="1"/>
      <w:marLeft w:val="0"/>
      <w:marRight w:val="0"/>
      <w:marTop w:val="0"/>
      <w:marBottom w:val="0"/>
      <w:divBdr>
        <w:top w:val="none" w:sz="0" w:space="0" w:color="auto"/>
        <w:left w:val="none" w:sz="0" w:space="0" w:color="auto"/>
        <w:bottom w:val="none" w:sz="0" w:space="0" w:color="auto"/>
        <w:right w:val="none" w:sz="0" w:space="0" w:color="auto"/>
      </w:divBdr>
    </w:div>
    <w:div w:id="566961573">
      <w:bodyDiv w:val="1"/>
      <w:marLeft w:val="0"/>
      <w:marRight w:val="0"/>
      <w:marTop w:val="0"/>
      <w:marBottom w:val="0"/>
      <w:divBdr>
        <w:top w:val="none" w:sz="0" w:space="0" w:color="auto"/>
        <w:left w:val="none" w:sz="0" w:space="0" w:color="auto"/>
        <w:bottom w:val="none" w:sz="0" w:space="0" w:color="auto"/>
        <w:right w:val="none" w:sz="0" w:space="0" w:color="auto"/>
      </w:divBdr>
    </w:div>
    <w:div w:id="672805414">
      <w:bodyDiv w:val="1"/>
      <w:marLeft w:val="0"/>
      <w:marRight w:val="0"/>
      <w:marTop w:val="0"/>
      <w:marBottom w:val="0"/>
      <w:divBdr>
        <w:top w:val="none" w:sz="0" w:space="0" w:color="auto"/>
        <w:left w:val="none" w:sz="0" w:space="0" w:color="auto"/>
        <w:bottom w:val="none" w:sz="0" w:space="0" w:color="auto"/>
        <w:right w:val="none" w:sz="0" w:space="0" w:color="auto"/>
      </w:divBdr>
    </w:div>
    <w:div w:id="834881044">
      <w:bodyDiv w:val="1"/>
      <w:marLeft w:val="0"/>
      <w:marRight w:val="0"/>
      <w:marTop w:val="0"/>
      <w:marBottom w:val="0"/>
      <w:divBdr>
        <w:top w:val="none" w:sz="0" w:space="0" w:color="auto"/>
        <w:left w:val="none" w:sz="0" w:space="0" w:color="auto"/>
        <w:bottom w:val="none" w:sz="0" w:space="0" w:color="auto"/>
        <w:right w:val="none" w:sz="0" w:space="0" w:color="auto"/>
      </w:divBdr>
      <w:divsChild>
        <w:div w:id="38870461">
          <w:marLeft w:val="0"/>
          <w:marRight w:val="0"/>
          <w:marTop w:val="0"/>
          <w:marBottom w:val="0"/>
          <w:divBdr>
            <w:top w:val="single" w:sz="2" w:space="0" w:color="E5E7EB"/>
            <w:left w:val="single" w:sz="2" w:space="0" w:color="E5E7EB"/>
            <w:bottom w:val="single" w:sz="2" w:space="0" w:color="E5E7EB"/>
            <w:right w:val="single" w:sz="2" w:space="0" w:color="E5E7EB"/>
          </w:divBdr>
        </w:div>
        <w:div w:id="1723482052">
          <w:marLeft w:val="0"/>
          <w:marRight w:val="0"/>
          <w:marTop w:val="0"/>
          <w:marBottom w:val="0"/>
          <w:divBdr>
            <w:top w:val="single" w:sz="2" w:space="0" w:color="E5E7EB"/>
            <w:left w:val="single" w:sz="2" w:space="0" w:color="E5E7EB"/>
            <w:bottom w:val="single" w:sz="2" w:space="0" w:color="E5E7EB"/>
            <w:right w:val="single" w:sz="2" w:space="0" w:color="E5E7EB"/>
          </w:divBdr>
        </w:div>
        <w:div w:id="618027594">
          <w:marLeft w:val="0"/>
          <w:marRight w:val="0"/>
          <w:marTop w:val="0"/>
          <w:marBottom w:val="0"/>
          <w:divBdr>
            <w:top w:val="single" w:sz="2" w:space="0" w:color="E5E7EB"/>
            <w:left w:val="single" w:sz="2" w:space="0" w:color="E5E7EB"/>
            <w:bottom w:val="single" w:sz="2" w:space="0" w:color="E5E7EB"/>
            <w:right w:val="single" w:sz="2" w:space="0" w:color="E5E7EB"/>
          </w:divBdr>
        </w:div>
        <w:div w:id="1880779213">
          <w:marLeft w:val="0"/>
          <w:marRight w:val="0"/>
          <w:marTop w:val="0"/>
          <w:marBottom w:val="0"/>
          <w:divBdr>
            <w:top w:val="single" w:sz="2" w:space="0" w:color="E5E7EB"/>
            <w:left w:val="single" w:sz="2" w:space="0" w:color="E5E7EB"/>
            <w:bottom w:val="single" w:sz="2" w:space="0" w:color="E5E7EB"/>
            <w:right w:val="single" w:sz="2" w:space="0" w:color="E5E7EB"/>
          </w:divBdr>
        </w:div>
        <w:div w:id="2140567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0317402">
      <w:bodyDiv w:val="1"/>
      <w:marLeft w:val="0"/>
      <w:marRight w:val="0"/>
      <w:marTop w:val="0"/>
      <w:marBottom w:val="0"/>
      <w:divBdr>
        <w:top w:val="none" w:sz="0" w:space="0" w:color="auto"/>
        <w:left w:val="none" w:sz="0" w:space="0" w:color="auto"/>
        <w:bottom w:val="none" w:sz="0" w:space="0" w:color="auto"/>
        <w:right w:val="none" w:sz="0" w:space="0" w:color="auto"/>
      </w:divBdr>
      <w:divsChild>
        <w:div w:id="1163665519">
          <w:marLeft w:val="0"/>
          <w:marRight w:val="0"/>
          <w:marTop w:val="0"/>
          <w:marBottom w:val="0"/>
          <w:divBdr>
            <w:top w:val="single" w:sz="2" w:space="0" w:color="E5E7EB"/>
            <w:left w:val="single" w:sz="2" w:space="0" w:color="E5E7EB"/>
            <w:bottom w:val="single" w:sz="2" w:space="0" w:color="E5E7EB"/>
            <w:right w:val="single" w:sz="2" w:space="0" w:color="E5E7EB"/>
          </w:divBdr>
        </w:div>
        <w:div w:id="1412043225">
          <w:marLeft w:val="0"/>
          <w:marRight w:val="0"/>
          <w:marTop w:val="0"/>
          <w:marBottom w:val="0"/>
          <w:divBdr>
            <w:top w:val="single" w:sz="2" w:space="0" w:color="E5E7EB"/>
            <w:left w:val="single" w:sz="2" w:space="0" w:color="E5E7EB"/>
            <w:bottom w:val="single" w:sz="2" w:space="0" w:color="E5E7EB"/>
            <w:right w:val="single" w:sz="2" w:space="0" w:color="E5E7EB"/>
          </w:divBdr>
        </w:div>
        <w:div w:id="1089816325">
          <w:marLeft w:val="0"/>
          <w:marRight w:val="0"/>
          <w:marTop w:val="0"/>
          <w:marBottom w:val="0"/>
          <w:divBdr>
            <w:top w:val="single" w:sz="2" w:space="0" w:color="E5E7EB"/>
            <w:left w:val="single" w:sz="2" w:space="0" w:color="E5E7EB"/>
            <w:bottom w:val="single" w:sz="2" w:space="0" w:color="E5E7EB"/>
            <w:right w:val="single" w:sz="2" w:space="0" w:color="E5E7EB"/>
          </w:divBdr>
        </w:div>
        <w:div w:id="446239136">
          <w:marLeft w:val="0"/>
          <w:marRight w:val="0"/>
          <w:marTop w:val="0"/>
          <w:marBottom w:val="0"/>
          <w:divBdr>
            <w:top w:val="single" w:sz="2" w:space="0" w:color="E5E7EB"/>
            <w:left w:val="single" w:sz="2" w:space="0" w:color="E5E7EB"/>
            <w:bottom w:val="single" w:sz="2" w:space="0" w:color="E5E7EB"/>
            <w:right w:val="single" w:sz="2" w:space="0" w:color="E5E7EB"/>
          </w:divBdr>
        </w:div>
        <w:div w:id="1077947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9938228">
      <w:bodyDiv w:val="1"/>
      <w:marLeft w:val="0"/>
      <w:marRight w:val="0"/>
      <w:marTop w:val="0"/>
      <w:marBottom w:val="0"/>
      <w:divBdr>
        <w:top w:val="none" w:sz="0" w:space="0" w:color="auto"/>
        <w:left w:val="none" w:sz="0" w:space="0" w:color="auto"/>
        <w:bottom w:val="none" w:sz="0" w:space="0" w:color="auto"/>
        <w:right w:val="none" w:sz="0" w:space="0" w:color="auto"/>
      </w:divBdr>
    </w:div>
    <w:div w:id="1058364156">
      <w:bodyDiv w:val="1"/>
      <w:marLeft w:val="0"/>
      <w:marRight w:val="0"/>
      <w:marTop w:val="0"/>
      <w:marBottom w:val="0"/>
      <w:divBdr>
        <w:top w:val="none" w:sz="0" w:space="0" w:color="auto"/>
        <w:left w:val="none" w:sz="0" w:space="0" w:color="auto"/>
        <w:bottom w:val="none" w:sz="0" w:space="0" w:color="auto"/>
        <w:right w:val="none" w:sz="0" w:space="0" w:color="auto"/>
      </w:divBdr>
      <w:divsChild>
        <w:div w:id="40911417">
          <w:marLeft w:val="0"/>
          <w:marRight w:val="0"/>
          <w:marTop w:val="0"/>
          <w:marBottom w:val="0"/>
          <w:divBdr>
            <w:top w:val="single" w:sz="2" w:space="0" w:color="E5E7EB"/>
            <w:left w:val="single" w:sz="2" w:space="0" w:color="E5E7EB"/>
            <w:bottom w:val="single" w:sz="2" w:space="0" w:color="E5E7EB"/>
            <w:right w:val="single" w:sz="2" w:space="0" w:color="E5E7EB"/>
          </w:divBdr>
        </w:div>
        <w:div w:id="242569313">
          <w:marLeft w:val="0"/>
          <w:marRight w:val="0"/>
          <w:marTop w:val="0"/>
          <w:marBottom w:val="0"/>
          <w:divBdr>
            <w:top w:val="single" w:sz="2" w:space="0" w:color="E5E7EB"/>
            <w:left w:val="single" w:sz="2" w:space="0" w:color="E5E7EB"/>
            <w:bottom w:val="single" w:sz="2" w:space="0" w:color="E5E7EB"/>
            <w:right w:val="single" w:sz="2" w:space="0" w:color="E5E7EB"/>
          </w:divBdr>
        </w:div>
        <w:div w:id="11276240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7730356">
      <w:bodyDiv w:val="1"/>
      <w:marLeft w:val="0"/>
      <w:marRight w:val="0"/>
      <w:marTop w:val="0"/>
      <w:marBottom w:val="0"/>
      <w:divBdr>
        <w:top w:val="none" w:sz="0" w:space="0" w:color="auto"/>
        <w:left w:val="none" w:sz="0" w:space="0" w:color="auto"/>
        <w:bottom w:val="none" w:sz="0" w:space="0" w:color="auto"/>
        <w:right w:val="none" w:sz="0" w:space="0" w:color="auto"/>
      </w:divBdr>
      <w:divsChild>
        <w:div w:id="973557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6627281">
      <w:bodyDiv w:val="1"/>
      <w:marLeft w:val="0"/>
      <w:marRight w:val="0"/>
      <w:marTop w:val="0"/>
      <w:marBottom w:val="0"/>
      <w:divBdr>
        <w:top w:val="none" w:sz="0" w:space="0" w:color="auto"/>
        <w:left w:val="none" w:sz="0" w:space="0" w:color="auto"/>
        <w:bottom w:val="none" w:sz="0" w:space="0" w:color="auto"/>
        <w:right w:val="none" w:sz="0" w:space="0" w:color="auto"/>
      </w:divBdr>
      <w:divsChild>
        <w:div w:id="2121952681">
          <w:marLeft w:val="0"/>
          <w:marRight w:val="0"/>
          <w:marTop w:val="0"/>
          <w:marBottom w:val="0"/>
          <w:divBdr>
            <w:top w:val="single" w:sz="2" w:space="0" w:color="E5E7EB"/>
            <w:left w:val="single" w:sz="2" w:space="0" w:color="E5E7EB"/>
            <w:bottom w:val="single" w:sz="2" w:space="0" w:color="E5E7EB"/>
            <w:right w:val="single" w:sz="2" w:space="0" w:color="E5E7EB"/>
          </w:divBdr>
        </w:div>
        <w:div w:id="1148591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1888219">
      <w:bodyDiv w:val="1"/>
      <w:marLeft w:val="0"/>
      <w:marRight w:val="0"/>
      <w:marTop w:val="0"/>
      <w:marBottom w:val="0"/>
      <w:divBdr>
        <w:top w:val="none" w:sz="0" w:space="0" w:color="auto"/>
        <w:left w:val="none" w:sz="0" w:space="0" w:color="auto"/>
        <w:bottom w:val="none" w:sz="0" w:space="0" w:color="auto"/>
        <w:right w:val="none" w:sz="0" w:space="0" w:color="auto"/>
      </w:divBdr>
      <w:divsChild>
        <w:div w:id="2033526901">
          <w:marLeft w:val="0"/>
          <w:marRight w:val="0"/>
          <w:marTop w:val="0"/>
          <w:marBottom w:val="0"/>
          <w:divBdr>
            <w:top w:val="single" w:sz="2" w:space="0" w:color="E5E7EB"/>
            <w:left w:val="single" w:sz="2" w:space="0" w:color="E5E7EB"/>
            <w:bottom w:val="single" w:sz="2" w:space="0" w:color="E5E7EB"/>
            <w:right w:val="single" w:sz="2" w:space="0" w:color="E5E7EB"/>
          </w:divBdr>
        </w:div>
        <w:div w:id="381295389">
          <w:marLeft w:val="0"/>
          <w:marRight w:val="0"/>
          <w:marTop w:val="0"/>
          <w:marBottom w:val="0"/>
          <w:divBdr>
            <w:top w:val="single" w:sz="2" w:space="0" w:color="E5E7EB"/>
            <w:left w:val="single" w:sz="2" w:space="0" w:color="E5E7EB"/>
            <w:bottom w:val="single" w:sz="2" w:space="0" w:color="E5E7EB"/>
            <w:right w:val="single" w:sz="2" w:space="0" w:color="E5E7EB"/>
          </w:divBdr>
        </w:div>
        <w:div w:id="839123646">
          <w:marLeft w:val="0"/>
          <w:marRight w:val="0"/>
          <w:marTop w:val="0"/>
          <w:marBottom w:val="0"/>
          <w:divBdr>
            <w:top w:val="single" w:sz="2" w:space="0" w:color="E5E7EB"/>
            <w:left w:val="single" w:sz="2" w:space="0" w:color="E5E7EB"/>
            <w:bottom w:val="single" w:sz="2" w:space="0" w:color="E5E7EB"/>
            <w:right w:val="single" w:sz="2" w:space="0" w:color="E5E7EB"/>
          </w:divBdr>
        </w:div>
        <w:div w:id="1248491095">
          <w:marLeft w:val="0"/>
          <w:marRight w:val="0"/>
          <w:marTop w:val="0"/>
          <w:marBottom w:val="0"/>
          <w:divBdr>
            <w:top w:val="single" w:sz="2" w:space="0" w:color="E5E7EB"/>
            <w:left w:val="single" w:sz="2" w:space="0" w:color="E5E7EB"/>
            <w:bottom w:val="single" w:sz="2" w:space="0" w:color="E5E7EB"/>
            <w:right w:val="single" w:sz="2" w:space="0" w:color="E5E7EB"/>
          </w:divBdr>
        </w:div>
        <w:div w:id="588660527">
          <w:marLeft w:val="0"/>
          <w:marRight w:val="0"/>
          <w:marTop w:val="0"/>
          <w:marBottom w:val="0"/>
          <w:divBdr>
            <w:top w:val="single" w:sz="2" w:space="0" w:color="E5E7EB"/>
            <w:left w:val="single" w:sz="2" w:space="0" w:color="E5E7EB"/>
            <w:bottom w:val="single" w:sz="2" w:space="0" w:color="E5E7EB"/>
            <w:right w:val="single" w:sz="2" w:space="0" w:color="E5E7EB"/>
          </w:divBdr>
        </w:div>
        <w:div w:id="514812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8045455">
      <w:bodyDiv w:val="1"/>
      <w:marLeft w:val="0"/>
      <w:marRight w:val="0"/>
      <w:marTop w:val="0"/>
      <w:marBottom w:val="0"/>
      <w:divBdr>
        <w:top w:val="none" w:sz="0" w:space="0" w:color="auto"/>
        <w:left w:val="none" w:sz="0" w:space="0" w:color="auto"/>
        <w:bottom w:val="none" w:sz="0" w:space="0" w:color="auto"/>
        <w:right w:val="none" w:sz="0" w:space="0" w:color="auto"/>
      </w:divBdr>
    </w:div>
    <w:div w:id="1351297143">
      <w:bodyDiv w:val="1"/>
      <w:marLeft w:val="0"/>
      <w:marRight w:val="0"/>
      <w:marTop w:val="0"/>
      <w:marBottom w:val="0"/>
      <w:divBdr>
        <w:top w:val="none" w:sz="0" w:space="0" w:color="auto"/>
        <w:left w:val="none" w:sz="0" w:space="0" w:color="auto"/>
        <w:bottom w:val="none" w:sz="0" w:space="0" w:color="auto"/>
        <w:right w:val="none" w:sz="0" w:space="0" w:color="auto"/>
      </w:divBdr>
    </w:div>
    <w:div w:id="1434398492">
      <w:bodyDiv w:val="1"/>
      <w:marLeft w:val="0"/>
      <w:marRight w:val="0"/>
      <w:marTop w:val="0"/>
      <w:marBottom w:val="0"/>
      <w:divBdr>
        <w:top w:val="none" w:sz="0" w:space="0" w:color="auto"/>
        <w:left w:val="none" w:sz="0" w:space="0" w:color="auto"/>
        <w:bottom w:val="none" w:sz="0" w:space="0" w:color="auto"/>
        <w:right w:val="none" w:sz="0" w:space="0" w:color="auto"/>
      </w:divBdr>
    </w:div>
    <w:div w:id="1439254168">
      <w:bodyDiv w:val="1"/>
      <w:marLeft w:val="0"/>
      <w:marRight w:val="0"/>
      <w:marTop w:val="0"/>
      <w:marBottom w:val="0"/>
      <w:divBdr>
        <w:top w:val="none" w:sz="0" w:space="0" w:color="auto"/>
        <w:left w:val="none" w:sz="0" w:space="0" w:color="auto"/>
        <w:bottom w:val="none" w:sz="0" w:space="0" w:color="auto"/>
        <w:right w:val="none" w:sz="0" w:space="0" w:color="auto"/>
      </w:divBdr>
      <w:divsChild>
        <w:div w:id="1445736522">
          <w:marLeft w:val="0"/>
          <w:marRight w:val="0"/>
          <w:marTop w:val="0"/>
          <w:marBottom w:val="0"/>
          <w:divBdr>
            <w:top w:val="single" w:sz="2" w:space="0" w:color="E5E7EB"/>
            <w:left w:val="single" w:sz="2" w:space="0" w:color="E5E7EB"/>
            <w:bottom w:val="single" w:sz="2" w:space="0" w:color="E5E7EB"/>
            <w:right w:val="single" w:sz="2" w:space="0" w:color="E5E7EB"/>
          </w:divBdr>
        </w:div>
        <w:div w:id="802507796">
          <w:marLeft w:val="0"/>
          <w:marRight w:val="0"/>
          <w:marTop w:val="0"/>
          <w:marBottom w:val="0"/>
          <w:divBdr>
            <w:top w:val="single" w:sz="2" w:space="0" w:color="E5E7EB"/>
            <w:left w:val="single" w:sz="2" w:space="0" w:color="E5E7EB"/>
            <w:bottom w:val="single" w:sz="2" w:space="0" w:color="E5E7EB"/>
            <w:right w:val="single" w:sz="2" w:space="0" w:color="E5E7EB"/>
          </w:divBdr>
        </w:div>
        <w:div w:id="625935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9052649">
      <w:bodyDiv w:val="1"/>
      <w:marLeft w:val="0"/>
      <w:marRight w:val="0"/>
      <w:marTop w:val="0"/>
      <w:marBottom w:val="0"/>
      <w:divBdr>
        <w:top w:val="none" w:sz="0" w:space="0" w:color="auto"/>
        <w:left w:val="none" w:sz="0" w:space="0" w:color="auto"/>
        <w:bottom w:val="none" w:sz="0" w:space="0" w:color="auto"/>
        <w:right w:val="none" w:sz="0" w:space="0" w:color="auto"/>
      </w:divBdr>
    </w:div>
    <w:div w:id="1610773740">
      <w:bodyDiv w:val="1"/>
      <w:marLeft w:val="0"/>
      <w:marRight w:val="0"/>
      <w:marTop w:val="0"/>
      <w:marBottom w:val="0"/>
      <w:divBdr>
        <w:top w:val="none" w:sz="0" w:space="0" w:color="auto"/>
        <w:left w:val="none" w:sz="0" w:space="0" w:color="auto"/>
        <w:bottom w:val="none" w:sz="0" w:space="0" w:color="auto"/>
        <w:right w:val="none" w:sz="0" w:space="0" w:color="auto"/>
      </w:divBdr>
    </w:div>
    <w:div w:id="1907182377">
      <w:bodyDiv w:val="1"/>
      <w:marLeft w:val="0"/>
      <w:marRight w:val="0"/>
      <w:marTop w:val="0"/>
      <w:marBottom w:val="0"/>
      <w:divBdr>
        <w:top w:val="none" w:sz="0" w:space="0" w:color="auto"/>
        <w:left w:val="none" w:sz="0" w:space="0" w:color="auto"/>
        <w:bottom w:val="none" w:sz="0" w:space="0" w:color="auto"/>
        <w:right w:val="none" w:sz="0" w:space="0" w:color="auto"/>
      </w:divBdr>
      <w:divsChild>
        <w:div w:id="1462109101">
          <w:marLeft w:val="0"/>
          <w:marRight w:val="0"/>
          <w:marTop w:val="0"/>
          <w:marBottom w:val="0"/>
          <w:divBdr>
            <w:top w:val="single" w:sz="2" w:space="0" w:color="E5E7EB"/>
            <w:left w:val="single" w:sz="2" w:space="0" w:color="E5E7EB"/>
            <w:bottom w:val="single" w:sz="2" w:space="0" w:color="E5E7EB"/>
            <w:right w:val="single" w:sz="2" w:space="0" w:color="E5E7EB"/>
          </w:divBdr>
        </w:div>
        <w:div w:id="82999554">
          <w:marLeft w:val="0"/>
          <w:marRight w:val="0"/>
          <w:marTop w:val="0"/>
          <w:marBottom w:val="0"/>
          <w:divBdr>
            <w:top w:val="single" w:sz="2" w:space="0" w:color="E5E7EB"/>
            <w:left w:val="single" w:sz="2" w:space="0" w:color="E5E7EB"/>
            <w:bottom w:val="single" w:sz="2" w:space="0" w:color="E5E7EB"/>
            <w:right w:val="single" w:sz="2" w:space="0" w:color="E5E7EB"/>
          </w:divBdr>
        </w:div>
        <w:div w:id="2064326977">
          <w:marLeft w:val="0"/>
          <w:marRight w:val="0"/>
          <w:marTop w:val="0"/>
          <w:marBottom w:val="0"/>
          <w:divBdr>
            <w:top w:val="single" w:sz="2" w:space="0" w:color="E5E7EB"/>
            <w:left w:val="single" w:sz="2" w:space="0" w:color="E5E7EB"/>
            <w:bottom w:val="single" w:sz="2" w:space="0" w:color="E5E7EB"/>
            <w:right w:val="single" w:sz="2" w:space="0" w:color="E5E7EB"/>
          </w:divBdr>
        </w:div>
        <w:div w:id="1123694007">
          <w:marLeft w:val="0"/>
          <w:marRight w:val="0"/>
          <w:marTop w:val="0"/>
          <w:marBottom w:val="0"/>
          <w:divBdr>
            <w:top w:val="single" w:sz="2" w:space="0" w:color="E5E7EB"/>
            <w:left w:val="single" w:sz="2" w:space="0" w:color="E5E7EB"/>
            <w:bottom w:val="single" w:sz="2" w:space="0" w:color="E5E7EB"/>
            <w:right w:val="single" w:sz="2" w:space="0" w:color="E5E7EB"/>
          </w:divBdr>
        </w:div>
        <w:div w:id="1469010439">
          <w:marLeft w:val="0"/>
          <w:marRight w:val="0"/>
          <w:marTop w:val="0"/>
          <w:marBottom w:val="0"/>
          <w:divBdr>
            <w:top w:val="single" w:sz="2" w:space="0" w:color="E5E7EB"/>
            <w:left w:val="single" w:sz="2" w:space="0" w:color="E5E7EB"/>
            <w:bottom w:val="single" w:sz="2" w:space="0" w:color="E5E7EB"/>
            <w:right w:val="single" w:sz="2" w:space="0" w:color="E5E7EB"/>
          </w:divBdr>
        </w:div>
        <w:div w:id="1760591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ourworldindata.org/grapher/electric-car-sales?v=1&amp;csvType=full&amp;useColumnShortNames=fals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anl.gov/esia/light-duty-electric-drive-vehicles-monthly-sales-updat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ata.worldbank.org/indicator/FP.CPI.TOTL.ZG?locations=US"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macrotrends.net/global-metrics/countries/usa/united-states/gdp-gross-domestic-product" TargetMode="External"/><Relationship Id="rId20" Type="http://schemas.openxmlformats.org/officeDocument/2006/relationships/hyperlink" Target="https://www.pewresearch.org/short-reads/2023/07/13/how-americans-view-electric-vehic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bout.bnef.com/electric-vehicle-outlook/"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2.deloitte.com/us/en/pages/consumer-business/articles/electric-vehicle-industry-trends.html" TargetMode="External"/><Relationship Id="rId10" Type="http://schemas.openxmlformats.org/officeDocument/2006/relationships/image" Target="media/image3.png"/><Relationship Id="rId19" Type="http://schemas.openxmlformats.org/officeDocument/2006/relationships/hyperlink" Target="https://about.bnef.com/blog/lithium-ion-battery-pack-prices-see-largest-drop-since-2017-falling-to-115-per-kilowatt-hour-bloombergne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iea.org/reports/global-ev-outlook-2024"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4EEAF-9B2C-4038-9B09-4F4A8A16B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2007</TotalTime>
  <Pages>9</Pages>
  <Words>2043</Words>
  <Characters>11856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 BONCIU (116824)</dc:creator>
  <cp:keywords/>
  <dc:description/>
  <cp:lastModifiedBy>Alin BONCIU (116824)</cp:lastModifiedBy>
  <cp:revision>33</cp:revision>
  <cp:lastPrinted>2025-05-27T14:19:00Z</cp:lastPrinted>
  <dcterms:created xsi:type="dcterms:W3CDTF">2025-05-04T09:24:00Z</dcterms:created>
  <dcterms:modified xsi:type="dcterms:W3CDTF">2025-05-27T17:24:00Z</dcterms:modified>
</cp:coreProperties>
</file>