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27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Ollama 4B còn từng đọc 295.199 VND thành 295.199 theo số thập phân và nhầm đơn giao hàng thành ride-hailing. Các lỗi này dẫn tới cấu hình provider rõ ràng, parser giới hạn, kiểm tra ngữ nghĩa và đúng một lượt đọc lại có mục tiêu; kết quả vẫn mâu thuẫn được chuyển cho người thay vì suy đoán.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70 trên 70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25 trên 25 fixture</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OpenRouter đạt 15 trên 15 quyết định qua ba batch cùng build, upload HoaDon1 đạt AUTO_APPROVE 3 trên 3 và adjusted P95 là 11,317 giây. Ollama đạt 25 trên 25 nhưng ba batch đo mất khoảng 303–304 giây mỗi batch. Đây là fixture tổng hợp lặp lại, không phải độ chính xác trên hóa đơn thực tế độc lập.</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và semantic validation khỏi PolicyDecisionEngine để đổi model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Chặn thao tác workflow chồng trong một instance, dùng RowVersion chống ghi đè đồng thời và reload sau mutation để đọc lại trạng thái đã commit.</w:t>
      </w:r>
    </w:p>
    <w:p>
      <w:pPr>
        <w:pStyle w:val="ListBullet"/>
        <w:spacing w:after="30" w:line="240" w:lineRule="auto"/>
      </w:pPr>
      <w:r>
        <w:rPr>
          <w:rFonts w:ascii="Arial" w:hAnsi="Arial" w:eastAsia="Arial"/>
          <w:sz w:val="20"/>
        </w:rPr>
        <w:t>Giữ hosted Qwen 8B làm baseline nhờ benchmark cùng build đáp ứng demo; Ollama/Qwen 4B giữ tùy chọn local vì chậm trên RTX 3050 4 GB.</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bản SmarterASP.NET đã smoke thành công luồng upload, AI extraction và audit sau khi cập nhật API key trong Pool Manager.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