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w:t>
      </w:r>
    </w:p>
    <w:p>
      <w:pPr>
        <w:spacing w:after="100"/>
        <w:jc w:val="center"/>
      </w:pPr>
      <w:r>
        <w:rPr>
          <w:rFonts w:ascii="Arial" w:hAnsi="Arial" w:eastAsia="Arial"/>
          <w:i/>
          <w:color w:val="555555"/>
          <w:sz w:val="18"/>
        </w:rPr>
        <w:t>Track A The Escalation Referee | 27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Ollama 4B còn từng đọc 295.199 VND thành 295.199 theo số thập phân và nhầm đơn giao hàng thành ride-hailing. Các lỗi này dẫn tới cấu hình provider rõ ràng, parser giới hạn, kiểm tra ngữ nghĩa và đúng một lượt đọc lại có mục tiêu; kết quả vẫn mâu thuẫn được chuyển cho người thay vì suy đoán.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v2 local</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Gói BGK</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70 trên 70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25 trên 25 fixture</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khóa</w:t>
            </w:r>
          </w:p>
        </w:tc>
      </w:tr>
    </w:tbl>
    <w:p>
      <w:pPr>
        <w:spacing w:after="50" w:line="247" w:lineRule="auto"/>
      </w:pPr>
      <w:r>
        <w:rPr>
          <w:rFonts w:ascii="Arial" w:hAnsi="Arial" w:eastAsia="Arial"/>
          <w:sz w:val="20"/>
        </w:rPr>
        <w:t>Kết quả Ollama 25 trên 25 là năm batch liên tiếp của cùng 5 fixture tổng hợp đã biết trước; upload thủ công HoaDon1 đạt AUTO_APPROVE 3 trên 3. Các số liệu chứng minh pipeline, semantic repair và policy hoạt động nhất quán trên bộ kiểm soát, không phải độ chính xác trên hóa đơn thực tế độc lập.</w:t>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AURA không retry HTTP 429 để tránh đốt thêm quota, chỉ retry tối đa một lần với lỗi 5xx và dừng các ca Verify còn lại khi provider gặp lỗi mang tính hệ thống. Đây chưa phải circuit breaker hoặc exponential backoff nhiều lần; mọi lỗi extraction đều chuyển kiểm tra thủ công và không tạo kết quả PASS giả.</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và semantic validation khỏi PolicyDecisionEngine để đổi model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Chặn thao tác workflow chồng trong một instance, dùng RowVersion chống ghi đè đồng thời và reload sau mutation để đọc lại trạng thái đã commit.</w:t>
      </w:r>
    </w:p>
    <w:p>
      <w:pPr>
        <w:pStyle w:val="ListBullet"/>
        <w:spacing w:after="30" w:line="240" w:lineRule="auto"/>
      </w:pPr>
      <w:r>
        <w:rPr>
          <w:rFonts w:ascii="Arial" w:hAnsi="Arial" w:eastAsia="Arial"/>
          <w:sz w:val="20"/>
        </w:rPr>
        <w:t>Giữ hosted Qwen 8B làm baseline; Ollama/Qwen 4B đã đạt 25/25 fixture nhưng vẫn tắt mặc định tới khi có benchmark OpenRouter cùng build và tập độc lập.</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AURA có đường chạy localhost tái lập trong README; bản SmarterASP.NET đã smoke thành công luồng upload, AI extraction và audit sau khi cập nhật API key trong Pool Manager. Gói Sprint 1 đã có video dưới ba phút, năm slide, Build Log, năm ca Verify và mười lăm ca tham chiếu cho BGK. Bước tiếp theo là pilot trên dữ liệu độc lập, đo field accuracy, over escalation, missed escalation và thời gian xử lý trước khi tuyên bố hiệu quả thực tế.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