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 VÀ HARDENING</w:t>
      </w:r>
    </w:p>
    <w:p>
      <w:pPr>
        <w:spacing w:after="100"/>
        <w:jc w:val="center"/>
      </w:pPr>
      <w:r>
        <w:rPr>
          <w:rFonts w:ascii="Arial" w:hAnsi="Arial" w:eastAsia="Arial"/>
          <w:i/>
          <w:color w:val="555555"/>
          <w:sz w:val="18"/>
        </w:rPr>
        <w:t>Track A The Escalation Referee | 28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Ollama 4B còn từng đọc 295.199 VND thành 295.199 theo số thập phân và nhầm đơn giao hàng thành ride-hailing. Các lỗi này dẫn tới cấu hình provider rõ ràng, parser giới hạn, kiểm tra ngữ nghĩa và đúng một lượt đọc lại có mục tiêu; kết quả vẫn mâu thuẫn được chuyển cho người thay vì suy đoán.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v2 local</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Gói BGK</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80 trên 80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25 trên 25 fixture</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khóa</w:t>
            </w:r>
          </w:p>
        </w:tc>
      </w:tr>
    </w:tbl>
    <w:p>
      <w:pPr>
        <w:spacing w:after="50" w:line="247" w:lineRule="auto"/>
      </w:pPr>
      <w:r>
        <w:rPr>
          <w:rFonts w:ascii="Arial" w:hAnsi="Arial" w:eastAsia="Arial"/>
          <w:sz w:val="20"/>
        </w:rPr>
        <w:t>OpenRouter đạt 15 trên 15 quyết định qua ba batch cùng build, upload HoaDon1 đạt AUTO_APPROVE 3 trên 3 và adjusted P95 là 11,317 giây. Ollama đạt 25 trên 25 nhưng ba batch đo mất khoảng 303–304 giây mỗi batch. Đây là fixture tổng hợp lặp lại, không phải độ chính xác trên hóa đơn thực tế độc lập.</w:t>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Upload lưu hồ sơ PENDING rồi trả HTTP 202; worker claim job bằng lease nên refresh hoặc restart không làm mất hàng đợi. Fallback OpenRouter sang Ollama mặc định tắt. Khi bật, hệ thống chỉ chuyển một lần cho lỗi hạ tầng đủ điều kiện, mở circuit sau ngưỡng lỗi và ghi provider thực sự phục vụ. Lỗi schema hoặc semantic không được che bằng đổi model.</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và semantic validation khỏi PolicyDecisionEngine để đổi model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Dùng DB-backed queue và lease cho upload; giữ gate riêng cho Verify và dùng RowVersion chống ghi đè cùng hồ sơ.</w:t>
      </w:r>
    </w:p>
    <w:p>
      <w:pPr>
        <w:pStyle w:val="ListBullet"/>
        <w:spacing w:after="30" w:line="240" w:lineRule="auto"/>
      </w:pPr>
      <w:r>
        <w:rPr>
          <w:rFonts w:ascii="Arial" w:hAnsi="Arial" w:eastAsia="Arial"/>
          <w:sz w:val="20"/>
        </w:rPr>
        <w:t>Ghi ngữ cảnh người gửi, provider chính, provider phục vụ, fallback flag và mã lỗi trong hồ sơ/audit.</w:t>
      </w:r>
    </w:p>
    <w:p>
      <w:pPr>
        <w:pStyle w:val="ListBullet"/>
        <w:spacing w:after="30" w:line="240" w:lineRule="auto"/>
      </w:pPr>
      <w:r>
        <w:rPr>
          <w:rFonts w:ascii="Arial" w:hAnsi="Arial" w:eastAsia="Arial"/>
          <w:sz w:val="20"/>
        </w:rPr>
        <w:t>Giữ hosted Qwen 8B làm baseline nhờ benchmark cùng build đáp ứng demo; Ollama/Qwen 4B giữ tùy chọn local vì chậm trên RTX 3050 4 GB.</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AURA có đường chạy localhost tái lập trong README. Pipeline mới cần được test lại với OpenRouter, Ollama và năm upload đồng thời trước khi chốt số đo end-to-end. Gói Sprint 1 đã có video dưới ba phút, năm slide, Build Log, năm ca Verify và mười lăm ca tham chiếu cho BGK. Bước tiếp theo là pilot trên dữ liệu độc lập, đo field accuracy, over escalation, missed escalation và thời gian xử lý trước khi tuyên bố hiệu quả thực tế.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