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1 VÀ HARDENING</w:t>
      </w:r>
    </w:p>
    <w:p>
      <w:pPr>
        <w:spacing w:after="100"/>
        <w:jc w:val="center"/>
      </w:pPr>
      <w:r>
        <w:rPr>
          <w:rFonts w:ascii="Arial" w:hAnsi="Arial" w:eastAsia="Arial"/>
          <w:i/>
          <w:color w:val="555555"/>
          <w:sz w:val="18"/>
        </w:rPr>
        <w:t>Track A The Escalation Referee | 02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102 trên 102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Không có advisory</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chạy thật</w:t>
            </w:r>
          </w:p>
        </w:tc>
      </w:tr>
    </w:tbl>
    <w:p>
      <w:pPr>
        <w:spacing w:after="50" w:line="247" w:lineRule="auto"/>
      </w:pPr>
      <w:r>
        <w:rPr>
          <w:rFonts w:ascii="Arial" w:hAnsi="Arial" w:eastAsia="Arial"/>
          <w:b/>
          <w:sz w:val="18"/>
        </w:rPr>
        <w:t>Kết luận đo lường: Judge set tổng hợp giữ OpenRouter ở 15/15 quyết định và Ollama ở 14/15 với missed escalation TK-12. Live gate ngày 02/10 đạt Phê La FACT, Vinamilk AUTO, Verify 5/5, restart pass và concurrent smoke 5/5 với P95 39,380 giây. Đây là regression evidence,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ngày 30/09 tách số hóa đơn, số biên nhận và mã giao dịch. Check/Trace/RRN chỉ được dùng khi là mã riêng của lần mua; ShopID, POS, MID/TID và pager không thay thế định danh. Nếu FACT và POLICY cùng tồn tại, FACT vẫn là trạng thái chính nhưng lý do giữ policy finding thứ cấp để quản lý không bỏ sót.</w:t>
      </w:r>
    </w:p>
    <w:p>
      <w:pPr>
        <w:spacing w:after="50" w:line="247" w:lineRule="auto"/>
      </w:pPr>
      <w:r>
        <w:t>Contract ngày 01-02/10 thêm discountAmount, chuẩn hóa ngày receipt và guard dòng hàng. Backend đối chiếu tổng sau giảm; lineItems=[] trên hóa đơn giấy buộc repair một lần rồi FACT, có missing field/warning và confidence tối đa 0,69. Ca rõ ràng như Vinamilk vẫn AUTO_APPROVE.</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Core workflow đã sẵn sàng để diễn tập. Cổng còn mở là ba dress rehearsal dưới 90 giây, holdout 10-15 hóa đơn đã ẩn danh, phản hồi ba người dùng và smoke Live URL nếu còn sử dụng.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