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AURA Build Log Sprint 2</w:t>
      </w:r>
    </w:p>
    <w:p>
      <w:pPr>
        <w:spacing w:after="60"/>
      </w:pPr>
      <w:r>
        <w:rPr>
          <w:b/>
        </w:rPr>
        <w:t>Track A The Escalation Referee | 13/10/2026 | Pham Gia Phu</w:t>
      </w:r>
    </w:p>
    <w:p>
      <w:pPr>
        <w:sectPr>
          <w:headerReference w:type="default" r:id="rId9"/>
          <w:footerReference w:type="default" r:id="rId10"/>
          <w:pgSz w:w="12240" w:h="15840"/>
          <w:pgMar w:top="634" w:right="691" w:bottom="605" w:left="691" w:header="346" w:footer="360" w:gutter="0"/>
          <w:cols w:space="720"/>
          <w:docGrid w:linePitch="360"/>
        </w:sectPr>
      </w:pPr>
    </w:p>
    <w:p>
      <w:r>
        <w:t>AURA is a supervised reimbursement-review assistant. A vision model extracts structured receipt facts, deterministic C# policy decides the route, and people remain responsible for exceptions. The system covers upload, durable background processing, review, Audit, and Undo.</w:t>
      </w:r>
    </w:p>
    <w:p>
      <w:pPr>
        <w:pStyle w:val="Heading1"/>
      </w:pPr>
      <w:r>
        <w:t>How I used AI</w:t>
      </w:r>
    </w:p>
    <w:p>
      <w:r>
        <w:t>Qwen3.8 Flash through OpenRouter and Alibaba, with reasoning disabled, reads one JPG or PNG and returns a strict JSON contract. Codex helped trace code paths, design tests, review refactors, and synchronize documentation. I accepted changes only after build, tests, and evidence review. The model never receives approval authority.</w:t>
      </w:r>
    </w:p>
    <w:p>
      <w:pPr>
        <w:pStyle w:val="Heading1"/>
      </w:pPr>
      <w:r>
        <w:t>Where AI helped</w:t>
      </w:r>
    </w:p>
    <w:p>
      <w:pPr>
        <w:pStyle w:val="ListBullet"/>
        <w:ind w:left="230" w:hanging="173"/>
      </w:pPr>
      <w:r>
        <w:t>Fast code navigation exposed the difference between an in-memory signal and the durable SQL job queue.</w:t>
      </w:r>
    </w:p>
    <w:p>
      <w:pPr>
        <w:pStyle w:val="ListBullet"/>
        <w:ind w:left="230" w:hanging="173"/>
      </w:pPr>
      <w:r>
        <w:t>Generated test cases expanded coverage for field roles, arithmetic, date evidence, fallback, concurrency, Audit, and UI contracts.</w:t>
      </w:r>
    </w:p>
    <w:p>
      <w:pPr>
        <w:pStyle w:val="ListBullet"/>
        <w:ind w:left="230" w:hanging="173"/>
      </w:pPr>
      <w:r>
        <w:t>Vision extraction handled varied receipt layouts while policy remained replaceable and testable.</w:t>
      </w:r>
    </w:p>
    <w:p>
      <w:pPr>
        <w:pStyle w:val="Heading1"/>
      </w:pPr>
      <w:r>
        <w:t>Where AI cost time or money</w:t>
      </w:r>
    </w:p>
    <w:p>
      <w:r>
        <w:t>Provider names and model slugs changed, and earlier routes produced 404 or intermittent 429 errors. Schema-valid outputs also contained semantic errors such as the wrong money unit or identifier role. A reasoning-enabled request used its completion budget without returning usable JSON. These failures required provider diagnostics, a strict schema, semantic validation, a single repair attempt, cooldown, and explicit claim boundaries. Paid API reruns were avoided once data became known.</w:t>
      </w:r>
    </w:p>
    <w:p>
      <w:pPr>
        <w:pStyle w:val="Heading1"/>
      </w:pPr>
      <w:r>
        <w:t>What changed after failure</w:t>
      </w:r>
    </w:p>
    <w:p>
      <w:r>
        <w:t xml:space="preserve">The first real-receipt holdout exposed a missed escalation even though the response parsed. I replaced “valid JSON is enough” with evidence contract v2: identifiers have distinct roles, dates preserve raw evidence, discounts are explicit, and an amount can auto-approve only when a printed final-total line corroborates it. Unresolved uncertainty becomes FACT review. The policy priority remains </w:t>
      </w:r>
      <w:r>
        <w:rPr>
          <w:rFonts w:ascii="Consolas" w:hAnsi="Consolas"/>
          <w:color w:val="2F5597"/>
        </w:rPr>
        <w:t>FACT -&gt; POLICY -&gt; AUTHORITY</w:t>
      </w:r>
      <w:r>
        <w:t>.</w:t>
      </w:r>
    </w:p>
    <w:p>
      <w:pPr>
        <w:pStyle w:val="Heading1"/>
      </w:pPr>
      <w:r>
        <w:t>Verified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FD8E3"/>
          <w:left w:val="single" w:sz="6" w:space="0" w:color="CFD8E3"/>
          <w:bottom w:val="single" w:sz="6" w:space="0" w:color="CFD8E3"/>
          <w:right w:val="single" w:sz="6" w:space="0" w:color="CFD8E3"/>
          <w:insideH w:val="single" w:sz="6" w:space="0" w:color="CFD8E3"/>
          <w:insideV w:val="single" w:sz="6" w:space="0" w:color="CFD8E3"/>
        </w:tblBorders>
      </w:tblPr>
      <w:tblGrid>
        <w:gridCol w:w="5429"/>
        <w:gridCol w:w="5429"/>
      </w:tblGrid>
      <w:tr>
        <w:trPr>
          <w:tblHeader w:val="true"/>
        </w:trPr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17365D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Current result</w:t>
            </w:r>
          </w:p>
        </w:tc>
      </w:tr>
      <w:tr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Release build</w:t>
            </w:r>
          </w:p>
        </w:tc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0 warnings, 0 errors</w:t>
            </w:r>
          </w:p>
        </w:tc>
      </w:tr>
      <w:tr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Offline tests</w:t>
            </w:r>
          </w:p>
        </w:tc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163/163 passed</w:t>
            </w:r>
          </w:p>
        </w:tc>
      </w:tr>
      <w:tr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Live Verify</w:t>
            </w:r>
          </w:p>
        </w:tc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5/5 in 65.004 seconds</w:t>
            </w:r>
          </w:p>
        </w:tc>
      </w:tr>
      <w:tr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Prospective mini-holdout</w:t>
            </w:r>
          </w:p>
        </w:tc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  <w:shd w:fill="F3F6F9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8/10, 0 missed, 2 over, 0 system/provider/429 errors</w:t>
            </w:r>
          </w:p>
        </w:tc>
      </w:tr>
      <w:tr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Sequential known-data repeat</w:t>
            </w:r>
          </w:p>
        </w:tc>
        <w:tc>
          <w:tcPr>
            <w:tcW w:type="dxa" w:w="5429"/>
            <w:tcMar>
              <w:top w:w="45" w:type="dxa"/>
              <w:start w:w="60" w:type="dxa"/>
              <w:bottom w:w="45" w:type="dxa"/>
              <w:end w:w="6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11/12, 0 missed, 1 over; stability evidence only</w:t>
            </w:r>
          </w:p>
        </w:tc>
      </w:tr>
    </w:tbl>
    <w:p>
      <w:r>
        <w:t>The prospective sample is small and redacted. It supports a supervised demo, not production accuracy. Three real-user sessions remain incomplete.</w:t>
      </w:r>
    </w:p>
    <w:p>
      <w:pPr>
        <w:pStyle w:val="Heading1"/>
      </w:pPr>
      <w:r>
        <w:t>Largest feature cut</w:t>
      </w:r>
    </w:p>
    <w:p>
      <w:r>
        <w:t>I cut production evidence localization from the final baseline. Highlighting where a fact appears could improve reviewer confidence, but without word-level OCR, independent annotations, and a false-highlight benchmark it could point to the wrong amount and create false confidence. A synthetic hash-bound SVG prototype remains isolated from extraction and policy. PDF, production RBAC, malware scanning, object storage, and distributed rate limiting also remain roadmap items.</w:t>
      </w:r>
    </w:p>
    <w:p>
      <w:pPr>
        <w:pStyle w:val="Heading1"/>
      </w:pPr>
      <w:r>
        <w:t>Next gate</w:t>
      </w:r>
    </w:p>
    <w:p>
      <w:r>
        <w:t>Complete three consented user sessions, preserve verbatim feedback, trace one change to a commit, and report one negative operational impact. Then reduce over-escalation with independent positive and negative fixtures without weakening the missed-escalation guard.</w:t>
      </w:r>
    </w:p>
    <w:sectPr>
      <w:type w:val="continuous"/>
      <w:pgSz w:w="12240" w:h="15840"/>
      <w:pgMar w:top="634" w:right="691" w:bottom="605" w:left="691" w:header="346" w:footer="360" w:gutter="0"/>
      <w:cols w:space="30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770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F5597"/>
        <w:sz w:val="15"/>
      </w:rPr>
      <w:t>AURA  |  OrganizationAI  |  The Deciders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40" w:lineRule="auto"/>
    </w:pPr>
    <w:rPr>
      <w:rFonts w:ascii="Arial" w:hAnsi="Arial"/>
      <w:color w:val="17212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60" w:after="3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3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30"/>
      <w:outlineLvl w:val="2"/>
    </w:pPr>
    <w:rPr>
      <w:rFonts w:asciiTheme="majorHAnsi" w:eastAsiaTheme="majorEastAsia" w:hAnsiTheme="majorHAnsi" w:cstheme="majorBidi" w:ascii="Arial" w:hAnsi="Arial"/>
      <w:b/>
      <w:bCs/>
      <w:color w:val="17212B"/>
      <w:sz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