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15C56" w14:textId="77777777" w:rsidR="00A21E57" w:rsidRDefault="00880054" w:rsidP="00880054">
      <w:pPr>
        <w:pStyle w:val="Overskrift1"/>
        <w:jc w:val="center"/>
        <w:rPr>
          <w:rFonts w:asciiTheme="minorHAnsi" w:hAnsiTheme="minorHAnsi" w:cstheme="minorHAnsi"/>
          <w:b/>
          <w:bCs/>
          <w:sz w:val="56"/>
          <w:szCs w:val="56"/>
        </w:rPr>
      </w:pPr>
      <w:r>
        <w:rPr>
          <w:rFonts w:asciiTheme="minorHAnsi" w:hAnsiTheme="minorHAnsi" w:cstheme="minorHAnsi"/>
          <w:b/>
          <w:bCs/>
          <w:sz w:val="56"/>
          <w:szCs w:val="56"/>
        </w:rPr>
        <w:t>Grundlæggende k</w:t>
      </w:r>
      <w:r w:rsidR="00906154" w:rsidRPr="00880054">
        <w:rPr>
          <w:rFonts w:asciiTheme="minorHAnsi" w:hAnsiTheme="minorHAnsi" w:cstheme="minorHAnsi"/>
          <w:b/>
          <w:bCs/>
          <w:sz w:val="56"/>
          <w:szCs w:val="56"/>
        </w:rPr>
        <w:t>ommunikation</w:t>
      </w:r>
    </w:p>
    <w:p w14:paraId="02E00053" w14:textId="77777777" w:rsidR="00880054" w:rsidRPr="00880054" w:rsidRDefault="00880054" w:rsidP="00880054"/>
    <w:p w14:paraId="667922A7" w14:textId="77777777" w:rsidR="00906154" w:rsidRDefault="00880054" w:rsidP="00880054">
      <w:r w:rsidRPr="00880054">
        <w:t>Kommunikation</w:t>
      </w:r>
      <w:r>
        <w:t xml:space="preserve"> er mere end dialog. Der findes tre former for kommunikation:</w:t>
      </w:r>
    </w:p>
    <w:p w14:paraId="50334AD8" w14:textId="77777777" w:rsidR="00880054" w:rsidRDefault="00880054" w:rsidP="00880054">
      <w:pPr>
        <w:pStyle w:val="Listeafsnit"/>
        <w:numPr>
          <w:ilvl w:val="0"/>
          <w:numId w:val="1"/>
        </w:numPr>
      </w:pPr>
      <w:r>
        <w:t>Verbal</w:t>
      </w:r>
    </w:p>
    <w:p w14:paraId="5ACB19B5" w14:textId="77777777" w:rsidR="00880054" w:rsidRDefault="00880054" w:rsidP="00880054">
      <w:pPr>
        <w:pStyle w:val="Listeafsnit"/>
        <w:numPr>
          <w:ilvl w:val="0"/>
          <w:numId w:val="1"/>
        </w:numPr>
      </w:pPr>
      <w:r>
        <w:t>Nonverbale kommunikation</w:t>
      </w:r>
    </w:p>
    <w:p w14:paraId="3CA61B68" w14:textId="77777777" w:rsidR="00880054" w:rsidRDefault="00880054" w:rsidP="00880054">
      <w:pPr>
        <w:pStyle w:val="Listeafsnit"/>
        <w:numPr>
          <w:ilvl w:val="1"/>
          <w:numId w:val="1"/>
        </w:numPr>
      </w:pPr>
      <w:r>
        <w:t>Kroppen (gestik)</w:t>
      </w:r>
    </w:p>
    <w:p w14:paraId="4B7638C7" w14:textId="77777777" w:rsidR="00880054" w:rsidRDefault="00880054" w:rsidP="00880054">
      <w:pPr>
        <w:pStyle w:val="Listeafsnit"/>
        <w:numPr>
          <w:ilvl w:val="1"/>
          <w:numId w:val="1"/>
        </w:numPr>
      </w:pPr>
      <w:r>
        <w:t>Ansigtet (mimik)</w:t>
      </w:r>
    </w:p>
    <w:p w14:paraId="116CF586" w14:textId="77777777" w:rsidR="00880054" w:rsidRDefault="00880054" w:rsidP="00880054">
      <w:pPr>
        <w:pStyle w:val="Listeafsnit"/>
        <w:numPr>
          <w:ilvl w:val="0"/>
          <w:numId w:val="1"/>
        </w:numPr>
      </w:pPr>
      <w:r>
        <w:t>Skriftlig kommunikation</w:t>
      </w:r>
    </w:p>
    <w:p w14:paraId="1C13D73F" w14:textId="2BF46835" w:rsidR="00880054" w:rsidRDefault="00880054" w:rsidP="00880054">
      <w:r>
        <w:t xml:space="preserve">Altså er der den verbale kommunikation som de fleste kender i sin hverdag f.eks. i form af en dialog mellem to mennesker. Derudover er der også det nonverbale kommunikationen som er alle de signaler mennesker sender med kroppen og ansigtet. Den nonverbale kommunikation bruges ofte til at hjælpe modtageren af kommunikationen med at tolke det verbale der kommunikeres. Derudover er der skriftlig kommunikation som der ofte er i bl.a. bøger, på hjemmesider og på sociale medier. (Morten </w:t>
      </w:r>
      <w:proofErr w:type="spellStart"/>
      <w:r>
        <w:t>Kluw</w:t>
      </w:r>
      <w:proofErr w:type="spellEnd"/>
      <w:r>
        <w:t xml:space="preserve"> Wøldike Schmith, grundlæggende kommunikation)</w:t>
      </w:r>
    </w:p>
    <w:p w14:paraId="5A4E93D7" w14:textId="04880156" w:rsidR="000C069F" w:rsidRDefault="006E2F4C" w:rsidP="00880054">
      <w:r>
        <w:rPr>
          <w:noProof/>
        </w:rPr>
        <w:drawing>
          <wp:inline distT="0" distB="0" distL="0" distR="0" wp14:anchorId="07D6D0B4" wp14:editId="46BD61F4">
            <wp:extent cx="5943600" cy="41910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70A7F61D" w14:textId="328D8E6E" w:rsidR="00024F56" w:rsidRPr="00024F56" w:rsidRDefault="00024F56" w:rsidP="00880054">
      <w:pPr>
        <w:rPr>
          <w:sz w:val="16"/>
        </w:rPr>
      </w:pPr>
      <w:proofErr w:type="spellStart"/>
      <w:r>
        <w:rPr>
          <w:sz w:val="16"/>
        </w:rPr>
        <w:lastRenderedPageBreak/>
        <w:t>Colourbox</w:t>
      </w:r>
      <w:proofErr w:type="spellEnd"/>
    </w:p>
    <w:p w14:paraId="1D24E26C" w14:textId="19C83CAC" w:rsidR="006E2F4C" w:rsidRPr="006E2F4C" w:rsidRDefault="006E2F4C" w:rsidP="006E2F4C">
      <w:pPr>
        <w:pStyle w:val="Overskrift2"/>
        <w:rPr>
          <w:b/>
        </w:rPr>
      </w:pPr>
      <w:r>
        <w:rPr>
          <w:b/>
        </w:rPr>
        <w:t>Grundantagelser</w:t>
      </w:r>
    </w:p>
    <w:p w14:paraId="40353CE4" w14:textId="0CA12569" w:rsidR="00880054" w:rsidRDefault="00880054" w:rsidP="00880054">
      <w:r>
        <w:t>Der er fem grundantagelser om kommunikation:</w:t>
      </w:r>
    </w:p>
    <w:p w14:paraId="556DC8B9" w14:textId="77777777" w:rsidR="00880054" w:rsidRPr="00880054" w:rsidRDefault="00880054" w:rsidP="00880054">
      <w:pPr>
        <w:pStyle w:val="Listeafsnit"/>
        <w:numPr>
          <w:ilvl w:val="0"/>
          <w:numId w:val="2"/>
        </w:numPr>
        <w:rPr>
          <w:i/>
          <w:iCs/>
        </w:rPr>
      </w:pPr>
      <w:r w:rsidRPr="00880054">
        <w:rPr>
          <w:i/>
          <w:iCs/>
        </w:rPr>
        <w:t>Man kan ikke ikke-kommunikere</w:t>
      </w:r>
    </w:p>
    <w:p w14:paraId="6FBA4F80" w14:textId="77777777" w:rsidR="00880054" w:rsidRPr="00880054" w:rsidRDefault="00880054" w:rsidP="00880054">
      <w:pPr>
        <w:pStyle w:val="Listeafsnit"/>
        <w:numPr>
          <w:ilvl w:val="0"/>
          <w:numId w:val="2"/>
        </w:numPr>
        <w:rPr>
          <w:i/>
          <w:iCs/>
        </w:rPr>
      </w:pPr>
      <w:r w:rsidRPr="00880054">
        <w:rPr>
          <w:i/>
          <w:iCs/>
        </w:rPr>
        <w:t>Enhver kommunikation består af to dele: Selve indholdet om det faktiske emn</w:t>
      </w:r>
      <w:r w:rsidR="009338C3">
        <w:rPr>
          <w:i/>
          <w:iCs/>
        </w:rPr>
        <w:t>e</w:t>
      </w:r>
      <w:r w:rsidRPr="00880054">
        <w:rPr>
          <w:i/>
          <w:iCs/>
        </w:rPr>
        <w:t xml:space="preserve"> på den ene side og på den anden side oplysninger om det indbyrdes forhold, der er mellem dem, der kommunikerer</w:t>
      </w:r>
    </w:p>
    <w:p w14:paraId="5988C9B9" w14:textId="77777777" w:rsidR="00880054" w:rsidRPr="00880054" w:rsidRDefault="00880054" w:rsidP="00880054">
      <w:pPr>
        <w:pStyle w:val="Listeafsnit"/>
        <w:numPr>
          <w:ilvl w:val="0"/>
          <w:numId w:val="2"/>
        </w:numPr>
        <w:rPr>
          <w:i/>
          <w:iCs/>
        </w:rPr>
      </w:pPr>
      <w:r w:rsidRPr="00880054">
        <w:rPr>
          <w:i/>
          <w:iCs/>
        </w:rPr>
        <w:t>Den måde, vi udtrykker os på, og den måde, vi tolker hinandens kommunikation på, afhænger også af det forhold, vi har til hinanden.</w:t>
      </w:r>
    </w:p>
    <w:p w14:paraId="6FAFB185" w14:textId="77777777" w:rsidR="00880054" w:rsidRPr="00880054" w:rsidRDefault="00880054" w:rsidP="00880054">
      <w:pPr>
        <w:pStyle w:val="Listeafsnit"/>
        <w:numPr>
          <w:ilvl w:val="0"/>
          <w:numId w:val="2"/>
        </w:numPr>
        <w:rPr>
          <w:i/>
          <w:iCs/>
        </w:rPr>
      </w:pPr>
      <w:r w:rsidRPr="00880054">
        <w:rPr>
          <w:i/>
          <w:iCs/>
        </w:rPr>
        <w:t>Mennesker kommunikerer både med en digital kode og en analog kode</w:t>
      </w:r>
    </w:p>
    <w:p w14:paraId="423A2A10" w14:textId="77777777" w:rsidR="00880054" w:rsidRPr="00880054" w:rsidRDefault="00880054" w:rsidP="00880054">
      <w:pPr>
        <w:pStyle w:val="Listeafsnit"/>
        <w:numPr>
          <w:ilvl w:val="0"/>
          <w:numId w:val="2"/>
        </w:numPr>
        <w:rPr>
          <w:i/>
          <w:iCs/>
        </w:rPr>
      </w:pPr>
      <w:r w:rsidRPr="00880054">
        <w:rPr>
          <w:i/>
          <w:iCs/>
        </w:rPr>
        <w:t>Kommunikationsudveksling er enten symmetrisk eller asymmetrisk afhængigt af, om den hviler på lighed eller forskel i magt.</w:t>
      </w:r>
    </w:p>
    <w:p w14:paraId="4C6C6D45" w14:textId="1F42C838" w:rsidR="00880054" w:rsidRDefault="009338C3" w:rsidP="00880054">
      <w:pPr>
        <w:pStyle w:val="Listeafsnit"/>
        <w:numPr>
          <w:ilvl w:val="0"/>
          <w:numId w:val="3"/>
        </w:numPr>
      </w:pPr>
      <w:r>
        <w:t>Kommunikation i praksis</w:t>
      </w:r>
      <w:r w:rsidR="00EA0236">
        <w:t>, s. 20-22</w:t>
      </w:r>
    </w:p>
    <w:p w14:paraId="1D1D6CB5" w14:textId="52D8AC94" w:rsidR="009940EB" w:rsidRDefault="009338C3" w:rsidP="009338C3">
      <w:r>
        <w:t>Man kommunikerer hele tiden og hvis man forsøger på ikke at kommunikere, kommunikere man stadig. Derudover består kommunikation af to dele, selve indholdet af kommunikationen og forholdet mellem dem der kommunikerer. Ligeledes udtrykker og tolker man forskelligt afhængigt at forholdet mellem dem der kommunikerer. Der kommunikeres også med to kode</w:t>
      </w:r>
      <w:r w:rsidR="005F5CDF">
        <w:t>r</w:t>
      </w:r>
      <w:r>
        <w:t xml:space="preserve">, den digitale som er de ord der bliver sagt, </w:t>
      </w:r>
      <w:r w:rsidR="005F5CDF">
        <w:t xml:space="preserve">og </w:t>
      </w:r>
      <w:r>
        <w:t>analog kode som er hvordan det siges eks. Kropssprog, tonefald men også skrifttype. Kommunikationen kan også være symmetrisk eller asymmetrisk alt efter om der er lighed eller en forskel i magt, f.eks. Kollegaer eller en medarbejde og arbejdsgiver.</w:t>
      </w:r>
      <w:r w:rsidR="009940EB">
        <w:t xml:space="preserve"> (kommunikation i praksis</w:t>
      </w:r>
      <w:r w:rsidR="00021FCF">
        <w:t>, s. 20-22</w:t>
      </w:r>
      <w:r w:rsidR="009940EB">
        <w:t>)</w:t>
      </w:r>
    </w:p>
    <w:p w14:paraId="5D619B48" w14:textId="0FA91235" w:rsidR="00822A3B" w:rsidRDefault="00DD566A" w:rsidP="009338C3">
      <w:r>
        <w:rPr>
          <w:noProof/>
        </w:rPr>
        <w:drawing>
          <wp:inline distT="0" distB="0" distL="0" distR="0" wp14:anchorId="07F7F906" wp14:editId="5A83DC58">
            <wp:extent cx="3442970" cy="2999740"/>
            <wp:effectExtent l="0" t="0" r="508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2970" cy="2999740"/>
                    </a:xfrm>
                    <a:prstGeom prst="rect">
                      <a:avLst/>
                    </a:prstGeom>
                    <a:noFill/>
                    <a:ln>
                      <a:noFill/>
                    </a:ln>
                  </pic:spPr>
                </pic:pic>
              </a:graphicData>
            </a:graphic>
          </wp:inline>
        </w:drawing>
      </w:r>
    </w:p>
    <w:p w14:paraId="3F176825" w14:textId="40CD7579" w:rsidR="002B07A2" w:rsidRDefault="002B07A2" w:rsidP="009338C3"/>
    <w:p w14:paraId="252077C7" w14:textId="7F573944" w:rsidR="00A36A5D" w:rsidRPr="00666941" w:rsidRDefault="00A36A5D" w:rsidP="00A36A5D">
      <w:pPr>
        <w:pStyle w:val="Overskrift2"/>
        <w:rPr>
          <w:rFonts w:asciiTheme="minorHAnsi" w:hAnsiTheme="minorHAnsi" w:cstheme="minorHAnsi"/>
          <w:b/>
          <w:bCs/>
          <w:sz w:val="44"/>
        </w:rPr>
      </w:pPr>
      <w:r w:rsidRPr="00666941">
        <w:rPr>
          <w:rFonts w:asciiTheme="minorHAnsi" w:hAnsiTheme="minorHAnsi" w:cstheme="minorHAnsi"/>
          <w:b/>
          <w:bCs/>
          <w:sz w:val="44"/>
        </w:rPr>
        <w:lastRenderedPageBreak/>
        <w:t>Paradigmer</w:t>
      </w:r>
    </w:p>
    <w:p w14:paraId="1BDCC8D7" w14:textId="2FEF5009" w:rsidR="009940EB" w:rsidRDefault="006E7CA7" w:rsidP="00A36A5D">
      <w:r>
        <w:t xml:space="preserve">Kommunikationsteorien kan opdeles i to paradigmer, som er to forskellige </w:t>
      </w:r>
      <w:r w:rsidR="00D525D2">
        <w:t>måde at forstå verden på og dermed også kommunikationen. Der er den samfundsvidenskabelige paradigme og de</w:t>
      </w:r>
      <w:r w:rsidR="0071009C">
        <w:t>t</w:t>
      </w:r>
      <w:r w:rsidR="00D525D2">
        <w:t xml:space="preserve"> humanistiske </w:t>
      </w:r>
      <w:r w:rsidR="009F551A">
        <w:t>p</w:t>
      </w:r>
      <w:r w:rsidR="0071009C">
        <w:t xml:space="preserve">aradigme, som man kigger på som multimediedesigner. Der er også et tredje paradigme, </w:t>
      </w:r>
      <w:r w:rsidR="00B514FF">
        <w:t>det videnskabelige paradigme</w:t>
      </w:r>
      <w:r w:rsidR="0071009C">
        <w:t>, men dette har ikke relevans indenfor kommunikationen.</w:t>
      </w:r>
      <w:r w:rsidR="009940EB">
        <w:t xml:space="preserve"> (</w:t>
      </w:r>
      <w:r w:rsidR="009A7361">
        <w:t>kommunikation i multimediedesign, S.67)</w:t>
      </w:r>
    </w:p>
    <w:p w14:paraId="1A7F0EFB" w14:textId="46E2368E" w:rsidR="00B514FF" w:rsidRDefault="00B514FF" w:rsidP="00A36A5D"/>
    <w:p w14:paraId="6F53BB87" w14:textId="55EFC978" w:rsidR="00666941" w:rsidRPr="00666941" w:rsidRDefault="00666941" w:rsidP="00666941">
      <w:pPr>
        <w:pStyle w:val="Overskrift3"/>
      </w:pPr>
      <w:r w:rsidRPr="00666941">
        <w:t>Det humanistiske paradigme</w:t>
      </w:r>
    </w:p>
    <w:p w14:paraId="3D5DC9C9" w14:textId="72A3A0F8" w:rsidR="009A7361" w:rsidRDefault="004E46DC" w:rsidP="00A36A5D">
      <w:r>
        <w:t xml:space="preserve">Hos det humanistiske paradigme er </w:t>
      </w:r>
      <w:r w:rsidR="0066310A">
        <w:t>modtageren i fokus. Her kigges på individet selv</w:t>
      </w:r>
      <w:r w:rsidR="002C461B">
        <w:t>,</w:t>
      </w:r>
      <w:r w:rsidR="0066310A">
        <w:t xml:space="preserve"> som bliver betragtet som aktiv i kommunikationen.</w:t>
      </w:r>
      <w:r w:rsidR="00F60979">
        <w:t xml:space="preserve"> Dvs. at det er en </w:t>
      </w:r>
      <w:r w:rsidR="009D1EA1">
        <w:t>tovejskommunikation</w:t>
      </w:r>
      <w:r w:rsidR="00F60979">
        <w:t xml:space="preserve"> og modtageren er </w:t>
      </w:r>
      <w:r w:rsidR="009D1EA1">
        <w:t>aktiv ved f.eks. brug af en hjemmeside. Der bliver altså ikke kun kommunikeret ud til brugeren.</w:t>
      </w:r>
      <w:r w:rsidR="00C34464">
        <w:t xml:space="preserve"> </w:t>
      </w:r>
      <w:r w:rsidR="009D1EA1">
        <w:t xml:space="preserve">I det humanistiske paradigme </w:t>
      </w:r>
      <w:r w:rsidR="00C34464">
        <w:t>er</w:t>
      </w:r>
      <w:r w:rsidR="009D1EA1">
        <w:t xml:space="preserve"> der</w:t>
      </w:r>
      <w:r w:rsidR="00C34464">
        <w:t xml:space="preserve"> en kvalitativ tilgang til undersøgelser og modtagerens </w:t>
      </w:r>
      <w:r w:rsidR="00930DFC">
        <w:t>subjektive oplevelse bliver undersøgt</w:t>
      </w:r>
      <w:r w:rsidR="002023AC">
        <w:t xml:space="preserve"> og fortolket</w:t>
      </w:r>
      <w:r w:rsidR="00930DFC">
        <w:t>.</w:t>
      </w:r>
      <w:r w:rsidR="009A7361">
        <w:t xml:space="preserve"> (kommunikation i multimediedesign, s. 67</w:t>
      </w:r>
      <w:r w:rsidR="007863A0">
        <w:t>-68)</w:t>
      </w:r>
    </w:p>
    <w:p w14:paraId="1B094CB6" w14:textId="219C95C3" w:rsidR="006F47C3" w:rsidRPr="00A36A5D" w:rsidRDefault="002023AC" w:rsidP="006F47C3">
      <w:r>
        <w:t xml:space="preserve">En model der benyttes i dette </w:t>
      </w:r>
      <w:r w:rsidR="0077232D">
        <w:t>paradigme,</w:t>
      </w:r>
      <w:r>
        <w:t xml:space="preserve"> </w:t>
      </w:r>
      <w:r w:rsidR="0077232D">
        <w:t>er IMK-modellen.</w:t>
      </w:r>
      <w:r w:rsidR="007863A0">
        <w:t xml:space="preserve"> </w:t>
      </w:r>
      <w:r w:rsidR="00657034">
        <w:t xml:space="preserve">Modellen viser kommunikationen mellem afsender og modtager igennem et produkt. </w:t>
      </w:r>
      <w:r w:rsidR="006F47C3">
        <w:t>Her menes det af afsender og modtageren har lige stor indflydelse og begge skal være i spil for at produktet</w:t>
      </w:r>
      <w:r w:rsidR="00AB2E0B">
        <w:t xml:space="preserve"> </w:t>
      </w:r>
      <w:r w:rsidR="006F47C3">
        <w:t>virker som ønsket.</w:t>
      </w:r>
      <w:r w:rsidR="00D63B9A">
        <w:t xml:space="preserve"> Derudover er der andre faktorer </w:t>
      </w:r>
      <w:r w:rsidR="00AB2E0B">
        <w:t>som også påvirker kommunikationen</w:t>
      </w:r>
      <w:r w:rsidR="0015544C">
        <w:t xml:space="preserve">, som </w:t>
      </w:r>
      <w:r w:rsidR="00114AA0">
        <w:t>kultur, medier, genre m.m. (kommunikation i multimediedesign, s. 69)</w:t>
      </w:r>
    </w:p>
    <w:p w14:paraId="3A204352" w14:textId="3E2A924F" w:rsidR="007863A0" w:rsidRDefault="00C75048" w:rsidP="007863A0">
      <w:r>
        <w:rPr>
          <w:noProof/>
        </w:rPr>
        <w:drawing>
          <wp:inline distT="0" distB="0" distL="0" distR="0" wp14:anchorId="3167D85F" wp14:editId="3D6DF3B1">
            <wp:extent cx="3124200" cy="2341245"/>
            <wp:effectExtent l="0" t="0" r="0" b="190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4200" cy="2341245"/>
                    </a:xfrm>
                    <a:prstGeom prst="rect">
                      <a:avLst/>
                    </a:prstGeom>
                    <a:noFill/>
                    <a:ln>
                      <a:noFill/>
                    </a:ln>
                  </pic:spPr>
                </pic:pic>
              </a:graphicData>
            </a:graphic>
          </wp:inline>
        </w:drawing>
      </w:r>
    </w:p>
    <w:p w14:paraId="4C01F4E0" w14:textId="0F2A0D9E" w:rsidR="0077232D" w:rsidRDefault="0077232D" w:rsidP="00A36A5D"/>
    <w:p w14:paraId="5B592D94" w14:textId="14CB05E6" w:rsidR="00114AA0" w:rsidRDefault="00114AA0" w:rsidP="00114AA0">
      <w:pPr>
        <w:pStyle w:val="Overskrift3"/>
      </w:pPr>
      <w:r>
        <w:t>Det samfundsvidens</w:t>
      </w:r>
      <w:r w:rsidR="001F3F36">
        <w:t>kabelige paradigme</w:t>
      </w:r>
    </w:p>
    <w:p w14:paraId="4BADF908" w14:textId="29F26A2E" w:rsidR="001F3F36" w:rsidRDefault="002425A7" w:rsidP="001F3F36">
      <w:r>
        <w:t xml:space="preserve">Hos det samfundsvidenskabelige paradigme er det afsenderen der er i fokus. </w:t>
      </w:r>
      <w:r w:rsidR="00570B2E">
        <w:t>Her er modtageren passiv, og derfor er det afsenderen der styrer kommunikationen.</w:t>
      </w:r>
      <w:r w:rsidR="00933437">
        <w:t xml:space="preserve"> </w:t>
      </w:r>
      <w:r w:rsidR="003117EA">
        <w:t xml:space="preserve">Dvs. at </w:t>
      </w:r>
      <w:r w:rsidR="003117EA">
        <w:lastRenderedPageBreak/>
        <w:t xml:space="preserve">her anses modtageren ikke som værende aktiv i kommunikationen, og </w:t>
      </w:r>
      <w:r w:rsidR="003C73E7">
        <w:t xml:space="preserve">det er derfor </w:t>
      </w:r>
      <w:r w:rsidR="0022195F">
        <w:t xml:space="preserve">det heller ikke et krav at kommunikationen skal </w:t>
      </w:r>
      <w:r w:rsidR="00560494">
        <w:t>virke på samme måde som i de</w:t>
      </w:r>
      <w:r w:rsidR="000407AB">
        <w:t>t</w:t>
      </w:r>
      <w:r w:rsidR="00560494">
        <w:t xml:space="preserve"> humanistiske paradigme</w:t>
      </w:r>
      <w:r w:rsidR="003C73E7">
        <w:t>.</w:t>
      </w:r>
      <w:r w:rsidR="00570B2E">
        <w:t xml:space="preserve"> Derfor </w:t>
      </w:r>
      <w:r w:rsidR="006E0617">
        <w:t>bliver kommunikation i dette paradigme forstået som en transmission</w:t>
      </w:r>
      <w:r w:rsidR="003C73E7">
        <w:t>, altså som en envejskommunikation</w:t>
      </w:r>
      <w:r w:rsidR="00A113C9">
        <w:t>.</w:t>
      </w:r>
      <w:r w:rsidR="00CE61DD">
        <w:t xml:space="preserve"> </w:t>
      </w:r>
      <w:r w:rsidR="00386576">
        <w:t>Her er der en kvantitativ tilgang til undersøgelserne og man forsøger at være objektiv</w:t>
      </w:r>
      <w:r w:rsidR="003C73E7">
        <w:t xml:space="preserve">. Der kiggers der på </w:t>
      </w:r>
      <w:r w:rsidR="00AA567F">
        <w:t>målbare</w:t>
      </w:r>
      <w:r w:rsidR="003C73E7">
        <w:t xml:space="preserve"> data og ingen fortolkning af oplevelser eller andet. </w:t>
      </w:r>
      <w:r w:rsidR="000244B7">
        <w:t>(kommunikation i multimediedesign, s. 76-77)</w:t>
      </w:r>
    </w:p>
    <w:p w14:paraId="4699B252" w14:textId="7667DB58" w:rsidR="00D7219A" w:rsidRDefault="00167641" w:rsidP="001F3F36">
      <w:r>
        <w:t xml:space="preserve">En model der her benyttes, er </w:t>
      </w:r>
      <w:proofErr w:type="spellStart"/>
      <w:r>
        <w:t>Lasswells</w:t>
      </w:r>
      <w:proofErr w:type="spellEnd"/>
      <w:r>
        <w:t xml:space="preserve"> formel. </w:t>
      </w:r>
      <w:r w:rsidR="005C4B5A">
        <w:t xml:space="preserve">Her ser man på </w:t>
      </w:r>
      <w:r>
        <w:t>hvem der siger hvad til hvem, gennem hvilken kanal og hvilken effekt det har.</w:t>
      </w:r>
      <w:r w:rsidR="00AB053A">
        <w:t xml:space="preserve"> Selvom afsenderen er i </w:t>
      </w:r>
      <w:r w:rsidR="00030904">
        <w:t>fokus,</w:t>
      </w:r>
      <w:bookmarkStart w:id="0" w:name="_GoBack"/>
      <w:bookmarkEnd w:id="0"/>
      <w:r w:rsidR="00AB053A">
        <w:t xml:space="preserve"> ses der også på selve mediet der bliver kommunikeret igenne</w:t>
      </w:r>
      <w:r w:rsidR="00D7219A">
        <w:t xml:space="preserve">m og den effekt der kommer ud af det. </w:t>
      </w:r>
      <w:r w:rsidR="003C6074">
        <w:t>(Kommunikation i multimediedesign, s. 79)</w:t>
      </w:r>
    </w:p>
    <w:p w14:paraId="20AF634D" w14:textId="1F3ED602" w:rsidR="003C6074" w:rsidRPr="001F3F36" w:rsidRDefault="00E677E3" w:rsidP="001F3F36">
      <w:r>
        <w:rPr>
          <w:noProof/>
        </w:rPr>
        <w:drawing>
          <wp:inline distT="0" distB="0" distL="0" distR="0" wp14:anchorId="68A749D7" wp14:editId="0C832C15">
            <wp:extent cx="3124200" cy="2341245"/>
            <wp:effectExtent l="0" t="0" r="0" b="190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4200" cy="2341245"/>
                    </a:xfrm>
                    <a:prstGeom prst="rect">
                      <a:avLst/>
                    </a:prstGeom>
                    <a:noFill/>
                    <a:ln>
                      <a:noFill/>
                    </a:ln>
                  </pic:spPr>
                </pic:pic>
              </a:graphicData>
            </a:graphic>
          </wp:inline>
        </w:drawing>
      </w:r>
    </w:p>
    <w:sectPr w:rsidR="003C6074" w:rsidRPr="001F3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307DC"/>
    <w:multiLevelType w:val="hybridMultilevel"/>
    <w:tmpl w:val="525E71E8"/>
    <w:lvl w:ilvl="0" w:tplc="E15E70F2">
      <w:start w:val="1"/>
      <w:numFmt w:val="bullet"/>
      <w:lvlText w:val="-"/>
      <w:lvlJc w:val="left"/>
      <w:pPr>
        <w:ind w:left="2520" w:hanging="360"/>
      </w:pPr>
      <w:rPr>
        <w:rFonts w:ascii="Tahoma" w:eastAsiaTheme="minorHAnsi" w:hAnsi="Tahoma" w:cs="Tahoma" w:hint="default"/>
      </w:rPr>
    </w:lvl>
    <w:lvl w:ilvl="1" w:tplc="04060003" w:tentative="1">
      <w:start w:val="1"/>
      <w:numFmt w:val="bullet"/>
      <w:lvlText w:val="o"/>
      <w:lvlJc w:val="left"/>
      <w:pPr>
        <w:ind w:left="3240" w:hanging="360"/>
      </w:pPr>
      <w:rPr>
        <w:rFonts w:ascii="Courier New" w:hAnsi="Courier New" w:cs="Courier New" w:hint="default"/>
      </w:rPr>
    </w:lvl>
    <w:lvl w:ilvl="2" w:tplc="04060005" w:tentative="1">
      <w:start w:val="1"/>
      <w:numFmt w:val="bullet"/>
      <w:lvlText w:val=""/>
      <w:lvlJc w:val="left"/>
      <w:pPr>
        <w:ind w:left="3960" w:hanging="360"/>
      </w:pPr>
      <w:rPr>
        <w:rFonts w:ascii="Wingdings" w:hAnsi="Wingdings" w:hint="default"/>
      </w:rPr>
    </w:lvl>
    <w:lvl w:ilvl="3" w:tplc="04060001" w:tentative="1">
      <w:start w:val="1"/>
      <w:numFmt w:val="bullet"/>
      <w:lvlText w:val=""/>
      <w:lvlJc w:val="left"/>
      <w:pPr>
        <w:ind w:left="4680" w:hanging="360"/>
      </w:pPr>
      <w:rPr>
        <w:rFonts w:ascii="Symbol" w:hAnsi="Symbol" w:hint="default"/>
      </w:rPr>
    </w:lvl>
    <w:lvl w:ilvl="4" w:tplc="04060003" w:tentative="1">
      <w:start w:val="1"/>
      <w:numFmt w:val="bullet"/>
      <w:lvlText w:val="o"/>
      <w:lvlJc w:val="left"/>
      <w:pPr>
        <w:ind w:left="5400" w:hanging="360"/>
      </w:pPr>
      <w:rPr>
        <w:rFonts w:ascii="Courier New" w:hAnsi="Courier New" w:cs="Courier New" w:hint="default"/>
      </w:rPr>
    </w:lvl>
    <w:lvl w:ilvl="5" w:tplc="04060005" w:tentative="1">
      <w:start w:val="1"/>
      <w:numFmt w:val="bullet"/>
      <w:lvlText w:val=""/>
      <w:lvlJc w:val="left"/>
      <w:pPr>
        <w:ind w:left="6120" w:hanging="360"/>
      </w:pPr>
      <w:rPr>
        <w:rFonts w:ascii="Wingdings" w:hAnsi="Wingdings" w:hint="default"/>
      </w:rPr>
    </w:lvl>
    <w:lvl w:ilvl="6" w:tplc="04060001" w:tentative="1">
      <w:start w:val="1"/>
      <w:numFmt w:val="bullet"/>
      <w:lvlText w:val=""/>
      <w:lvlJc w:val="left"/>
      <w:pPr>
        <w:ind w:left="6840" w:hanging="360"/>
      </w:pPr>
      <w:rPr>
        <w:rFonts w:ascii="Symbol" w:hAnsi="Symbol" w:hint="default"/>
      </w:rPr>
    </w:lvl>
    <w:lvl w:ilvl="7" w:tplc="04060003" w:tentative="1">
      <w:start w:val="1"/>
      <w:numFmt w:val="bullet"/>
      <w:lvlText w:val="o"/>
      <w:lvlJc w:val="left"/>
      <w:pPr>
        <w:ind w:left="7560" w:hanging="360"/>
      </w:pPr>
      <w:rPr>
        <w:rFonts w:ascii="Courier New" w:hAnsi="Courier New" w:cs="Courier New" w:hint="default"/>
      </w:rPr>
    </w:lvl>
    <w:lvl w:ilvl="8" w:tplc="04060005" w:tentative="1">
      <w:start w:val="1"/>
      <w:numFmt w:val="bullet"/>
      <w:lvlText w:val=""/>
      <w:lvlJc w:val="left"/>
      <w:pPr>
        <w:ind w:left="8280" w:hanging="360"/>
      </w:pPr>
      <w:rPr>
        <w:rFonts w:ascii="Wingdings" w:hAnsi="Wingdings" w:hint="default"/>
      </w:rPr>
    </w:lvl>
  </w:abstractNum>
  <w:abstractNum w:abstractNumId="1" w15:restartNumberingAfterBreak="0">
    <w:nsid w:val="4D59244D"/>
    <w:multiLevelType w:val="hybridMultilevel"/>
    <w:tmpl w:val="D2F0E256"/>
    <w:lvl w:ilvl="0" w:tplc="D6F8A52A">
      <w:numFmt w:val="bullet"/>
      <w:lvlText w:val=""/>
      <w:lvlJc w:val="left"/>
      <w:pPr>
        <w:ind w:left="720" w:hanging="360"/>
      </w:pPr>
      <w:rPr>
        <w:rFonts w:ascii="Symbol" w:eastAsiaTheme="minorHAnsi" w:hAnsi="Symbol" w:cs="Tahoma"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B4C00EA"/>
    <w:multiLevelType w:val="hybridMultilevel"/>
    <w:tmpl w:val="05DE86C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54"/>
    <w:rsid w:val="00021FCF"/>
    <w:rsid w:val="000244B7"/>
    <w:rsid w:val="00024F56"/>
    <w:rsid w:val="00030904"/>
    <w:rsid w:val="000407AB"/>
    <w:rsid w:val="000C069F"/>
    <w:rsid w:val="00114AA0"/>
    <w:rsid w:val="0015544C"/>
    <w:rsid w:val="00167641"/>
    <w:rsid w:val="001A3DA9"/>
    <w:rsid w:val="001F3F36"/>
    <w:rsid w:val="002023AC"/>
    <w:rsid w:val="0022195F"/>
    <w:rsid w:val="00227885"/>
    <w:rsid w:val="002425A7"/>
    <w:rsid w:val="002648D9"/>
    <w:rsid w:val="002B07A2"/>
    <w:rsid w:val="002C461B"/>
    <w:rsid w:val="003117EA"/>
    <w:rsid w:val="00386576"/>
    <w:rsid w:val="003C6074"/>
    <w:rsid w:val="003C73E7"/>
    <w:rsid w:val="004E46DC"/>
    <w:rsid w:val="00560494"/>
    <w:rsid w:val="00570B2E"/>
    <w:rsid w:val="005C4B5A"/>
    <w:rsid w:val="005F5CDF"/>
    <w:rsid w:val="00657034"/>
    <w:rsid w:val="0066310A"/>
    <w:rsid w:val="00666941"/>
    <w:rsid w:val="00677902"/>
    <w:rsid w:val="006E0617"/>
    <w:rsid w:val="006E2F4C"/>
    <w:rsid w:val="006E7CA7"/>
    <w:rsid w:val="006F47C3"/>
    <w:rsid w:val="0071009C"/>
    <w:rsid w:val="0077232D"/>
    <w:rsid w:val="007863A0"/>
    <w:rsid w:val="00822A3B"/>
    <w:rsid w:val="00880054"/>
    <w:rsid w:val="00906154"/>
    <w:rsid w:val="00930DFC"/>
    <w:rsid w:val="00933437"/>
    <w:rsid w:val="009338C3"/>
    <w:rsid w:val="00984C2E"/>
    <w:rsid w:val="009940EB"/>
    <w:rsid w:val="009A7361"/>
    <w:rsid w:val="009D1EA1"/>
    <w:rsid w:val="009F551A"/>
    <w:rsid w:val="00A113C9"/>
    <w:rsid w:val="00A21E57"/>
    <w:rsid w:val="00A36A5D"/>
    <w:rsid w:val="00AA567F"/>
    <w:rsid w:val="00AB053A"/>
    <w:rsid w:val="00AB2E0B"/>
    <w:rsid w:val="00B514FF"/>
    <w:rsid w:val="00B972C7"/>
    <w:rsid w:val="00C34464"/>
    <w:rsid w:val="00C75048"/>
    <w:rsid w:val="00CE61DD"/>
    <w:rsid w:val="00D525D2"/>
    <w:rsid w:val="00D63B9A"/>
    <w:rsid w:val="00D7219A"/>
    <w:rsid w:val="00DD566A"/>
    <w:rsid w:val="00E677E3"/>
    <w:rsid w:val="00EA0236"/>
    <w:rsid w:val="00F60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12A6"/>
  <w15:chartTrackingRefBased/>
  <w15:docId w15:val="{0E7CBB4E-05A9-4036-BBD0-B89711D5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054"/>
    <w:rPr>
      <w:rFonts w:ascii="Tahoma" w:hAnsi="Tahoma" w:cs="Tahoma"/>
      <w:sz w:val="24"/>
      <w:lang w:val="da-DK"/>
    </w:rPr>
  </w:style>
  <w:style w:type="paragraph" w:styleId="Overskrift1">
    <w:name w:val="heading 1"/>
    <w:basedOn w:val="Normal"/>
    <w:next w:val="Normal"/>
    <w:link w:val="Overskrift1Tegn"/>
    <w:uiPriority w:val="9"/>
    <w:qFormat/>
    <w:rsid w:val="00906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36A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66941"/>
    <w:pPr>
      <w:keepNext/>
      <w:keepLines/>
      <w:spacing w:before="40" w:after="0"/>
      <w:outlineLvl w:val="2"/>
    </w:pPr>
    <w:rPr>
      <w:rFonts w:asciiTheme="minorHAnsi" w:eastAsiaTheme="majorEastAsia" w:hAnsiTheme="minorHAnsi" w:cstheme="minorHAnsi"/>
      <w:b/>
      <w:color w:val="1F3763" w:themeColor="accent1" w:themeShade="7F"/>
      <w:sz w:val="32"/>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06154"/>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880054"/>
    <w:pPr>
      <w:ind w:left="720"/>
      <w:contextualSpacing/>
    </w:pPr>
  </w:style>
  <w:style w:type="character" w:customStyle="1" w:styleId="Overskrift2Tegn">
    <w:name w:val="Overskrift 2 Tegn"/>
    <w:basedOn w:val="Standardskrifttypeiafsnit"/>
    <w:link w:val="Overskrift2"/>
    <w:uiPriority w:val="9"/>
    <w:rsid w:val="00A36A5D"/>
    <w:rPr>
      <w:rFonts w:asciiTheme="majorHAnsi" w:eastAsiaTheme="majorEastAsia" w:hAnsiTheme="majorHAnsi" w:cstheme="majorBidi"/>
      <w:color w:val="2F5496" w:themeColor="accent1" w:themeShade="BF"/>
      <w:sz w:val="26"/>
      <w:szCs w:val="26"/>
      <w:lang w:val="da-DK"/>
    </w:rPr>
  </w:style>
  <w:style w:type="character" w:customStyle="1" w:styleId="Overskrift3Tegn">
    <w:name w:val="Overskrift 3 Tegn"/>
    <w:basedOn w:val="Standardskrifttypeiafsnit"/>
    <w:link w:val="Overskrift3"/>
    <w:uiPriority w:val="9"/>
    <w:rsid w:val="00666941"/>
    <w:rPr>
      <w:rFonts w:eastAsiaTheme="majorEastAsia" w:cstheme="minorHAnsi"/>
      <w:b/>
      <w:color w:val="1F3763" w:themeColor="accent1" w:themeShade="7F"/>
      <w:sz w:val="32"/>
      <w:szCs w:val="24"/>
      <w:lang w:val="da-DK"/>
    </w:rPr>
  </w:style>
  <w:style w:type="paragraph" w:styleId="Markeringsbobletekst">
    <w:name w:val="Balloon Text"/>
    <w:basedOn w:val="Normal"/>
    <w:link w:val="MarkeringsbobletekstTegn"/>
    <w:uiPriority w:val="99"/>
    <w:semiHidden/>
    <w:unhideWhenUsed/>
    <w:rsid w:val="006E2F4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E2F4C"/>
    <w:rPr>
      <w:rFonts w:ascii="Segoe UI" w:hAnsi="Segoe UI" w:cs="Segoe UI"/>
      <w:sz w:val="18"/>
      <w:szCs w:val="18"/>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620</Words>
  <Characters>3787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Agnethe Bonde</dc:creator>
  <cp:keywords/>
  <dc:description/>
  <cp:lastModifiedBy>Agnethe Bonde</cp:lastModifiedBy>
  <cp:revision>63</cp:revision>
  <dcterms:created xsi:type="dcterms:W3CDTF">2019-12-03T14:09:00Z</dcterms:created>
  <dcterms:modified xsi:type="dcterms:W3CDTF">2019-12-11T11:23:00Z</dcterms:modified>
</cp:coreProperties>
</file>