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HIỂU NHANH 3 DATASET CHỨNG KHOÁN</w:t>
      </w:r>
    </w:p>
    <w:p>
      <w:pPr>
        <w:pStyle w:val="Smaller"/>
        <w:spacing w:after="220"/>
      </w:pPr>
      <w:r>
        <w:rPr>
          <w:rFonts w:ascii="Aptos" w:hAnsi="Aptos" w:eastAsia="Aptos"/>
          <w:sz w:val="16"/>
        </w:rPr>
        <w:t>Tài liệu giải thích cấu trúc, ý nghĩa các cột và cách dùng trong EDA / Machine Learning.  |  29/10/2026</w:t>
      </w:r>
    </w:p>
    <w:p>
      <w:pPr>
        <w:pStyle w:val="Heading1"/>
      </w:pPr>
      <w:r>
        <w:t>1. Ba bộ dữ liệu đang mô tả điều gì?</w:t>
      </w:r>
    </w:p>
    <w:p>
      <w:r>
        <w:rPr>
          <w:rFonts w:ascii="Aptos" w:hAnsi="Aptos" w:eastAsia="Aptos"/>
          <w:sz w:val="20"/>
        </w:rPr>
        <w:t>Chúng lưu lịch sử biến động của nhiều cổ phiếu theo phiên giao dịch để học mẫu hình giá và dự báo lợi suất / chiều tăng giảm trong tương lai. NASDAQ, NYSE là hai sàn giao dịch tại Mỹ; S&amp;P 500 là nhóm cổ phiếu thuộc một chỉ số, không phải sàn thứ ba.</w:t>
      </w:r>
    </w:p>
    <w:tbl>
      <w:tblPr>
        <w:tblStyle w:val="TableGrid"/>
        <w:tblW w:type="auto" w:w="0"/>
        <w:jc w:val="center"/>
        <w:tblLook w:firstColumn="1" w:firstRow="1" w:lastColumn="0" w:lastRow="0" w:noHBand="0" w:noVBand="1" w:val="04A0"/>
      </w:tblPr>
      <w:tblGrid>
        <w:gridCol w:w="2416"/>
        <w:gridCol w:w="2416"/>
        <w:gridCol w:w="2416"/>
        <w:gridCol w:w="2416"/>
      </w:tblGrid>
      <w:tr>
        <w:tc>
          <w:tcPr>
            <w:tcW w:type="dxa" w:w="1440"/>
            <w:vAlign w:val="center"/>
            <w:shd w:fill="183451"/>
          </w:tcPr>
          <w:p>
            <w:pPr>
              <w:spacing w:before="20" w:after="20"/>
            </w:pPr>
            <w:r/>
            <w:r>
              <w:rPr>
                <w:rFonts w:ascii="Aptos" w:hAnsi="Aptos" w:eastAsia="Aptos"/>
                <w:b/>
                <w:color w:val="FFFFFF"/>
                <w:sz w:val="17"/>
              </w:rPr>
              <w:t>Dataset</w:t>
            </w:r>
          </w:p>
        </w:tc>
        <w:tc>
          <w:tcPr>
            <w:tcW w:type="dxa" w:w="2909"/>
            <w:vAlign w:val="center"/>
            <w:shd w:fill="183451"/>
          </w:tcPr>
          <w:p>
            <w:pPr>
              <w:spacing w:before="20" w:after="20"/>
            </w:pPr>
            <w:r/>
            <w:r>
              <w:rPr>
                <w:rFonts w:ascii="Aptos" w:hAnsi="Aptos" w:eastAsia="Aptos"/>
                <w:b/>
                <w:color w:val="FFFFFF"/>
                <w:sz w:val="17"/>
              </w:rPr>
              <w:t>Đối tượng</w:t>
            </w:r>
          </w:p>
        </w:tc>
        <w:tc>
          <w:tcPr>
            <w:tcW w:type="dxa" w:w="2549"/>
            <w:vAlign w:val="center"/>
            <w:shd w:fill="183451"/>
          </w:tcPr>
          <w:p>
            <w:pPr>
              <w:spacing w:before="20" w:after="20"/>
            </w:pPr>
            <w:r/>
            <w:r>
              <w:rPr>
                <w:rFonts w:ascii="Aptos" w:hAnsi="Aptos" w:eastAsia="Aptos"/>
                <w:b/>
                <w:color w:val="FFFFFF"/>
                <w:sz w:val="17"/>
              </w:rPr>
              <w:t>Định dạng trong dự án</w:t>
            </w:r>
          </w:p>
        </w:tc>
        <w:tc>
          <w:tcPr>
            <w:tcW w:type="dxa" w:w="2736"/>
            <w:vAlign w:val="center"/>
            <w:shd w:fill="183451"/>
          </w:tcPr>
          <w:p>
            <w:pPr>
              <w:spacing w:before="20" w:after="20"/>
            </w:pPr>
            <w:r/>
            <w:r>
              <w:rPr>
                <w:rFonts w:ascii="Aptos" w:hAnsi="Aptos" w:eastAsia="Aptos"/>
                <w:b/>
                <w:color w:val="FFFFFF"/>
                <w:sz w:val="17"/>
              </w:rPr>
              <w:t>Mục đích</w:t>
            </w:r>
          </w:p>
        </w:tc>
      </w:tr>
      <w:tr>
        <w:tc>
          <w:tcPr>
            <w:tcW w:type="dxa" w:w="1440"/>
            <w:vAlign w:val="center"/>
            <w:shd w:fill="F0F5FA"/>
          </w:tcPr>
          <w:p>
            <w:pPr>
              <w:spacing w:after="20" w:before="20"/>
            </w:pPr>
            <w:r/>
            <w:r>
              <w:rPr>
                <w:rFonts w:ascii="Aptos" w:hAnsi="Aptos" w:eastAsia="Aptos"/>
                <w:b/>
                <w:color w:val="172B44"/>
                <w:sz w:val="17"/>
              </w:rPr>
              <w:t>NASDAQ</w:t>
            </w:r>
          </w:p>
        </w:tc>
        <w:tc>
          <w:tcPr>
            <w:tcW w:type="dxa" w:w="2909"/>
            <w:vAlign w:val="center"/>
            <w:shd w:fill="F0F5FA"/>
          </w:tcPr>
          <w:p>
            <w:pPr>
              <w:spacing w:after="20" w:before="20"/>
            </w:pPr>
            <w:r/>
            <w:r>
              <w:rPr>
                <w:rFonts w:ascii="Aptos" w:hAnsi="Aptos" w:eastAsia="Aptos"/>
                <w:b w:val="0"/>
                <w:color w:val="172B44"/>
                <w:sz w:val="17"/>
              </w:rPr>
              <w:t>1.026 mã (nghiên cứu gốc)</w:t>
            </w:r>
          </w:p>
        </w:tc>
        <w:tc>
          <w:tcPr>
            <w:tcW w:type="dxa" w:w="2549"/>
            <w:vAlign w:val="center"/>
            <w:shd w:fill="F0F5FA"/>
          </w:tcPr>
          <w:p>
            <w:pPr>
              <w:spacing w:after="20" w:before="20"/>
            </w:pPr>
            <w:r/>
            <w:r>
              <w:rPr>
                <w:rFonts w:ascii="Aptos" w:hAnsi="Aptos" w:eastAsia="Aptos"/>
                <w:b w:val="0"/>
                <w:color w:val="172B44"/>
                <w:sz w:val="17"/>
              </w:rPr>
              <w:t>Nhiều file &lt;ticker&gt;_1.csv</w:t>
            </w:r>
          </w:p>
        </w:tc>
        <w:tc>
          <w:tcPr>
            <w:tcW w:type="dxa" w:w="2736"/>
            <w:vAlign w:val="center"/>
            <w:shd w:fill="F0F5FA"/>
          </w:tcPr>
          <w:p>
            <w:pPr>
              <w:spacing w:after="20" w:before="20"/>
            </w:pPr>
            <w:r/>
            <w:r>
              <w:rPr>
                <w:rFonts w:ascii="Aptos" w:hAnsi="Aptos" w:eastAsia="Aptos"/>
                <w:b w:val="0"/>
                <w:color w:val="172B44"/>
                <w:sz w:val="17"/>
              </w:rPr>
              <w:t>Học xu hướng và xếp hạng cổ phiếu</w:t>
            </w:r>
          </w:p>
        </w:tc>
      </w:tr>
      <w:tr>
        <w:tc>
          <w:tcPr>
            <w:tcW w:type="dxa" w:w="1440"/>
            <w:vAlign w:val="center"/>
          </w:tcPr>
          <w:p>
            <w:pPr>
              <w:spacing w:after="20" w:before="20"/>
            </w:pPr>
            <w:r/>
            <w:r>
              <w:rPr>
                <w:rFonts w:ascii="Aptos" w:hAnsi="Aptos" w:eastAsia="Aptos"/>
                <w:b/>
                <w:color w:val="172B44"/>
                <w:sz w:val="17"/>
              </w:rPr>
              <w:t>NYSE</w:t>
            </w:r>
          </w:p>
        </w:tc>
        <w:tc>
          <w:tcPr>
            <w:tcW w:type="dxa" w:w="2909"/>
            <w:vAlign w:val="center"/>
          </w:tcPr>
          <w:p>
            <w:pPr>
              <w:spacing w:after="20" w:before="20"/>
            </w:pPr>
            <w:r/>
            <w:r>
              <w:rPr>
                <w:rFonts w:ascii="Aptos" w:hAnsi="Aptos" w:eastAsia="Aptos"/>
                <w:b w:val="0"/>
                <w:color w:val="172B44"/>
                <w:sz w:val="17"/>
              </w:rPr>
              <w:t>1.737 mã (nghiên cứu gốc)</w:t>
            </w:r>
          </w:p>
        </w:tc>
        <w:tc>
          <w:tcPr>
            <w:tcW w:type="dxa" w:w="2549"/>
            <w:vAlign w:val="center"/>
          </w:tcPr>
          <w:p>
            <w:pPr>
              <w:spacing w:after="20" w:before="20"/>
            </w:pPr>
            <w:r/>
            <w:r>
              <w:rPr>
                <w:rFonts w:ascii="Aptos" w:hAnsi="Aptos" w:eastAsia="Aptos"/>
                <w:b w:val="0"/>
                <w:color w:val="172B44"/>
                <w:sz w:val="17"/>
              </w:rPr>
              <w:t>Nhiều file &lt;ticker&gt;_1.csv</w:t>
            </w:r>
          </w:p>
        </w:tc>
        <w:tc>
          <w:tcPr>
            <w:tcW w:type="dxa" w:w="2736"/>
            <w:vAlign w:val="center"/>
          </w:tcPr>
          <w:p>
            <w:pPr>
              <w:spacing w:after="20" w:before="20"/>
            </w:pPr>
            <w:r/>
            <w:r>
              <w:rPr>
                <w:rFonts w:ascii="Aptos" w:hAnsi="Aptos" w:eastAsia="Aptos"/>
                <w:b w:val="0"/>
                <w:color w:val="172B44"/>
                <w:sz w:val="17"/>
              </w:rPr>
              <w:t>Tương tự NASDAQ, khác tập cổ phiếu</w:t>
            </w:r>
          </w:p>
        </w:tc>
      </w:tr>
      <w:tr>
        <w:tc>
          <w:tcPr>
            <w:tcW w:type="dxa" w:w="1440"/>
            <w:vAlign w:val="center"/>
            <w:shd w:fill="F0F5FA"/>
          </w:tcPr>
          <w:p>
            <w:pPr>
              <w:spacing w:after="20" w:before="20"/>
            </w:pPr>
            <w:r/>
            <w:r>
              <w:rPr>
                <w:rFonts w:ascii="Aptos" w:hAnsi="Aptos" w:eastAsia="Aptos"/>
                <w:b/>
                <w:color w:val="172B44"/>
                <w:sz w:val="17"/>
              </w:rPr>
              <w:t>S&amp;P 500</w:t>
            </w:r>
          </w:p>
        </w:tc>
        <w:tc>
          <w:tcPr>
            <w:tcW w:type="dxa" w:w="2909"/>
            <w:vAlign w:val="center"/>
            <w:shd w:fill="F0F5FA"/>
          </w:tcPr>
          <w:p>
            <w:pPr>
              <w:spacing w:after="20" w:before="20"/>
            </w:pPr>
            <w:r/>
            <w:r>
              <w:rPr>
                <w:rFonts w:ascii="Aptos" w:hAnsi="Aptos" w:eastAsia="Aptos"/>
                <w:b w:val="0"/>
                <w:color w:val="172B44"/>
                <w:sz w:val="17"/>
              </w:rPr>
              <w:t>Cổ phiếu thuộc chỉ số S&amp;P 500</w:t>
            </w:r>
          </w:p>
        </w:tc>
        <w:tc>
          <w:tcPr>
            <w:tcW w:type="dxa" w:w="2549"/>
            <w:vAlign w:val="center"/>
            <w:shd w:fill="F0F5FA"/>
          </w:tcPr>
          <w:p>
            <w:pPr>
              <w:spacing w:after="20" w:before="20"/>
            </w:pPr>
            <w:r/>
            <w:r>
              <w:rPr>
                <w:rFonts w:ascii="Aptos" w:hAnsi="Aptos" w:eastAsia="Aptos"/>
                <w:b w:val="0"/>
                <w:color w:val="172B44"/>
                <w:sz w:val="17"/>
              </w:rPr>
              <w:t>SP500.npy / CSV xuất ra</w:t>
            </w:r>
          </w:p>
        </w:tc>
        <w:tc>
          <w:tcPr>
            <w:tcW w:type="dxa" w:w="2736"/>
            <w:vAlign w:val="center"/>
            <w:shd w:fill="F0F5FA"/>
          </w:tcPr>
          <w:p>
            <w:pPr>
              <w:spacing w:after="20" w:before="20"/>
            </w:pPr>
            <w:r/>
            <w:r>
              <w:rPr>
                <w:rFonts w:ascii="Aptos" w:hAnsi="Aptos" w:eastAsia="Aptos"/>
                <w:b w:val="0"/>
                <w:color w:val="172B44"/>
                <w:sz w:val="17"/>
              </w:rPr>
              <w:t>Dự báo chuỗi thời gian đa cổ phiếu</w:t>
            </w:r>
          </w:p>
        </w:tc>
      </w:tr>
    </w:tbl>
    <w:p>
      <w:pPr>
        <w:spacing w:after="20"/>
      </w:pPr>
    </w:p>
    <w:p>
      <w:r>
        <w:rPr>
          <w:rFonts w:ascii="Aptos" w:hAnsi="Aptos" w:eastAsia="Aptos"/>
          <w:b/>
          <w:sz w:val="20"/>
        </w:rPr>
        <w:t xml:space="preserve">Vì sao bạn không thấy tên cột? </w:t>
      </w:r>
      <w:r>
        <w:rPr>
          <w:rFonts w:ascii="Aptos" w:hAnsi="Aptos" w:eastAsia="Aptos"/>
          <w:b w:val="0"/>
          <w:sz w:val="20"/>
        </w:rPr>
        <w:t>CSV NASDAQ/NYSE nguyên gốc lưu các số theo thứ tự cố định và không chứa dòng header. File .npy là tensor số học, vốn không có tên cột. Khi chuyển thành CSV, tên feature_0, feature_1… chỉ là nhãn kỹ thuật.</w:t>
      </w:r>
    </w:p>
    <w:p>
      <w:pPr>
        <w:pStyle w:val="Heading1"/>
      </w:pPr>
      <w:r>
        <w:t>2. Dữ liệu 1 hàng thể hiện gì?</w:t>
      </w:r>
    </w:p>
    <w:p>
      <w:r>
        <w:rPr>
          <w:rFonts w:ascii="Aptos" w:hAnsi="Aptos" w:eastAsia="Aptos"/>
          <w:sz w:val="20"/>
        </w:rPr>
        <w:t>Với NASDAQ/NYSE: 1 hàng = 1 mã cổ phiếu ở 1 phiên. Với S&amp;P 500 dạng tensor: 1 phần tử [cổ phiếu, phiên, kênh] = một giá trị đặc trưng của cổ phiếu đó ở phiên đó.</w:t>
      </w:r>
    </w:p>
    <w:tbl>
      <w:tblPr>
        <w:tblStyle w:val="TableGrid"/>
        <w:tblW w:type="auto" w:w="0"/>
        <w:jc w:val="center"/>
        <w:tblLook w:firstColumn="1" w:firstRow="1" w:lastColumn="0" w:lastRow="0" w:noHBand="0" w:noVBand="1" w:val="04A0"/>
      </w:tblPr>
      <w:tblGrid>
        <w:gridCol w:w="4831"/>
        <w:gridCol w:w="4831"/>
      </w:tblGrid>
      <w:tr>
        <w:tc>
          <w:tcPr>
            <w:tcW w:type="dxa" w:w="3096"/>
            <w:vAlign w:val="center"/>
            <w:shd w:fill="183451"/>
          </w:tcPr>
          <w:p>
            <w:pPr>
              <w:spacing w:before="20" w:after="20"/>
            </w:pPr>
            <w:r/>
            <w:r>
              <w:rPr>
                <w:rFonts w:ascii="Aptos" w:hAnsi="Aptos" w:eastAsia="Aptos"/>
                <w:b/>
                <w:color w:val="FFFFFF"/>
                <w:sz w:val="17"/>
              </w:rPr>
              <w:t>Nhìn thấy</w:t>
            </w:r>
          </w:p>
        </w:tc>
        <w:tc>
          <w:tcPr>
            <w:tcW w:type="dxa" w:w="6538"/>
            <w:vAlign w:val="center"/>
            <w:shd w:fill="183451"/>
          </w:tcPr>
          <w:p>
            <w:pPr>
              <w:spacing w:before="20" w:after="20"/>
            </w:pPr>
            <w:r/>
            <w:r>
              <w:rPr>
                <w:rFonts w:ascii="Aptos" w:hAnsi="Aptos" w:eastAsia="Aptos"/>
                <w:b/>
                <w:color w:val="FFFFFF"/>
                <w:sz w:val="17"/>
              </w:rPr>
              <w:t>Phải hiểu là</w:t>
            </w:r>
          </w:p>
        </w:tc>
      </w:tr>
      <w:tr>
        <w:tc>
          <w:tcPr>
            <w:tcW w:type="dxa" w:w="3096"/>
            <w:vAlign w:val="center"/>
            <w:shd w:fill="F0F5FA"/>
          </w:tcPr>
          <w:p>
            <w:pPr>
              <w:spacing w:after="20" w:before="20"/>
            </w:pPr>
            <w:r/>
            <w:r>
              <w:rPr>
                <w:rFonts w:ascii="Aptos" w:hAnsi="Aptos" w:eastAsia="Aptos"/>
                <w:b/>
                <w:color w:val="172B44"/>
                <w:sz w:val="17"/>
              </w:rPr>
              <w:t>Ticker, ví dụ AAPL</w:t>
            </w:r>
          </w:p>
        </w:tc>
        <w:tc>
          <w:tcPr>
            <w:tcW w:type="dxa" w:w="6538"/>
            <w:vAlign w:val="center"/>
            <w:shd w:fill="F0F5FA"/>
          </w:tcPr>
          <w:p>
            <w:pPr>
              <w:spacing w:after="20" w:before="20"/>
            </w:pPr>
            <w:r/>
            <w:r>
              <w:rPr>
                <w:rFonts w:ascii="Aptos" w:hAnsi="Aptos" w:eastAsia="Aptos"/>
                <w:b w:val="0"/>
                <w:color w:val="172B44"/>
                <w:sz w:val="17"/>
              </w:rPr>
              <w:t>Định danh doanh nghiệp / mã cổ phiếu; lấy từ tên file hoặc metadata</w:t>
            </w:r>
          </w:p>
        </w:tc>
      </w:tr>
      <w:tr>
        <w:tc>
          <w:tcPr>
            <w:tcW w:type="dxa" w:w="3096"/>
            <w:vAlign w:val="center"/>
          </w:tcPr>
          <w:p>
            <w:pPr>
              <w:spacing w:after="20" w:before="20"/>
            </w:pPr>
            <w:r/>
            <w:r>
              <w:rPr>
                <w:rFonts w:ascii="Aptos" w:hAnsi="Aptos" w:eastAsia="Aptos"/>
                <w:b/>
                <w:color w:val="172B44"/>
                <w:sz w:val="17"/>
              </w:rPr>
              <w:t>time_index = 100</w:t>
            </w:r>
          </w:p>
        </w:tc>
        <w:tc>
          <w:tcPr>
            <w:tcW w:type="dxa" w:w="6538"/>
            <w:vAlign w:val="center"/>
          </w:tcPr>
          <w:p>
            <w:pPr>
              <w:spacing w:after="20" w:before="20"/>
            </w:pPr>
            <w:r/>
            <w:r>
              <w:rPr>
                <w:rFonts w:ascii="Aptos" w:hAnsi="Aptos" w:eastAsia="Aptos"/>
                <w:b w:val="0"/>
                <w:color w:val="172B44"/>
                <w:sz w:val="17"/>
              </w:rPr>
              <w:t>Phiên có chỉ số 100 trong lịch của bộ dữ liệu, không phải ngày 100</w:t>
            </w:r>
          </w:p>
        </w:tc>
      </w:tr>
      <w:tr>
        <w:tc>
          <w:tcPr>
            <w:tcW w:type="dxa" w:w="3096"/>
            <w:vAlign w:val="center"/>
            <w:shd w:fill="F0F5FA"/>
          </w:tcPr>
          <w:p>
            <w:pPr>
              <w:spacing w:after="20" w:before="20"/>
            </w:pPr>
            <w:r/>
            <w:r>
              <w:rPr>
                <w:rFonts w:ascii="Aptos" w:hAnsi="Aptos" w:eastAsia="Aptos"/>
                <w:b/>
                <w:color w:val="172B44"/>
                <w:sz w:val="17"/>
              </w:rPr>
              <w:t>0.54 ở cột Close</w:t>
            </w:r>
          </w:p>
        </w:tc>
        <w:tc>
          <w:tcPr>
            <w:tcW w:type="dxa" w:w="6538"/>
            <w:vAlign w:val="center"/>
            <w:shd w:fill="F0F5FA"/>
          </w:tcPr>
          <w:p>
            <w:pPr>
              <w:spacing w:after="20" w:before="20"/>
            </w:pPr>
            <w:r/>
            <w:r>
              <w:rPr>
                <w:rFonts w:ascii="Aptos" w:hAnsi="Aptos" w:eastAsia="Aptos"/>
                <w:b w:val="0"/>
                <w:color w:val="172B44"/>
                <w:sz w:val="17"/>
              </w:rPr>
              <w:t>Giá đóng cửa đã chuẩn hóa, không phải 0,54 USD</w:t>
            </w:r>
          </w:p>
        </w:tc>
      </w:tr>
      <w:tr>
        <w:tc>
          <w:tcPr>
            <w:tcW w:type="dxa" w:w="3096"/>
            <w:vAlign w:val="center"/>
          </w:tcPr>
          <w:p>
            <w:pPr>
              <w:spacing w:after="20" w:before="20"/>
            </w:pPr>
            <w:r/>
            <w:r>
              <w:rPr>
                <w:rFonts w:ascii="Aptos" w:hAnsi="Aptos" w:eastAsia="Aptos"/>
                <w:b/>
                <w:color w:val="172B44"/>
                <w:sz w:val="17"/>
              </w:rPr>
              <w:t>feature_0 … feature_4</w:t>
            </w:r>
          </w:p>
        </w:tc>
        <w:tc>
          <w:tcPr>
            <w:tcW w:type="dxa" w:w="6538"/>
            <w:vAlign w:val="center"/>
          </w:tcPr>
          <w:p>
            <w:pPr>
              <w:spacing w:after="20" w:before="20"/>
            </w:pPr>
            <w:r/>
            <w:r>
              <w:rPr>
                <w:rFonts w:ascii="Aptos" w:hAnsi="Aptos" w:eastAsia="Aptos"/>
                <w:b w:val="0"/>
                <w:color w:val="172B44"/>
                <w:sz w:val="17"/>
              </w:rPr>
              <w:t>Các kênh của tensor, cần mapping trước khi gán nghĩa kinh tế</w:t>
            </w:r>
          </w:p>
        </w:tc>
      </w:tr>
    </w:tbl>
    <w:p>
      <w:pPr>
        <w:spacing w:after="20"/>
      </w:pPr>
    </w:p>
    <w:p>
      <w:pPr>
        <w:pStyle w:val="Smaller"/>
      </w:pPr>
      <w:r>
        <w:rPr>
          <w:rFonts w:ascii="Aptos" w:hAnsi="Aptos" w:eastAsia="Aptos"/>
          <w:b/>
          <w:sz w:val="16"/>
        </w:rPr>
        <w:t xml:space="preserve">Phạm vi xác minh: </w:t>
      </w:r>
      <w:r>
        <w:rPr>
          <w:rFonts w:ascii="Aptos" w:hAnsi="Aptos" w:eastAsia="Aptos"/>
          <w:b w:val="0"/>
          <w:sz w:val="16"/>
        </w:rPr>
        <w:t>GitHub PTDLKD_Ki5 hiện được trang công khai báo là repository trống. Tài liệu đối chiếu mã tiền xử lý của hai dự án gốc và cấu trúc file đã dùng trong notebook; chưa xác minh thống kê trên bản dữ liệu thực tế ở máy bạn.</w:t>
      </w:r>
    </w:p>
    <w:p>
      <w:r>
        <w:br w:type="page"/>
      </w:r>
    </w:p>
    <w:p>
      <w:pPr>
        <w:pStyle w:val="Heading1"/>
      </w:pPr>
      <w:r>
        <w:t>3. NASDAQ và NYSE — Từ điển 6 cột</w:t>
      </w:r>
    </w:p>
    <w:p>
      <w:r>
        <w:rPr>
          <w:rFonts w:ascii="Aptos" w:hAnsi="Aptos" w:eastAsia="Aptos"/>
          <w:sz w:val="20"/>
        </w:rPr>
        <w:t>Hai dataset dùng cùng định dạng CSV không header theo mã eod.py của Temporal Relational Ranking. Bốn MA là trung bình giá đóng cửa theo các cửa sổ phiên tương ứng.</w:t>
      </w:r>
    </w:p>
    <w:tbl>
      <w:tblPr>
        <w:tblStyle w:val="TableGrid"/>
        <w:tblW w:type="auto" w:w="0"/>
        <w:jc w:val="center"/>
        <w:tblLook w:firstColumn="1" w:firstRow="1" w:lastColumn="0" w:lastRow="0" w:noHBand="0" w:noVBand="1" w:val="04A0"/>
      </w:tblPr>
      <w:tblGrid>
        <w:gridCol w:w="3221"/>
        <w:gridCol w:w="3221"/>
        <w:gridCol w:w="3221"/>
      </w:tblGrid>
      <w:tr>
        <w:tc>
          <w:tcPr>
            <w:tcW w:type="dxa" w:w="1195"/>
            <w:vAlign w:val="center"/>
            <w:shd w:fill="183451"/>
          </w:tcPr>
          <w:p>
            <w:pPr>
              <w:spacing w:before="20" w:after="20"/>
            </w:pPr>
            <w:r/>
            <w:r>
              <w:rPr>
                <w:rFonts w:ascii="Aptos" w:hAnsi="Aptos" w:eastAsia="Aptos"/>
                <w:b/>
                <w:color w:val="FFFFFF"/>
                <w:sz w:val="17"/>
              </w:rPr>
              <w:t>Cột thứ</w:t>
            </w:r>
          </w:p>
        </w:tc>
        <w:tc>
          <w:tcPr>
            <w:tcW w:type="dxa" w:w="2131"/>
            <w:vAlign w:val="center"/>
            <w:shd w:fill="183451"/>
          </w:tcPr>
          <w:p>
            <w:pPr>
              <w:spacing w:before="20" w:after="20"/>
            </w:pPr>
            <w:r/>
            <w:r>
              <w:rPr>
                <w:rFonts w:ascii="Aptos" w:hAnsi="Aptos" w:eastAsia="Aptos"/>
                <w:b/>
                <w:color w:val="FFFFFF"/>
                <w:sz w:val="17"/>
              </w:rPr>
              <w:t>Tên chính xác</w:t>
            </w:r>
          </w:p>
        </w:tc>
        <w:tc>
          <w:tcPr>
            <w:tcW w:type="dxa" w:w="6307"/>
            <w:vAlign w:val="center"/>
            <w:shd w:fill="183451"/>
          </w:tcPr>
          <w:p>
            <w:pPr>
              <w:spacing w:before="20" w:after="20"/>
            </w:pPr>
            <w:r/>
            <w:r>
              <w:rPr>
                <w:rFonts w:ascii="Aptos" w:hAnsi="Aptos" w:eastAsia="Aptos"/>
                <w:b/>
                <w:color w:val="FFFFFF"/>
                <w:sz w:val="17"/>
              </w:rPr>
              <w:t>Ý nghĩa khi EDA</w:t>
            </w:r>
          </w:p>
        </w:tc>
      </w:tr>
      <w:tr>
        <w:tc>
          <w:tcPr>
            <w:tcW w:type="dxa" w:w="1195"/>
            <w:vAlign w:val="center"/>
            <w:shd w:fill="F0F5FA"/>
          </w:tcPr>
          <w:p>
            <w:pPr>
              <w:spacing w:after="20" w:before="20"/>
            </w:pPr>
            <w:r/>
            <w:r>
              <w:rPr>
                <w:rFonts w:ascii="Aptos" w:hAnsi="Aptos" w:eastAsia="Aptos"/>
                <w:b/>
                <w:color w:val="172B44"/>
                <w:sz w:val="17"/>
              </w:rPr>
              <w:t>0</w:t>
            </w:r>
          </w:p>
        </w:tc>
        <w:tc>
          <w:tcPr>
            <w:tcW w:type="dxa" w:w="2131"/>
            <w:vAlign w:val="center"/>
            <w:shd w:fill="F0F5FA"/>
          </w:tcPr>
          <w:p>
            <w:pPr>
              <w:spacing w:after="20" w:before="20"/>
            </w:pPr>
            <w:r/>
            <w:r>
              <w:rPr>
                <w:rFonts w:ascii="Aptos" w:hAnsi="Aptos" w:eastAsia="Aptos"/>
                <w:b w:val="0"/>
                <w:color w:val="172B44"/>
                <w:sz w:val="17"/>
              </w:rPr>
              <w:t>time_index</w:t>
            </w:r>
          </w:p>
        </w:tc>
        <w:tc>
          <w:tcPr>
            <w:tcW w:type="dxa" w:w="6307"/>
            <w:vAlign w:val="center"/>
            <w:shd w:fill="F0F5FA"/>
          </w:tcPr>
          <w:p>
            <w:pPr>
              <w:spacing w:after="20" w:before="20"/>
            </w:pPr>
            <w:r/>
            <w:r>
              <w:rPr>
                <w:rFonts w:ascii="Aptos" w:hAnsi="Aptos" w:eastAsia="Aptos"/>
                <w:b w:val="0"/>
                <w:color w:val="172B44"/>
                <w:sz w:val="17"/>
              </w:rPr>
              <w:t>Thứ tự phiên trong chuỗi; không phải ngày lịch</w:t>
            </w:r>
          </w:p>
        </w:tc>
      </w:tr>
      <w:tr>
        <w:tc>
          <w:tcPr>
            <w:tcW w:type="dxa" w:w="1195"/>
            <w:vAlign w:val="center"/>
          </w:tcPr>
          <w:p>
            <w:pPr>
              <w:spacing w:after="20" w:before="20"/>
            </w:pPr>
            <w:r/>
            <w:r>
              <w:rPr>
                <w:rFonts w:ascii="Aptos" w:hAnsi="Aptos" w:eastAsia="Aptos"/>
                <w:b/>
                <w:color w:val="172B44"/>
                <w:sz w:val="17"/>
              </w:rPr>
              <w:t>1</w:t>
            </w:r>
          </w:p>
        </w:tc>
        <w:tc>
          <w:tcPr>
            <w:tcW w:type="dxa" w:w="2131"/>
            <w:vAlign w:val="center"/>
          </w:tcPr>
          <w:p>
            <w:pPr>
              <w:spacing w:after="20" w:before="20"/>
            </w:pPr>
            <w:r/>
            <w:r>
              <w:rPr>
                <w:rFonts w:ascii="Aptos" w:hAnsi="Aptos" w:eastAsia="Aptos"/>
                <w:b w:val="0"/>
                <w:color w:val="172B44"/>
                <w:sz w:val="17"/>
              </w:rPr>
              <w:t>MA5</w:t>
            </w:r>
          </w:p>
        </w:tc>
        <w:tc>
          <w:tcPr>
            <w:tcW w:type="dxa" w:w="6307"/>
            <w:vAlign w:val="center"/>
          </w:tcPr>
          <w:p>
            <w:pPr>
              <w:spacing w:after="20" w:before="20"/>
            </w:pPr>
            <w:r/>
            <w:r>
              <w:rPr>
                <w:rFonts w:ascii="Aptos" w:hAnsi="Aptos" w:eastAsia="Aptos"/>
                <w:b w:val="0"/>
                <w:color w:val="172B44"/>
                <w:sz w:val="17"/>
              </w:rPr>
              <w:t>Giá đóng cửa trung bình 5 phiên (đã chuẩn hóa)</w:t>
            </w:r>
          </w:p>
        </w:tc>
      </w:tr>
      <w:tr>
        <w:tc>
          <w:tcPr>
            <w:tcW w:type="dxa" w:w="1195"/>
            <w:vAlign w:val="center"/>
            <w:shd w:fill="F0F5FA"/>
          </w:tcPr>
          <w:p>
            <w:pPr>
              <w:spacing w:after="20" w:before="20"/>
            </w:pPr>
            <w:r/>
            <w:r>
              <w:rPr>
                <w:rFonts w:ascii="Aptos" w:hAnsi="Aptos" w:eastAsia="Aptos"/>
                <w:b/>
                <w:color w:val="172B44"/>
                <w:sz w:val="17"/>
              </w:rPr>
              <w:t>2</w:t>
            </w:r>
          </w:p>
        </w:tc>
        <w:tc>
          <w:tcPr>
            <w:tcW w:type="dxa" w:w="2131"/>
            <w:vAlign w:val="center"/>
            <w:shd w:fill="F0F5FA"/>
          </w:tcPr>
          <w:p>
            <w:pPr>
              <w:spacing w:after="20" w:before="20"/>
            </w:pPr>
            <w:r/>
            <w:r>
              <w:rPr>
                <w:rFonts w:ascii="Aptos" w:hAnsi="Aptos" w:eastAsia="Aptos"/>
                <w:b w:val="0"/>
                <w:color w:val="172B44"/>
                <w:sz w:val="17"/>
              </w:rPr>
              <w:t>MA10</w:t>
            </w:r>
          </w:p>
        </w:tc>
        <w:tc>
          <w:tcPr>
            <w:tcW w:type="dxa" w:w="6307"/>
            <w:vAlign w:val="center"/>
            <w:shd w:fill="F0F5FA"/>
          </w:tcPr>
          <w:p>
            <w:pPr>
              <w:spacing w:after="20" w:before="20"/>
            </w:pPr>
            <w:r/>
            <w:r>
              <w:rPr>
                <w:rFonts w:ascii="Aptos" w:hAnsi="Aptos" w:eastAsia="Aptos"/>
                <w:b w:val="0"/>
                <w:color w:val="172B44"/>
                <w:sz w:val="17"/>
              </w:rPr>
              <w:t>Trung bình 10 phiên (đã chuẩn hóa)</w:t>
            </w:r>
          </w:p>
        </w:tc>
      </w:tr>
      <w:tr>
        <w:tc>
          <w:tcPr>
            <w:tcW w:type="dxa" w:w="1195"/>
            <w:vAlign w:val="center"/>
          </w:tcPr>
          <w:p>
            <w:pPr>
              <w:spacing w:after="20" w:before="20"/>
            </w:pPr>
            <w:r/>
            <w:r>
              <w:rPr>
                <w:rFonts w:ascii="Aptos" w:hAnsi="Aptos" w:eastAsia="Aptos"/>
                <w:b/>
                <w:color w:val="172B44"/>
                <w:sz w:val="17"/>
              </w:rPr>
              <w:t>3</w:t>
            </w:r>
          </w:p>
        </w:tc>
        <w:tc>
          <w:tcPr>
            <w:tcW w:type="dxa" w:w="2131"/>
            <w:vAlign w:val="center"/>
          </w:tcPr>
          <w:p>
            <w:pPr>
              <w:spacing w:after="20" w:before="20"/>
            </w:pPr>
            <w:r/>
            <w:r>
              <w:rPr>
                <w:rFonts w:ascii="Aptos" w:hAnsi="Aptos" w:eastAsia="Aptos"/>
                <w:b w:val="0"/>
                <w:color w:val="172B44"/>
                <w:sz w:val="17"/>
              </w:rPr>
              <w:t>MA20</w:t>
            </w:r>
          </w:p>
        </w:tc>
        <w:tc>
          <w:tcPr>
            <w:tcW w:type="dxa" w:w="6307"/>
            <w:vAlign w:val="center"/>
          </w:tcPr>
          <w:p>
            <w:pPr>
              <w:spacing w:after="20" w:before="20"/>
            </w:pPr>
            <w:r/>
            <w:r>
              <w:rPr>
                <w:rFonts w:ascii="Aptos" w:hAnsi="Aptos" w:eastAsia="Aptos"/>
                <w:b w:val="0"/>
                <w:color w:val="172B44"/>
                <w:sz w:val="17"/>
              </w:rPr>
              <w:t>Trung bình 20 phiên (đã chuẩn hóa)</w:t>
            </w:r>
          </w:p>
        </w:tc>
      </w:tr>
      <w:tr>
        <w:tc>
          <w:tcPr>
            <w:tcW w:type="dxa" w:w="1195"/>
            <w:vAlign w:val="center"/>
            <w:shd w:fill="F0F5FA"/>
          </w:tcPr>
          <w:p>
            <w:pPr>
              <w:spacing w:after="20" w:before="20"/>
            </w:pPr>
            <w:r/>
            <w:r>
              <w:rPr>
                <w:rFonts w:ascii="Aptos" w:hAnsi="Aptos" w:eastAsia="Aptos"/>
                <w:b/>
                <w:color w:val="172B44"/>
                <w:sz w:val="17"/>
              </w:rPr>
              <w:t>4</w:t>
            </w:r>
          </w:p>
        </w:tc>
        <w:tc>
          <w:tcPr>
            <w:tcW w:type="dxa" w:w="2131"/>
            <w:vAlign w:val="center"/>
            <w:shd w:fill="F0F5FA"/>
          </w:tcPr>
          <w:p>
            <w:pPr>
              <w:spacing w:after="20" w:before="20"/>
            </w:pPr>
            <w:r/>
            <w:r>
              <w:rPr>
                <w:rFonts w:ascii="Aptos" w:hAnsi="Aptos" w:eastAsia="Aptos"/>
                <w:b w:val="0"/>
                <w:color w:val="172B44"/>
                <w:sz w:val="17"/>
              </w:rPr>
              <w:t>MA30</w:t>
            </w:r>
          </w:p>
        </w:tc>
        <w:tc>
          <w:tcPr>
            <w:tcW w:type="dxa" w:w="6307"/>
            <w:vAlign w:val="center"/>
            <w:shd w:fill="F0F5FA"/>
          </w:tcPr>
          <w:p>
            <w:pPr>
              <w:spacing w:after="20" w:before="20"/>
            </w:pPr>
            <w:r/>
            <w:r>
              <w:rPr>
                <w:rFonts w:ascii="Aptos" w:hAnsi="Aptos" w:eastAsia="Aptos"/>
                <w:b w:val="0"/>
                <w:color w:val="172B44"/>
                <w:sz w:val="17"/>
              </w:rPr>
              <w:t>Trung bình 30 phiên (đã chuẩn hóa)</w:t>
            </w:r>
          </w:p>
        </w:tc>
      </w:tr>
      <w:tr>
        <w:tc>
          <w:tcPr>
            <w:tcW w:type="dxa" w:w="1195"/>
            <w:vAlign w:val="center"/>
          </w:tcPr>
          <w:p>
            <w:pPr>
              <w:spacing w:after="20" w:before="20"/>
            </w:pPr>
            <w:r/>
            <w:r>
              <w:rPr>
                <w:rFonts w:ascii="Aptos" w:hAnsi="Aptos" w:eastAsia="Aptos"/>
                <w:b/>
                <w:color w:val="172B44"/>
                <w:sz w:val="17"/>
              </w:rPr>
              <w:t>5</w:t>
            </w:r>
          </w:p>
        </w:tc>
        <w:tc>
          <w:tcPr>
            <w:tcW w:type="dxa" w:w="2131"/>
            <w:vAlign w:val="center"/>
          </w:tcPr>
          <w:p>
            <w:pPr>
              <w:spacing w:after="20" w:before="20"/>
            </w:pPr>
            <w:r/>
            <w:r>
              <w:rPr>
                <w:rFonts w:ascii="Aptos" w:hAnsi="Aptos" w:eastAsia="Aptos"/>
                <w:b w:val="0"/>
                <w:color w:val="172B44"/>
                <w:sz w:val="17"/>
              </w:rPr>
              <w:t>Close</w:t>
            </w:r>
          </w:p>
        </w:tc>
        <w:tc>
          <w:tcPr>
            <w:tcW w:type="dxa" w:w="6307"/>
            <w:vAlign w:val="center"/>
          </w:tcPr>
          <w:p>
            <w:pPr>
              <w:spacing w:after="20" w:before="20"/>
            </w:pPr>
            <w:r/>
            <w:r>
              <w:rPr>
                <w:rFonts w:ascii="Aptos" w:hAnsi="Aptos" w:eastAsia="Aptos"/>
                <w:b w:val="0"/>
                <w:color w:val="172B44"/>
                <w:sz w:val="17"/>
              </w:rPr>
              <w:t>Giá đóng cửa phiên hiện tại (đã chuẩn hóa)</w:t>
            </w:r>
          </w:p>
        </w:tc>
      </w:tr>
    </w:tbl>
    <w:p>
      <w:pPr>
        <w:spacing w:after="20"/>
      </w:pPr>
    </w:p>
    <w:p>
      <w:pPr>
        <w:pStyle w:val="Heading2"/>
      </w:pPr>
      <w:r>
        <w:t>Chuẩn hóa giá: đọc số thập phân thế nào?</w:t>
      </w:r>
    </w:p>
    <w:p>
      <w:r>
        <w:rPr>
          <w:rFonts w:ascii="Aptos" w:hAnsi="Aptos" w:eastAsia="Aptos"/>
          <w:sz w:val="20"/>
        </w:rPr>
        <w:t>Các cột MA và Close được chia cho giá đóng cửa lớn nhất của chính cổ phiếu đó trong giai đoạn chuẩn hóa: Close_norm(t) = Close(t) / Max_Close. Ví dụ Close_norm = 0,54, nếu Max_Close = 200 USD thì Close(t) = 108 USD. Nhưng nếu không có Max_Close gốc, không suy ra số USD thực.</w:t>
      </w:r>
    </w:p>
    <w:p>
      <w:r>
        <w:rPr>
          <w:rFonts w:ascii="Aptos" w:hAnsi="Aptos" w:eastAsia="Aptos"/>
          <w:b/>
          <w:sz w:val="20"/>
        </w:rPr>
        <w:t xml:space="preserve">Ví dụ 1 dòng CSV: </w:t>
      </w:r>
      <w:r>
        <w:rPr>
          <w:rFonts w:ascii="Aptos" w:hAnsi="Aptos" w:eastAsia="Aptos"/>
          <w:b w:val="0"/>
          <w:sz w:val="20"/>
        </w:rPr>
        <w:t>100, 0.52, 0.50, 0.48, 0.46, 0.54  →  phiên 100; MA5=0.52; MA10=0.50; MA20=0.48; MA30=0.46; Close=0.54. Đây là số minh họa.</w:t>
      </w:r>
    </w:p>
    <w:p>
      <w:pPr>
        <w:pStyle w:val="Heading2"/>
      </w:pPr>
      <w:r>
        <w:t>Dữ liệu thiếu &amp; nhãn dự báo</w:t>
      </w:r>
    </w:p>
    <w:p>
      <w:pPr>
        <w:pStyle w:val="ListBullet"/>
        <w:ind w:left="360"/>
      </w:pPr>
      <w:r>
        <w:rPr>
          <w:rFonts w:ascii="Aptos" w:hAnsi="Aptos" w:eastAsia="Aptos"/>
          <w:sz w:val="19"/>
        </w:rPr>
        <w:t>Giá trị -1234 biểu diễn dữ liệu thiếu: chuyển thành NaN trước khi tính trung bình, correlation, return hoặc vẽ biểu đồ.</w:t>
      </w:r>
    </w:p>
    <w:p>
      <w:pPr>
        <w:pStyle w:val="ListBullet"/>
        <w:ind w:left="360"/>
      </w:pPr>
      <w:r>
        <w:rPr>
          <w:rFonts w:ascii="Aptos" w:hAnsi="Aptos" w:eastAsia="Aptos"/>
          <w:sz w:val="19"/>
        </w:rPr>
        <w:t>Các file đầu vào không có sẵn nhãn tăng/giảm; có thể sinh nhãn từ Close: return ngày sau = Close(t+1) / Close(t) − 1.</w:t>
      </w:r>
    </w:p>
    <w:p>
      <w:pPr>
        <w:pStyle w:val="ListBullet"/>
        <w:ind w:left="360"/>
      </w:pPr>
      <w:r>
        <w:rPr>
          <w:rFonts w:ascii="Aptos" w:hAnsi="Aptos" w:eastAsia="Aptos"/>
          <w:sz w:val="19"/>
        </w:rPr>
        <w:t>Không tính return qua các phiên thiếu hoặc khi mẫu số bằng 0; không xáo trộn ngẫu nhiên thời gian khi chia train/test.</w:t>
      </w:r>
    </w:p>
    <w:p>
      <w:pPr>
        <w:pStyle w:val="Heading2"/>
      </w:pPr>
      <w:r>
        <w:t>Nên rút ra thông tin gì từ EDA?</w:t>
      </w:r>
    </w:p>
    <w:p>
      <w:r>
        <w:rPr>
          <w:rFonts w:ascii="Aptos" w:hAnsi="Aptos" w:eastAsia="Aptos"/>
          <w:sz w:val="20"/>
        </w:rPr>
        <w:t>So sánh phân phối MA/Close; kiểm tra % dữ liệu thiếu theo mã và phiên; xem Close nằm trên hay dưới MA; đo biến động return, tỷ lệ tăng/giảm, tương quan và mức thay đổi phân phối giữa giai đoạn train–test.</w:t>
      </w:r>
    </w:p>
    <w:p>
      <w:r>
        <w:br w:type="page"/>
      </w:r>
    </w:p>
    <w:p>
      <w:pPr>
        <w:pStyle w:val="Heading1"/>
      </w:pPr>
      <w:r>
        <w:t>4. S&amp;P 500 — Vì sao các kênh không có tên?</w:t>
      </w:r>
    </w:p>
    <w:p>
      <w:r>
        <w:rPr>
          <w:rFonts w:ascii="Aptos" w:hAnsi="Aptos" w:eastAsia="Aptos"/>
          <w:sz w:val="20"/>
        </w:rPr>
        <w:t>Trong StockMixer, SP500.npy là tensor 3 chiều với cấu trúc (số cổ phiếu, số phiên, số đặc trưng). Khi xuất CSV, mỗi kênh thường được đánh số feature_0, feature_1…; đây không phải dữ liệu bị mất header mà là định dạng lưu trữ đã qua xử lý.</w:t>
      </w:r>
    </w:p>
    <w:tbl>
      <w:tblPr>
        <w:tblStyle w:val="TableGrid"/>
        <w:tblW w:type="auto" w:w="0"/>
        <w:jc w:val="center"/>
        <w:tblLook w:firstColumn="1" w:firstRow="1" w:lastColumn="0" w:lastRow="0" w:noHBand="0" w:noVBand="1" w:val="04A0"/>
      </w:tblPr>
      <w:tblGrid>
        <w:gridCol w:w="3221"/>
        <w:gridCol w:w="3221"/>
        <w:gridCol w:w="3221"/>
      </w:tblGrid>
      <w:tr>
        <w:tc>
          <w:tcPr>
            <w:tcW w:type="dxa" w:w="2246"/>
            <w:vAlign w:val="center"/>
            <w:shd w:fill="183451"/>
          </w:tcPr>
          <w:p>
            <w:pPr>
              <w:spacing w:before="20" w:after="20"/>
            </w:pPr>
            <w:r/>
            <w:r>
              <w:rPr>
                <w:rFonts w:ascii="Aptos" w:hAnsi="Aptos" w:eastAsia="Aptos"/>
                <w:b/>
                <w:color w:val="FFFFFF"/>
                <w:sz w:val="17"/>
              </w:rPr>
              <w:t>Thành phần</w:t>
            </w:r>
          </w:p>
        </w:tc>
        <w:tc>
          <w:tcPr>
            <w:tcW w:type="dxa" w:w="4622"/>
            <w:vAlign w:val="center"/>
            <w:shd w:fill="183451"/>
          </w:tcPr>
          <w:p>
            <w:pPr>
              <w:spacing w:before="20" w:after="20"/>
            </w:pPr>
            <w:r/>
            <w:r>
              <w:rPr>
                <w:rFonts w:ascii="Aptos" w:hAnsi="Aptos" w:eastAsia="Aptos"/>
                <w:b/>
                <w:color w:val="FFFFFF"/>
                <w:sz w:val="17"/>
              </w:rPr>
              <w:t>Diễn giải</w:t>
            </w:r>
          </w:p>
        </w:tc>
        <w:tc>
          <w:tcPr>
            <w:tcW w:type="dxa" w:w="2765"/>
            <w:vAlign w:val="center"/>
            <w:shd w:fill="183451"/>
          </w:tcPr>
          <w:p>
            <w:pPr>
              <w:spacing w:before="20" w:after="20"/>
            </w:pPr>
            <w:r/>
            <w:r>
              <w:rPr>
                <w:rFonts w:ascii="Aptos" w:hAnsi="Aptos" w:eastAsia="Aptos"/>
                <w:b/>
                <w:color w:val="FFFFFF"/>
                <w:sz w:val="17"/>
              </w:rPr>
              <w:t>Mức chắc chắn</w:t>
            </w:r>
          </w:p>
        </w:tc>
      </w:tr>
      <w:tr>
        <w:tc>
          <w:tcPr>
            <w:tcW w:type="dxa" w:w="2246"/>
            <w:vAlign w:val="center"/>
            <w:shd w:fill="F0F5FA"/>
          </w:tcPr>
          <w:p>
            <w:pPr>
              <w:spacing w:after="20" w:before="20"/>
            </w:pPr>
            <w:r/>
            <w:r>
              <w:rPr>
                <w:rFonts w:ascii="Aptos" w:hAnsi="Aptos" w:eastAsia="Aptos"/>
                <w:b/>
                <w:color w:val="172B44"/>
                <w:sz w:val="17"/>
              </w:rPr>
              <w:t>SP500.npy</w:t>
            </w:r>
          </w:p>
        </w:tc>
        <w:tc>
          <w:tcPr>
            <w:tcW w:type="dxa" w:w="4622"/>
            <w:vAlign w:val="center"/>
            <w:shd w:fill="F0F5FA"/>
          </w:tcPr>
          <w:p>
            <w:pPr>
              <w:spacing w:after="20" w:before="20"/>
            </w:pPr>
            <w:r/>
            <w:r>
              <w:rPr>
                <w:rFonts w:ascii="Aptos" w:hAnsi="Aptos" w:eastAsia="Aptos"/>
                <w:b w:val="0"/>
                <w:color w:val="172B44"/>
                <w:sz w:val="17"/>
              </w:rPr>
              <w:t>Đầu vào mô hình chứa chuỗi nhiều cổ phiếu và nhiều phiên</w:t>
            </w:r>
          </w:p>
        </w:tc>
        <w:tc>
          <w:tcPr>
            <w:tcW w:type="dxa" w:w="2765"/>
            <w:vAlign w:val="center"/>
            <w:shd w:fill="F0F5FA"/>
          </w:tcPr>
          <w:p>
            <w:pPr>
              <w:spacing w:after="20" w:before="20"/>
            </w:pPr>
            <w:r/>
            <w:r>
              <w:rPr>
                <w:rFonts w:ascii="Aptos" w:hAnsi="Aptos" w:eastAsia="Aptos"/>
                <w:b w:val="0"/>
                <w:color w:val="172B44"/>
                <w:sz w:val="17"/>
              </w:rPr>
              <w:t>Xác định từ code StockMixer</w:t>
            </w:r>
          </w:p>
        </w:tc>
      </w:tr>
      <w:tr>
        <w:tc>
          <w:tcPr>
            <w:tcW w:type="dxa" w:w="2246"/>
            <w:vAlign w:val="center"/>
          </w:tcPr>
          <w:p>
            <w:pPr>
              <w:spacing w:after="20" w:before="20"/>
            </w:pPr>
            <w:r/>
            <w:r>
              <w:rPr>
                <w:rFonts w:ascii="Aptos" w:hAnsi="Aptos" w:eastAsia="Aptos"/>
                <w:b/>
                <w:color w:val="172B44"/>
                <w:sz w:val="17"/>
              </w:rPr>
              <w:t>Kênh cuối: [-1]</w:t>
            </w:r>
          </w:p>
        </w:tc>
        <w:tc>
          <w:tcPr>
            <w:tcW w:type="dxa" w:w="4622"/>
            <w:vAlign w:val="center"/>
          </w:tcPr>
          <w:p>
            <w:pPr>
              <w:spacing w:after="20" w:before="20"/>
            </w:pPr>
            <w:r/>
            <w:r>
              <w:rPr>
                <w:rFonts w:ascii="Aptos" w:hAnsi="Aptos" w:eastAsia="Aptos"/>
                <w:b w:val="0"/>
                <w:color w:val="172B44"/>
                <w:sz w:val="17"/>
              </w:rPr>
              <w:t>Được StockMixer dùng làm price_data và để tính return</w:t>
            </w:r>
          </w:p>
        </w:tc>
        <w:tc>
          <w:tcPr>
            <w:tcW w:type="dxa" w:w="2765"/>
            <w:vAlign w:val="center"/>
          </w:tcPr>
          <w:p>
            <w:pPr>
              <w:spacing w:after="20" w:before="20"/>
            </w:pPr>
            <w:r/>
            <w:r>
              <w:rPr>
                <w:rFonts w:ascii="Aptos" w:hAnsi="Aptos" w:eastAsia="Aptos"/>
                <w:b w:val="0"/>
                <w:color w:val="172B44"/>
                <w:sz w:val="17"/>
              </w:rPr>
              <w:t>Xác định từ train.py</w:t>
            </w:r>
          </w:p>
        </w:tc>
      </w:tr>
      <w:tr>
        <w:tc>
          <w:tcPr>
            <w:tcW w:type="dxa" w:w="2246"/>
            <w:vAlign w:val="center"/>
            <w:shd w:fill="F0F5FA"/>
          </w:tcPr>
          <w:p>
            <w:pPr>
              <w:spacing w:after="20" w:before="20"/>
            </w:pPr>
            <w:r/>
            <w:r>
              <w:rPr>
                <w:rFonts w:ascii="Aptos" w:hAnsi="Aptos" w:eastAsia="Aptos"/>
                <w:b/>
                <w:color w:val="172B44"/>
                <w:sz w:val="17"/>
              </w:rPr>
              <w:t>Các kênh trước</w:t>
            </w:r>
          </w:p>
        </w:tc>
        <w:tc>
          <w:tcPr>
            <w:tcW w:type="dxa" w:w="4622"/>
            <w:vAlign w:val="center"/>
            <w:shd w:fill="F0F5FA"/>
          </w:tcPr>
          <w:p>
            <w:pPr>
              <w:spacing w:after="20" w:before="20"/>
            </w:pPr>
            <w:r/>
            <w:r>
              <w:rPr>
                <w:rFonts w:ascii="Aptos" w:hAnsi="Aptos" w:eastAsia="Aptos"/>
                <w:b w:val="0"/>
                <w:color w:val="172B44"/>
                <w:sz w:val="17"/>
              </w:rPr>
              <w:t>Đặc trưng giá / chỉ báo đã tiền xử lý</w:t>
            </w:r>
          </w:p>
        </w:tc>
        <w:tc>
          <w:tcPr>
            <w:tcW w:type="dxa" w:w="2765"/>
            <w:vAlign w:val="center"/>
            <w:shd w:fill="F0F5FA"/>
          </w:tcPr>
          <w:p>
            <w:pPr>
              <w:spacing w:after="20" w:before="20"/>
            </w:pPr>
            <w:r/>
            <w:r>
              <w:rPr>
                <w:rFonts w:ascii="Aptos" w:hAnsi="Aptos" w:eastAsia="Aptos"/>
                <w:b w:val="0"/>
                <w:color w:val="172B44"/>
                <w:sz w:val="17"/>
              </w:rPr>
              <w:t>Chưa có tên ánh xạ chính thức</w:t>
            </w:r>
          </w:p>
        </w:tc>
      </w:tr>
      <w:tr>
        <w:tc>
          <w:tcPr>
            <w:tcW w:type="dxa" w:w="2246"/>
            <w:vAlign w:val="center"/>
          </w:tcPr>
          <w:p>
            <w:pPr>
              <w:spacing w:after="20" w:before="20"/>
            </w:pPr>
            <w:r/>
            <w:r>
              <w:rPr>
                <w:rFonts w:ascii="Aptos" w:hAnsi="Aptos" w:eastAsia="Aptos"/>
                <w:b/>
                <w:color w:val="172B44"/>
                <w:sz w:val="17"/>
              </w:rPr>
              <w:t>sp500_ticker.csv</w:t>
            </w:r>
          </w:p>
        </w:tc>
        <w:tc>
          <w:tcPr>
            <w:tcW w:type="dxa" w:w="4622"/>
            <w:vAlign w:val="center"/>
          </w:tcPr>
          <w:p>
            <w:pPr>
              <w:spacing w:after="20" w:before="20"/>
            </w:pPr>
            <w:r/>
            <w:r>
              <w:rPr>
                <w:rFonts w:ascii="Aptos" w:hAnsi="Aptos" w:eastAsia="Aptos"/>
                <w:b w:val="0"/>
                <w:color w:val="172B44"/>
                <w:sz w:val="17"/>
              </w:rPr>
              <w:t>Dùng để đối chiếu mã cổ phiếu (nếu tương ứng thứ tự)</w:t>
            </w:r>
          </w:p>
        </w:tc>
        <w:tc>
          <w:tcPr>
            <w:tcW w:type="dxa" w:w="2765"/>
            <w:vAlign w:val="center"/>
          </w:tcPr>
          <w:p>
            <w:pPr>
              <w:spacing w:after="20" w:before="20"/>
            </w:pPr>
            <w:r/>
            <w:r>
              <w:rPr>
                <w:rFonts w:ascii="Aptos" w:hAnsi="Aptos" w:eastAsia="Aptos"/>
                <w:b w:val="0"/>
                <w:color w:val="172B44"/>
                <w:sz w:val="17"/>
              </w:rPr>
              <w:t>Cần kiểm tra số lượng &amp; thứ tự</w:t>
            </w:r>
          </w:p>
        </w:tc>
      </w:tr>
      <w:tr>
        <w:tc>
          <w:tcPr>
            <w:tcW w:type="dxa" w:w="2246"/>
            <w:vAlign w:val="center"/>
            <w:shd w:fill="F0F5FA"/>
          </w:tcPr>
          <w:p>
            <w:pPr>
              <w:spacing w:after="20" w:before="20"/>
            </w:pPr>
            <w:r/>
            <w:r>
              <w:rPr>
                <w:rFonts w:ascii="Aptos" w:hAnsi="Aptos" w:eastAsia="Aptos"/>
                <w:b/>
                <w:color w:val="172B44"/>
                <w:sz w:val="17"/>
              </w:rPr>
              <w:t>baseline_data_sp500</w:t>
            </w:r>
          </w:p>
        </w:tc>
        <w:tc>
          <w:tcPr>
            <w:tcW w:type="dxa" w:w="4622"/>
            <w:vAlign w:val="center"/>
            <w:shd w:fill="F0F5FA"/>
          </w:tcPr>
          <w:p>
            <w:pPr>
              <w:spacing w:after="20" w:before="20"/>
            </w:pPr>
            <w:r/>
            <w:r>
              <w:rPr>
                <w:rFonts w:ascii="Aptos" w:hAnsi="Aptos" w:eastAsia="Aptos"/>
                <w:b w:val="0"/>
                <w:color w:val="172B44"/>
                <w:sz w:val="17"/>
              </w:rPr>
              <w:t>Nếu có bản gốc: thường gặp open, high, low, close, volume, adjclose</w:t>
            </w:r>
          </w:p>
        </w:tc>
        <w:tc>
          <w:tcPr>
            <w:tcW w:type="dxa" w:w="2765"/>
            <w:vAlign w:val="center"/>
            <w:shd w:fill="F0F5FA"/>
          </w:tcPr>
          <w:p>
            <w:pPr>
              <w:spacing w:after="20" w:before="20"/>
            </w:pPr>
            <w:r/>
            <w:r>
              <w:rPr>
                <w:rFonts w:ascii="Aptos" w:hAnsi="Aptos" w:eastAsia="Aptos"/>
                <w:b w:val="0"/>
                <w:color w:val="172B44"/>
                <w:sz w:val="17"/>
              </w:rPr>
              <w:t>Phải kiểm tra header thực tế</w:t>
            </w:r>
          </w:p>
        </w:tc>
      </w:tr>
    </w:tbl>
    <w:p>
      <w:pPr>
        <w:spacing w:after="20"/>
      </w:pPr>
    </w:p>
    <w:p>
      <w:r>
        <w:rPr>
          <w:rFonts w:ascii="Aptos" w:hAnsi="Aptos" w:eastAsia="Aptos"/>
          <w:sz w:val="20"/>
        </w:rPr>
        <w:t>Lưu ý: Không tự đặt feature_0 = Open, feature_1 = High… khi chưa tìm thấy mã tạo SP500.npy. Với baseline, chỉ sử dụng tên OHLCV nếu chúng thực sự hiện diện trong file đó.</w:t>
      </w:r>
    </w:p>
    <w:p>
      <w:pPr>
        <w:pStyle w:val="Heading1"/>
      </w:pPr>
      <w:r>
        <w:t>5. Dùng 3 dataset cho Machine Learning ra sao?</w:t>
      </w:r>
    </w:p>
    <w:tbl>
      <w:tblPr>
        <w:tblStyle w:val="TableGrid"/>
        <w:tblW w:type="auto" w:w="0"/>
        <w:jc w:val="center"/>
        <w:tblLook w:firstColumn="1" w:firstRow="1" w:lastColumn="0" w:lastRow="0" w:noHBand="0" w:noVBand="1" w:val="04A0"/>
      </w:tblPr>
      <w:tblGrid>
        <w:gridCol w:w="4831"/>
        <w:gridCol w:w="4831"/>
      </w:tblGrid>
      <w:tr>
        <w:tc>
          <w:tcPr>
            <w:tcW w:type="dxa" w:w="1613"/>
            <w:vAlign w:val="center"/>
            <w:shd w:fill="183451"/>
          </w:tcPr>
          <w:p>
            <w:pPr>
              <w:spacing w:before="20" w:after="20"/>
            </w:pPr>
            <w:r/>
            <w:r>
              <w:rPr>
                <w:rFonts w:ascii="Aptos" w:hAnsi="Aptos" w:eastAsia="Aptos"/>
                <w:b/>
                <w:color w:val="FFFFFF"/>
                <w:sz w:val="17"/>
              </w:rPr>
              <w:t>Bước</w:t>
            </w:r>
          </w:p>
        </w:tc>
        <w:tc>
          <w:tcPr>
            <w:tcW w:type="dxa" w:w="8021"/>
            <w:vAlign w:val="center"/>
            <w:shd w:fill="183451"/>
          </w:tcPr>
          <w:p>
            <w:pPr>
              <w:spacing w:before="20" w:after="20"/>
            </w:pPr>
            <w:r/>
            <w:r>
              <w:rPr>
                <w:rFonts w:ascii="Aptos" w:hAnsi="Aptos" w:eastAsia="Aptos"/>
                <w:b/>
                <w:color w:val="FFFFFF"/>
                <w:sz w:val="17"/>
              </w:rPr>
              <w:t>Việc nên làm</w:t>
            </w:r>
          </w:p>
        </w:tc>
      </w:tr>
      <w:tr>
        <w:tc>
          <w:tcPr>
            <w:tcW w:type="dxa" w:w="1613"/>
            <w:vAlign w:val="center"/>
            <w:shd w:fill="F0F5FA"/>
          </w:tcPr>
          <w:p>
            <w:pPr>
              <w:spacing w:after="20" w:before="20"/>
            </w:pPr>
            <w:r/>
            <w:r>
              <w:rPr>
                <w:rFonts w:ascii="Aptos" w:hAnsi="Aptos" w:eastAsia="Aptos"/>
                <w:b/>
                <w:color w:val="172B44"/>
                <w:sz w:val="17"/>
              </w:rPr>
              <w:t>1. Đọc đúng</w:t>
            </w:r>
          </w:p>
        </w:tc>
        <w:tc>
          <w:tcPr>
            <w:tcW w:type="dxa" w:w="8021"/>
            <w:vAlign w:val="center"/>
            <w:shd w:fill="F0F5FA"/>
          </w:tcPr>
          <w:p>
            <w:pPr>
              <w:spacing w:after="20" w:before="20"/>
            </w:pPr>
            <w:r/>
            <w:r>
              <w:rPr>
                <w:rFonts w:ascii="Aptos" w:hAnsi="Aptos" w:eastAsia="Aptos"/>
                <w:b w:val="0"/>
                <w:color w:val="172B44"/>
                <w:sz w:val="17"/>
              </w:rPr>
              <w:t>header=None cho NASDAQ/NYSE; kiểm tra shape của SP500.npy</w:t>
            </w:r>
          </w:p>
        </w:tc>
      </w:tr>
      <w:tr>
        <w:tc>
          <w:tcPr>
            <w:tcW w:type="dxa" w:w="1613"/>
            <w:vAlign w:val="center"/>
          </w:tcPr>
          <w:p>
            <w:pPr>
              <w:spacing w:after="20" w:before="20"/>
            </w:pPr>
            <w:r/>
            <w:r>
              <w:rPr>
                <w:rFonts w:ascii="Aptos" w:hAnsi="Aptos" w:eastAsia="Aptos"/>
                <w:b/>
                <w:color w:val="172B44"/>
                <w:sz w:val="17"/>
              </w:rPr>
              <w:t>2. Làm sạch</w:t>
            </w:r>
          </w:p>
        </w:tc>
        <w:tc>
          <w:tcPr>
            <w:tcW w:type="dxa" w:w="8021"/>
            <w:vAlign w:val="center"/>
          </w:tcPr>
          <w:p>
            <w:pPr>
              <w:spacing w:after="20" w:before="20"/>
            </w:pPr>
            <w:r/>
            <w:r>
              <w:rPr>
                <w:rFonts w:ascii="Aptos" w:hAnsi="Aptos" w:eastAsia="Aptos"/>
                <w:b w:val="0"/>
                <w:color w:val="172B44"/>
                <w:sz w:val="17"/>
              </w:rPr>
              <w:t>Giữ thứ tự phiên; xử lý -1234 ở NASDAQ/NYSE; kiểm tra NaN/Inf và dữ liệu trùng</w:t>
            </w:r>
          </w:p>
        </w:tc>
      </w:tr>
      <w:tr>
        <w:tc>
          <w:tcPr>
            <w:tcW w:type="dxa" w:w="1613"/>
            <w:vAlign w:val="center"/>
            <w:shd w:fill="F0F5FA"/>
          </w:tcPr>
          <w:p>
            <w:pPr>
              <w:spacing w:after="20" w:before="20"/>
            </w:pPr>
            <w:r/>
            <w:r>
              <w:rPr>
                <w:rFonts w:ascii="Aptos" w:hAnsi="Aptos" w:eastAsia="Aptos"/>
                <w:b/>
                <w:color w:val="172B44"/>
                <w:sz w:val="17"/>
              </w:rPr>
              <w:t>3. Tạo nhãn</w:t>
            </w:r>
          </w:p>
        </w:tc>
        <w:tc>
          <w:tcPr>
            <w:tcW w:type="dxa" w:w="8021"/>
            <w:vAlign w:val="center"/>
            <w:shd w:fill="F0F5FA"/>
          </w:tcPr>
          <w:p>
            <w:pPr>
              <w:spacing w:after="20" w:before="20"/>
            </w:pPr>
            <w:r/>
            <w:r>
              <w:rPr>
                <w:rFonts w:ascii="Aptos" w:hAnsi="Aptos" w:eastAsia="Aptos"/>
                <w:b w:val="0"/>
                <w:color w:val="172B44"/>
                <w:sz w:val="17"/>
              </w:rPr>
              <w:t>return(t→t+1) hoặc direction(t→t+1); lệch nhãn đúng 1 phiên</w:t>
            </w:r>
          </w:p>
        </w:tc>
      </w:tr>
      <w:tr>
        <w:tc>
          <w:tcPr>
            <w:tcW w:type="dxa" w:w="1613"/>
            <w:vAlign w:val="center"/>
          </w:tcPr>
          <w:p>
            <w:pPr>
              <w:spacing w:after="20" w:before="20"/>
            </w:pPr>
            <w:r/>
            <w:r>
              <w:rPr>
                <w:rFonts w:ascii="Aptos" w:hAnsi="Aptos" w:eastAsia="Aptos"/>
                <w:b/>
                <w:color w:val="172B44"/>
                <w:sz w:val="17"/>
              </w:rPr>
              <w:t>4. Chia tập</w:t>
            </w:r>
          </w:p>
        </w:tc>
        <w:tc>
          <w:tcPr>
            <w:tcW w:type="dxa" w:w="8021"/>
            <w:vAlign w:val="center"/>
          </w:tcPr>
          <w:p>
            <w:pPr>
              <w:spacing w:after="20" w:before="20"/>
            </w:pPr>
            <w:r/>
            <w:r>
              <w:rPr>
                <w:rFonts w:ascii="Aptos" w:hAnsi="Aptos" w:eastAsia="Aptos"/>
                <w:b w:val="0"/>
                <w:color w:val="172B44"/>
                <w:sz w:val="17"/>
              </w:rPr>
              <w:t>Chia theo thời gian, không random toàn bộ các dòng</w:t>
            </w:r>
          </w:p>
        </w:tc>
      </w:tr>
      <w:tr>
        <w:tc>
          <w:tcPr>
            <w:tcW w:type="dxa" w:w="1613"/>
            <w:vAlign w:val="center"/>
            <w:shd w:fill="F0F5FA"/>
          </w:tcPr>
          <w:p>
            <w:pPr>
              <w:spacing w:after="20" w:before="20"/>
            </w:pPr>
            <w:r/>
            <w:r>
              <w:rPr>
                <w:rFonts w:ascii="Aptos" w:hAnsi="Aptos" w:eastAsia="Aptos"/>
                <w:b/>
                <w:color w:val="172B44"/>
                <w:sz w:val="17"/>
              </w:rPr>
              <w:t>5. So sánh</w:t>
            </w:r>
          </w:p>
        </w:tc>
        <w:tc>
          <w:tcPr>
            <w:tcW w:type="dxa" w:w="8021"/>
            <w:vAlign w:val="center"/>
            <w:shd w:fill="F0F5FA"/>
          </w:tcPr>
          <w:p>
            <w:pPr>
              <w:spacing w:after="20" w:before="20"/>
            </w:pPr>
            <w:r/>
            <w:r>
              <w:rPr>
                <w:rFonts w:ascii="Aptos" w:hAnsi="Aptos" w:eastAsia="Aptos"/>
                <w:b w:val="0"/>
                <w:color w:val="172B44"/>
                <w:sz w:val="17"/>
              </w:rPr>
              <w:t>Dùng return/volatility thay vì so trực tiếp Close_norm giữa các thị trường</w:t>
            </w:r>
          </w:p>
        </w:tc>
      </w:tr>
    </w:tbl>
    <w:p>
      <w:pPr>
        <w:spacing w:after="20"/>
      </w:pPr>
    </w:p>
    <w:p>
      <w:pPr>
        <w:pStyle w:val="Heading2"/>
      </w:pPr>
      <w:r>
        <w:t>Tóm tắt 30 giây</w:t>
      </w:r>
    </w:p>
    <w:p>
      <w:r>
        <w:rPr>
          <w:rFonts w:ascii="Aptos" w:hAnsi="Aptos" w:eastAsia="Aptos"/>
          <w:b/>
          <w:sz w:val="20"/>
        </w:rPr>
        <w:t xml:space="preserve">NASDAQ &amp; NYSE: </w:t>
      </w:r>
      <w:r>
        <w:rPr>
          <w:rFonts w:ascii="Aptos" w:hAnsi="Aptos" w:eastAsia="Aptos"/>
          <w:b w:val="0"/>
          <w:sz w:val="20"/>
        </w:rPr>
        <w:t xml:space="preserve">6 cột CSV; 1 cột index + 5 cột giá/MA chuẩn hóa; -1234 nghĩa là thiếu. </w:t>
      </w:r>
      <w:r>
        <w:rPr>
          <w:rFonts w:ascii="Aptos" w:hAnsi="Aptos" w:eastAsia="Aptos"/>
          <w:b/>
          <w:sz w:val="20"/>
        </w:rPr>
        <w:t xml:space="preserve">S&amp;P 500: </w:t>
      </w:r>
      <w:r>
        <w:rPr>
          <w:rFonts w:ascii="Aptos" w:hAnsi="Aptos" w:eastAsia="Aptos"/>
          <w:b w:val="0"/>
          <w:sz w:val="20"/>
        </w:rPr>
        <w:t xml:space="preserve">tensor nhiều cổ phiếu × phiên × feature, kênh cuối được tác giả dùng như giá, các kênh còn lại chưa nên gán tên khi thiếu nguồn ánh xạ. </w:t>
      </w:r>
    </w:p>
    <w:p>
      <w:pPr>
        <w:pStyle w:val="Heading2"/>
      </w:pPr>
      <w:r>
        <w:t>Tài liệu gốc để đối chiếu</w:t>
      </w:r>
    </w:p>
    <w:p>
      <w:pPr>
        <w:pStyle w:val="Smaller"/>
        <w:spacing w:after="20"/>
      </w:pPr>
      <w:r>
        <w:rPr>
          <w:rFonts w:ascii="Aptos" w:hAnsi="Aptos" w:eastAsia="Aptos"/>
          <w:color w:val="1A5B99"/>
          <w:sz w:val="14"/>
        </w:rPr>
        <w:t>https://github.com/fulifeng/Temporal_Relational_Stock_Ranking/blob/master/preprocess/eod.py</w:t>
      </w:r>
    </w:p>
    <w:p>
      <w:pPr>
        <w:pStyle w:val="Smaller"/>
        <w:spacing w:after="20"/>
      </w:pPr>
      <w:r>
        <w:rPr>
          <w:rFonts w:ascii="Aptos" w:hAnsi="Aptos" w:eastAsia="Aptos"/>
          <w:color w:val="1A5B99"/>
          <w:sz w:val="14"/>
        </w:rPr>
        <w:t>https://github.com/SJTU-DMTai/StockMixer/blob/master/src/load_data.py</w:t>
      </w:r>
    </w:p>
    <w:p>
      <w:pPr>
        <w:pStyle w:val="Smaller"/>
        <w:spacing w:after="20"/>
      </w:pPr>
      <w:r>
        <w:rPr>
          <w:rFonts w:ascii="Aptos" w:hAnsi="Aptos" w:eastAsia="Aptos"/>
          <w:color w:val="1A5B99"/>
          <w:sz w:val="14"/>
        </w:rPr>
        <w:t>https://github.com/SJTU-DMTai/StockMixer/blob/master/src/train.py</w:t>
      </w:r>
    </w:p>
    <w:p>
      <w:pPr>
        <w:pStyle w:val="Smaller"/>
        <w:spacing w:after="20"/>
      </w:pPr>
      <w:r>
        <w:rPr>
          <w:rFonts w:ascii="Aptos" w:hAnsi="Aptos" w:eastAsia="Aptos"/>
          <w:color w:val="1A5B99"/>
          <w:sz w:val="14"/>
        </w:rPr>
        <w:t>https://github.com/SJTU-DMTai/StockMixer</w:t>
      </w:r>
    </w:p>
    <w:sectPr w:rsidR="00FC693F" w:rsidRPr="0006063C" w:rsidSect="00034616">
      <w:headerReference w:type="default" r:id="rId9"/>
      <w:footerReference w:type="default" r:id="rId10"/>
      <w:pgSz w:w="11909" w:h="16834"/>
      <w:pgMar w:top="1051" w:right="1123" w:bottom="1008"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626F7E"/>
        <w:sz w:val="16"/>
      </w:rPr>
      <w:t xml:space="preserve">NASDAQ · NYSE · S&amp;P 500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626F7E"/>
        <w:sz w:val="16"/>
      </w:rPr>
      <w:t>PTDLKD  /  DATASET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color w:val="172B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w:hAnsi="Aptos"/>
      <w:b/>
      <w:bCs/>
      <w:color w:val="1A5B99"/>
      <w:sz w:val="25"/>
      <w:szCs w:val="28"/>
    </w:rPr>
  </w:style>
  <w:style w:type="paragraph" w:styleId="Heading2">
    <w:name w:val="heading 2"/>
    <w:basedOn w:val="Normal"/>
    <w:next w:val="Normal"/>
    <w:link w:val="Heading2Char"/>
    <w:uiPriority w:val="9"/>
    <w:unhideWhenUsed/>
    <w:qFormat/>
    <w:rsid w:val="00FC693F"/>
    <w:pPr>
      <w:keepNext/>
      <w:keepLines/>
      <w:spacing w:before="80" w:after="80"/>
      <w:outlineLvl w:val="1"/>
    </w:pPr>
    <w:rPr>
      <w:rFonts w:asciiTheme="majorHAnsi" w:eastAsiaTheme="majorEastAsia" w:hAnsiTheme="majorHAnsi" w:cstheme="majorBidi" w:ascii="Aptos" w:hAnsi="Aptos"/>
      <w:b/>
      <w:bCs/>
      <w:color w:val="172B44"/>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172B4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er">
    <w:name w:val="Smaller"/>
    <w:basedOn w:val="Normal"/>
    <w:pPr>
      <w:spacing w:after="80"/>
    </w:pPr>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Giải thích ngắn gọn 3 dataset NASDAQ, NYSE, S&amp;P 500</dc:title>
  <dc:subject>Data dictionary, các trường không header, EDA</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