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F4" w:rsidRPr="0010061F" w:rsidRDefault="007840F4" w:rsidP="007840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061F">
        <w:rPr>
          <w:rFonts w:ascii="Times New Roman" w:hAnsi="Times New Roman" w:cs="Times New Roman"/>
          <w:b/>
          <w:sz w:val="24"/>
          <w:szCs w:val="24"/>
        </w:rPr>
        <w:t>APPENDIX S1</w:t>
      </w:r>
      <w:r w:rsidRPr="0010061F">
        <w:rPr>
          <w:rFonts w:ascii="Times New Roman" w:hAnsi="Times New Roman" w:cs="Times New Roman"/>
          <w:sz w:val="24"/>
          <w:szCs w:val="24"/>
        </w:rPr>
        <w:t xml:space="preserve">. Type I error rates of population- and individual-based methods when using the uniform selection surface (selection absent).  Type I error rates are reported at 50 and 500 generations, and refer to the proportion of replicates where neutral loci were identified as under selection at the 95% and 99% confidence interval levels (LOSITAN, GLM, Samβada) and with FDR q value thresholds &lt; 0.05 and 0.01(BayeScan), which are analogues of </w:t>
      </w:r>
      <w:r w:rsidRPr="0010061F">
        <w:rPr>
          <w:rFonts w:ascii="Times New Roman" w:hAnsi="Times New Roman" w:cs="Times New Roman"/>
          <w:i/>
          <w:sz w:val="24"/>
          <w:szCs w:val="24"/>
        </w:rPr>
        <w:t>P</w:t>
      </w:r>
      <w:r w:rsidRPr="0010061F">
        <w:rPr>
          <w:rFonts w:ascii="Times New Roman" w:hAnsi="Times New Roman" w:cs="Times New Roman"/>
          <w:sz w:val="24"/>
          <w:szCs w:val="24"/>
        </w:rPr>
        <w:t xml:space="preserve">-values (displayed under 95% and 99% columns).  </w:t>
      </w:r>
    </w:p>
    <w:p w:rsidR="007840F4" w:rsidRPr="0010061F" w:rsidRDefault="007840F4" w:rsidP="007840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63"/>
        <w:gridCol w:w="379"/>
        <w:gridCol w:w="363"/>
        <w:gridCol w:w="1005"/>
        <w:gridCol w:w="851"/>
        <w:gridCol w:w="851"/>
        <w:gridCol w:w="898"/>
        <w:gridCol w:w="898"/>
        <w:gridCol w:w="874"/>
        <w:gridCol w:w="874"/>
      </w:tblGrid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Selection surface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, high drift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, low drift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, high drift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0061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m</w:t>
            </w: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, low drift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LOSITAN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BayeScan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Samβada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GLM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40F4" w:rsidRPr="0010061F" w:rsidTr="000777C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840F4" w:rsidRPr="0010061F" w:rsidRDefault="007840F4" w:rsidP="007840F4">
      <w:pPr>
        <w:tabs>
          <w:tab w:val="left" w:pos="81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1F">
        <w:rPr>
          <w:rFonts w:ascii="Times New Roman" w:hAnsi="Times New Roman" w:cs="Times New Roman"/>
          <w:sz w:val="24"/>
          <w:szCs w:val="24"/>
        </w:rPr>
        <w:br w:type="page"/>
      </w:r>
      <w:r w:rsidRPr="0010061F">
        <w:rPr>
          <w:rFonts w:ascii="Times New Roman" w:hAnsi="Times New Roman" w:cs="Times New Roman"/>
          <w:b/>
          <w:sz w:val="24"/>
          <w:szCs w:val="24"/>
        </w:rPr>
        <w:lastRenderedPageBreak/>
        <w:t>APPENDIX S2</w:t>
      </w:r>
      <w:r w:rsidRPr="0010061F">
        <w:rPr>
          <w:rFonts w:ascii="Times New Roman" w:hAnsi="Times New Roman" w:cs="Times New Roman"/>
          <w:sz w:val="24"/>
          <w:szCs w:val="24"/>
        </w:rPr>
        <w:t xml:space="preserve">. </w:t>
      </w:r>
      <w:r w:rsidRPr="0010061F">
        <w:rPr>
          <w:rFonts w:ascii="Times New Roman" w:hAnsi="Times New Roman" w:cs="Times New Roman"/>
          <w:i/>
          <w:sz w:val="24"/>
          <w:szCs w:val="24"/>
        </w:rPr>
        <w:t>D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est</w:t>
      </w:r>
      <w:r w:rsidRPr="001006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061F">
        <w:rPr>
          <w:rFonts w:ascii="Times New Roman" w:hAnsi="Times New Roman" w:cs="Times New Roman"/>
          <w:sz w:val="24"/>
          <w:szCs w:val="24"/>
        </w:rPr>
        <w:t>results depicting genetic differentiation for adaptive (selection-driven), neutral and combined loci. The selection gradient surface is shown with (a) selection strong (</w:t>
      </w:r>
      <w:r w:rsidRPr="0010061F">
        <w:rPr>
          <w:rFonts w:ascii="Times New Roman" w:hAnsi="Times New Roman" w:cs="Times New Roman"/>
          <w:i/>
          <w:sz w:val="24"/>
          <w:szCs w:val="24"/>
        </w:rPr>
        <w:t>s</w:t>
      </w:r>
      <w:r w:rsidRPr="0010061F">
        <w:rPr>
          <w:rFonts w:ascii="Times New Roman" w:hAnsi="Times New Roman" w:cs="Times New Roman"/>
          <w:sz w:val="24"/>
          <w:szCs w:val="24"/>
        </w:rPr>
        <w:t xml:space="preserve"> = 0.5) and (b) weak (</w:t>
      </w:r>
      <w:r w:rsidRPr="0010061F">
        <w:rPr>
          <w:rFonts w:ascii="Times New Roman" w:hAnsi="Times New Roman" w:cs="Times New Roman"/>
          <w:i/>
          <w:sz w:val="24"/>
          <w:szCs w:val="24"/>
        </w:rPr>
        <w:t>s</w:t>
      </w:r>
      <w:r w:rsidRPr="0010061F">
        <w:rPr>
          <w:rFonts w:ascii="Times New Roman" w:hAnsi="Times New Roman" w:cs="Times New Roman"/>
          <w:sz w:val="24"/>
          <w:szCs w:val="24"/>
        </w:rPr>
        <w:t xml:space="preserve"> = 0.1), for the i) low </w:t>
      </w:r>
      <w:r w:rsidRPr="0010061F">
        <w:rPr>
          <w:rFonts w:ascii="Times New Roman" w:hAnsi="Times New Roman" w:cs="Times New Roman"/>
          <w:i/>
          <w:sz w:val="24"/>
          <w:szCs w:val="24"/>
        </w:rPr>
        <w:t>N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high drift, ii) high </w:t>
      </w:r>
      <w:r w:rsidRPr="0010061F">
        <w:rPr>
          <w:rFonts w:ascii="Times New Roman" w:hAnsi="Times New Roman" w:cs="Times New Roman"/>
          <w:i/>
          <w:sz w:val="24"/>
          <w:szCs w:val="24"/>
        </w:rPr>
        <w:t>N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high drift, iii) low </w:t>
      </w:r>
      <w:r w:rsidRPr="0010061F">
        <w:rPr>
          <w:rFonts w:ascii="Times New Roman" w:hAnsi="Times New Roman" w:cs="Times New Roman"/>
          <w:i/>
          <w:sz w:val="24"/>
          <w:szCs w:val="24"/>
        </w:rPr>
        <w:t>N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low drift, iv) high </w:t>
      </w:r>
      <w:r w:rsidRPr="0010061F">
        <w:rPr>
          <w:rFonts w:ascii="Times New Roman" w:hAnsi="Times New Roman" w:cs="Times New Roman"/>
          <w:i/>
          <w:sz w:val="24"/>
          <w:szCs w:val="24"/>
        </w:rPr>
        <w:t>N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10061F">
        <w:rPr>
          <w:rFonts w:ascii="Times New Roman" w:hAnsi="Times New Roman" w:cs="Times New Roman"/>
          <w:sz w:val="24"/>
          <w:szCs w:val="24"/>
        </w:rPr>
        <w:t>, lo</w:t>
      </w:r>
      <w:r>
        <w:rPr>
          <w:rFonts w:ascii="Times New Roman" w:hAnsi="Times New Roman" w:cs="Times New Roman"/>
          <w:sz w:val="24"/>
          <w:szCs w:val="24"/>
        </w:rPr>
        <w:t xml:space="preserve">w drift scenarios. See Tables 1 and </w:t>
      </w:r>
      <w:r w:rsidRPr="0010061F">
        <w:rPr>
          <w:rFonts w:ascii="Times New Roman" w:hAnsi="Times New Roman" w:cs="Times New Roman"/>
          <w:sz w:val="24"/>
          <w:szCs w:val="24"/>
        </w:rPr>
        <w:t xml:space="preserve">2 for descriptions. </w:t>
      </w: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0F4" w:rsidRPr="0010061F" w:rsidRDefault="007840F4" w:rsidP="007840F4">
      <w:pPr>
        <w:tabs>
          <w:tab w:val="left" w:pos="8189"/>
        </w:tabs>
        <w:spacing w:line="240" w:lineRule="auto"/>
        <w:rPr>
          <w:rFonts w:ascii="Times New Roman" w:hAnsi="Times New Roman" w:cs="Times New Roman"/>
          <w:sz w:val="24"/>
          <w:szCs w:val="24"/>
        </w:rPr>
        <w:sectPr w:rsidR="007840F4" w:rsidRPr="0010061F" w:rsidSect="00C149DF">
          <w:pgSz w:w="12240" w:h="15840"/>
          <w:pgMar w:top="1440" w:right="2160" w:bottom="1440" w:left="1440" w:header="720" w:footer="720" w:gutter="0"/>
          <w:cols w:space="720"/>
          <w:docGrid w:linePitch="360"/>
        </w:sectPr>
      </w:pPr>
      <w:r w:rsidRPr="001006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CD046" wp14:editId="3A9EEA31">
            <wp:extent cx="5211662" cy="6948883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_gr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62" cy="69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F4" w:rsidRPr="0010061F" w:rsidRDefault="007840F4" w:rsidP="007840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61F">
        <w:rPr>
          <w:rFonts w:ascii="Times New Roman" w:hAnsi="Times New Roman" w:cs="Times New Roman"/>
          <w:b/>
          <w:sz w:val="24"/>
          <w:szCs w:val="24"/>
        </w:rPr>
        <w:lastRenderedPageBreak/>
        <w:t>APPENDIX S3</w:t>
      </w:r>
      <w:r w:rsidRPr="0010061F">
        <w:rPr>
          <w:rFonts w:ascii="Times New Roman" w:hAnsi="Times New Roman" w:cs="Times New Roman"/>
          <w:sz w:val="24"/>
          <w:szCs w:val="24"/>
        </w:rPr>
        <w:t xml:space="preserve">. </w:t>
      </w:r>
      <w:r w:rsidRPr="0010061F">
        <w:rPr>
          <w:rFonts w:ascii="Times New Roman" w:hAnsi="Times New Roman" w:cs="Times New Roman"/>
          <w:i/>
          <w:sz w:val="24"/>
          <w:szCs w:val="24"/>
        </w:rPr>
        <w:t>D</w:t>
      </w:r>
      <w:r w:rsidRPr="0010061F">
        <w:rPr>
          <w:rFonts w:ascii="Times New Roman" w:hAnsi="Times New Roman" w:cs="Times New Roman"/>
          <w:i/>
          <w:sz w:val="24"/>
          <w:szCs w:val="24"/>
          <w:vertAlign w:val="subscript"/>
        </w:rPr>
        <w:t>est</w:t>
      </w:r>
      <w:r w:rsidRPr="0010061F">
        <w:rPr>
          <w:rFonts w:ascii="Times New Roman" w:hAnsi="Times New Roman" w:cs="Times New Roman"/>
          <w:sz w:val="24"/>
          <w:szCs w:val="24"/>
        </w:rPr>
        <w:t xml:space="preserve"> (a) and Mantel </w:t>
      </w:r>
      <w:r w:rsidRPr="0010061F">
        <w:rPr>
          <w:rFonts w:ascii="Times New Roman" w:hAnsi="Times New Roman" w:cs="Times New Roman"/>
          <w:i/>
          <w:sz w:val="24"/>
          <w:szCs w:val="24"/>
        </w:rPr>
        <w:t>r</w:t>
      </w:r>
      <w:r w:rsidRPr="0010061F">
        <w:rPr>
          <w:rFonts w:ascii="Times New Roman" w:hAnsi="Times New Roman" w:cs="Times New Roman"/>
          <w:sz w:val="24"/>
          <w:szCs w:val="24"/>
        </w:rPr>
        <w:t xml:space="preserve"> (b) results depicting genetic differentiation for adaptive (selection-driven), neutral and combined loci in the uniform selection surface (selection absent) for the i) low </w:t>
      </w:r>
      <w:r w:rsidRPr="0010061F">
        <w:rPr>
          <w:rFonts w:ascii="Times New Roman" w:hAnsi="Times New Roman" w:cs="Times New Roman"/>
          <w:i/>
          <w:sz w:val="24"/>
          <w:szCs w:val="24"/>
        </w:rPr>
        <w:t>Nm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high drift, ii) high </w:t>
      </w:r>
      <w:r w:rsidRPr="0010061F">
        <w:rPr>
          <w:rFonts w:ascii="Times New Roman" w:hAnsi="Times New Roman" w:cs="Times New Roman"/>
          <w:i/>
          <w:sz w:val="24"/>
          <w:szCs w:val="24"/>
        </w:rPr>
        <w:t>Nm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high drift, iii) low </w:t>
      </w:r>
      <w:r w:rsidRPr="0010061F">
        <w:rPr>
          <w:rFonts w:ascii="Times New Roman" w:hAnsi="Times New Roman" w:cs="Times New Roman"/>
          <w:i/>
          <w:sz w:val="24"/>
          <w:szCs w:val="24"/>
        </w:rPr>
        <w:t>Nm</w:t>
      </w:r>
      <w:r w:rsidRPr="0010061F">
        <w:rPr>
          <w:rFonts w:ascii="Times New Roman" w:hAnsi="Times New Roman" w:cs="Times New Roman"/>
          <w:sz w:val="24"/>
          <w:szCs w:val="24"/>
        </w:rPr>
        <w:t xml:space="preserve">, low drift, iv) high </w:t>
      </w:r>
      <w:r w:rsidRPr="0010061F">
        <w:rPr>
          <w:rFonts w:ascii="Times New Roman" w:hAnsi="Times New Roman" w:cs="Times New Roman"/>
          <w:i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 xml:space="preserve">, low scenarios. See Tables 1 and </w:t>
      </w:r>
      <w:r w:rsidRPr="0010061F">
        <w:rPr>
          <w:rFonts w:ascii="Times New Roman" w:hAnsi="Times New Roman" w:cs="Times New Roman"/>
          <w:sz w:val="24"/>
          <w:szCs w:val="24"/>
        </w:rPr>
        <w:t>2 for descriptions.</w:t>
      </w:r>
    </w:p>
    <w:p w:rsidR="007840F4" w:rsidRPr="0010061F" w:rsidRDefault="007840F4" w:rsidP="007840F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7840F4" w:rsidRPr="0010061F" w:rsidSect="00C149DF">
          <w:pgSz w:w="12240" w:h="15840"/>
          <w:pgMar w:top="1440" w:right="2160" w:bottom="1440" w:left="1440" w:header="720" w:footer="720" w:gutter="0"/>
          <w:cols w:space="720"/>
          <w:docGrid w:linePitch="360"/>
        </w:sectPr>
      </w:pPr>
      <w:r w:rsidRPr="001006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B2EB1" wp14:editId="5F8B34C9">
            <wp:extent cx="5212079" cy="6949439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 absent dest mantel 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79" cy="69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1F">
        <w:rPr>
          <w:rFonts w:ascii="Times New Roman" w:hAnsi="Times New Roman" w:cs="Times New Roman"/>
          <w:b/>
          <w:sz w:val="24"/>
          <w:szCs w:val="24"/>
        </w:rPr>
        <w:lastRenderedPageBreak/>
        <w:t>APPENDIX S4</w:t>
      </w:r>
      <w:r w:rsidRPr="0010061F">
        <w:rPr>
          <w:rFonts w:ascii="Times New Roman" w:hAnsi="Times New Roman" w:cs="Times New Roman"/>
          <w:sz w:val="24"/>
          <w:szCs w:val="24"/>
        </w:rPr>
        <w:t xml:space="preserve">. Type II error rates of population- and individual-based methods to detect loci under selection after 50 generations, and the proportion of replicates where this occurred at the 95% and 99% confidence interval levels (LOSITAN, GLM, Samβada) and with FDR q value thresholds &lt; 0.05 and 0.01(BayeScan), which are analogues of </w:t>
      </w:r>
      <w:r w:rsidRPr="0010061F">
        <w:rPr>
          <w:rFonts w:ascii="Times New Roman" w:hAnsi="Times New Roman" w:cs="Times New Roman"/>
          <w:i/>
          <w:sz w:val="24"/>
          <w:szCs w:val="24"/>
        </w:rPr>
        <w:t>P</w:t>
      </w:r>
      <w:r w:rsidRPr="0010061F">
        <w:rPr>
          <w:rFonts w:ascii="Times New Roman" w:hAnsi="Times New Roman" w:cs="Times New Roman"/>
          <w:sz w:val="24"/>
          <w:szCs w:val="24"/>
        </w:rPr>
        <w:t>-values (displayed under 95% and 99% columns).  Type II error rates are shown for a.) selection present/absent surfaces,  and b.) gradient surfaces, for both weak and strong selection scenarios.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1"/>
        <w:gridCol w:w="1120"/>
        <w:gridCol w:w="197"/>
        <w:gridCol w:w="952"/>
        <w:gridCol w:w="753"/>
        <w:gridCol w:w="1145"/>
        <w:gridCol w:w="632"/>
        <w:gridCol w:w="1302"/>
        <w:gridCol w:w="630"/>
        <w:gridCol w:w="1176"/>
        <w:gridCol w:w="628"/>
      </w:tblGrid>
      <w:tr w:rsidR="007840F4" w:rsidRPr="0010061F" w:rsidTr="000777C6">
        <w:trPr>
          <w:trHeight w:val="20"/>
        </w:trPr>
        <w:tc>
          <w:tcPr>
            <w:tcW w:w="12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a.)</w:t>
            </w:r>
          </w:p>
        </w:tc>
        <w:tc>
          <w:tcPr>
            <w:tcW w:w="377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Present/Absent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Selection strength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9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  <w:tc>
          <w:tcPr>
            <w:tcW w:w="10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9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weak 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LOSITAN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BayeScan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LOSITAN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BayeScan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b.)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7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Selection strength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8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weak 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LOSITAN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BayeScan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LOSITAN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BayeScan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840F4" w:rsidRPr="0010061F" w:rsidTr="000777C6">
        <w:trPr>
          <w:trHeight w:val="20"/>
        </w:trPr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1F">
        <w:rPr>
          <w:rFonts w:ascii="Times New Roman" w:hAnsi="Times New Roman" w:cs="Times New Roman"/>
          <w:sz w:val="24"/>
          <w:szCs w:val="24"/>
        </w:rPr>
        <w:br w:type="page"/>
      </w:r>
    </w:p>
    <w:p w:rsidR="007840F4" w:rsidRPr="0010061F" w:rsidRDefault="007840F4" w:rsidP="007840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1F">
        <w:rPr>
          <w:rFonts w:ascii="Times New Roman" w:hAnsi="Times New Roman" w:cs="Times New Roman"/>
          <w:b/>
          <w:sz w:val="24"/>
          <w:szCs w:val="24"/>
        </w:rPr>
        <w:t>APPENDIX S5</w:t>
      </w:r>
      <w:r w:rsidRPr="0010061F">
        <w:rPr>
          <w:rFonts w:ascii="Times New Roman" w:hAnsi="Times New Roman" w:cs="Times New Roman"/>
          <w:sz w:val="24"/>
          <w:szCs w:val="24"/>
        </w:rPr>
        <w:t>. Type I error rates of individual-based methods (Samβada and GLMs) defined as the mean number of neutral loci significantly correlated with the selection gradient (latitude) at the 95% and 99% confidence interval levels after 50 generations. The expected number of significantly correlated loci for 95% and 99% is 5 and 1, respectively (with 100 simulated loci).</w:t>
      </w: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0F4" w:rsidRPr="0010061F" w:rsidRDefault="007840F4" w:rsidP="00784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61"/>
        <w:gridCol w:w="957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840F4" w:rsidRPr="0010061F" w:rsidTr="000777C6">
        <w:trPr>
          <w:trHeight w:val="300"/>
        </w:trPr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a.)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Present/absent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40F4" w:rsidRPr="0010061F" w:rsidTr="000777C6">
        <w:trPr>
          <w:trHeight w:val="510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Selection strength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weak 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strong 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b.)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6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40F4" w:rsidRPr="0010061F" w:rsidTr="000777C6">
        <w:trPr>
          <w:trHeight w:val="525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Selection strength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low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high drift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high 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10061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</w:t>
            </w: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low drift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99%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weak 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strong 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Samβada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7840F4" w:rsidRPr="0010061F" w:rsidTr="000777C6">
        <w:trPr>
          <w:trHeight w:val="300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40F4" w:rsidRPr="0010061F" w:rsidRDefault="007840F4" w:rsidP="00077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006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</w:tbl>
    <w:p w:rsidR="007840F4" w:rsidRDefault="007840F4" w:rsidP="007840F4">
      <w:pPr>
        <w:spacing w:line="240" w:lineRule="auto"/>
      </w:pPr>
    </w:p>
    <w:p w:rsidR="009504BF" w:rsidRDefault="009504BF"/>
    <w:sectPr w:rsidR="0095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9D"/>
    <w:rsid w:val="00087EA3"/>
    <w:rsid w:val="007840F4"/>
    <w:rsid w:val="009504BF"/>
    <w:rsid w:val="00C015D7"/>
    <w:rsid w:val="00E1314E"/>
    <w:rsid w:val="00E7399D"/>
    <w:rsid w:val="00F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F4"/>
  </w:style>
  <w:style w:type="paragraph" w:styleId="Heading1">
    <w:name w:val="heading 1"/>
    <w:basedOn w:val="Normal"/>
    <w:next w:val="Normal"/>
    <w:link w:val="Heading1Char"/>
    <w:qFormat/>
    <w:rsid w:val="00C015D7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15D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5D7"/>
    <w:rPr>
      <w:rFonts w:eastAsiaTheme="majorEastAsia" w:cstheme="majorBidi"/>
      <w:b/>
      <w:bCs/>
      <w:sz w:val="28"/>
      <w:szCs w:val="28"/>
    </w:rPr>
  </w:style>
  <w:style w:type="paragraph" w:customStyle="1" w:styleId="Headinng2">
    <w:name w:val="Headinng 2"/>
    <w:basedOn w:val="Normal"/>
    <w:qFormat/>
    <w:rsid w:val="00C015D7"/>
    <w:pPr>
      <w:spacing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015D7"/>
    <w:rPr>
      <w:rFonts w:eastAsiaTheme="majorEastAsia" w:cstheme="majorBidi"/>
      <w:b/>
      <w:bCs/>
      <w:sz w:val="24"/>
      <w:szCs w:val="26"/>
    </w:rPr>
  </w:style>
  <w:style w:type="paragraph" w:customStyle="1" w:styleId="sectionheader">
    <w:name w:val="section header"/>
    <w:basedOn w:val="Normal"/>
    <w:link w:val="sectionheaderChar"/>
    <w:qFormat/>
    <w:rsid w:val="00FD610C"/>
    <w:rPr>
      <w:rFonts w:ascii="Times New Roman" w:hAnsi="Times New Roman"/>
      <w:b/>
      <w:sz w:val="24"/>
    </w:rPr>
  </w:style>
  <w:style w:type="character" w:customStyle="1" w:styleId="sectionheaderChar">
    <w:name w:val="section header Char"/>
    <w:basedOn w:val="DefaultParagraphFont"/>
    <w:link w:val="sectionheader"/>
    <w:rsid w:val="00FD610C"/>
    <w:rPr>
      <w:rFonts w:ascii="Times New Roman" w:hAnsi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F4"/>
  </w:style>
  <w:style w:type="paragraph" w:styleId="Heading1">
    <w:name w:val="heading 1"/>
    <w:basedOn w:val="Normal"/>
    <w:next w:val="Normal"/>
    <w:link w:val="Heading1Char"/>
    <w:qFormat/>
    <w:rsid w:val="00C015D7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15D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5D7"/>
    <w:rPr>
      <w:rFonts w:eastAsiaTheme="majorEastAsia" w:cstheme="majorBidi"/>
      <w:b/>
      <w:bCs/>
      <w:sz w:val="28"/>
      <w:szCs w:val="28"/>
    </w:rPr>
  </w:style>
  <w:style w:type="paragraph" w:customStyle="1" w:styleId="Headinng2">
    <w:name w:val="Headinng 2"/>
    <w:basedOn w:val="Normal"/>
    <w:qFormat/>
    <w:rsid w:val="00C015D7"/>
    <w:pPr>
      <w:spacing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015D7"/>
    <w:rPr>
      <w:rFonts w:eastAsiaTheme="majorEastAsia" w:cstheme="majorBidi"/>
      <w:b/>
      <w:bCs/>
      <w:sz w:val="24"/>
      <w:szCs w:val="26"/>
    </w:rPr>
  </w:style>
  <w:style w:type="paragraph" w:customStyle="1" w:styleId="sectionheader">
    <w:name w:val="section header"/>
    <w:basedOn w:val="Normal"/>
    <w:link w:val="sectionheaderChar"/>
    <w:qFormat/>
    <w:rsid w:val="00FD610C"/>
    <w:rPr>
      <w:rFonts w:ascii="Times New Roman" w:hAnsi="Times New Roman"/>
      <w:b/>
      <w:sz w:val="24"/>
    </w:rPr>
  </w:style>
  <w:style w:type="character" w:customStyle="1" w:styleId="sectionheaderChar">
    <w:name w:val="section header Char"/>
    <w:basedOn w:val="DefaultParagraphFont"/>
    <w:link w:val="sectionheader"/>
    <w:rsid w:val="00FD610C"/>
    <w:rPr>
      <w:rFonts w:ascii="Times New Roman" w:hAnsi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Roffler, Gretchen H (DFG)</dc:creator>
  <cp:lastModifiedBy>Simon Aeschbacher</cp:lastModifiedBy>
  <cp:revision>2</cp:revision>
  <dcterms:created xsi:type="dcterms:W3CDTF">2016-04-02T01:07:00Z</dcterms:created>
  <dcterms:modified xsi:type="dcterms:W3CDTF">2016-04-02T01:07:00Z</dcterms:modified>
</cp:coreProperties>
</file>