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54" w:history="1">
            <w:r w:rsidR="00FB6DE0" w:rsidRPr="00C244DC">
              <w:rPr>
                <w:rStyle w:val="Hyperlink"/>
                <w:noProof/>
              </w:rPr>
              <w:t>Vektoren und Matrizen</w:t>
            </w:r>
            <w:r w:rsidR="00FB6DE0">
              <w:rPr>
                <w:noProof/>
                <w:webHidden/>
              </w:rPr>
              <w:tab/>
            </w:r>
            <w:r w:rsidR="00FB6DE0">
              <w:rPr>
                <w:noProof/>
                <w:webHidden/>
              </w:rPr>
              <w:fldChar w:fldCharType="begin"/>
            </w:r>
            <w:r w:rsidR="00FB6DE0">
              <w:rPr>
                <w:noProof/>
                <w:webHidden/>
              </w:rPr>
              <w:instrText xml:space="preserve"> PAGEREF _Toc475383954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55" w:history="1">
            <w:r w:rsidR="00FB6DE0" w:rsidRPr="00C244DC">
              <w:rPr>
                <w:rStyle w:val="Hyperlink"/>
                <w:noProof/>
              </w:rPr>
              <w:t>Addition</w:t>
            </w:r>
            <w:r w:rsidR="00FB6DE0">
              <w:rPr>
                <w:noProof/>
                <w:webHidden/>
              </w:rPr>
              <w:tab/>
            </w:r>
            <w:r w:rsidR="00FB6DE0">
              <w:rPr>
                <w:noProof/>
                <w:webHidden/>
              </w:rPr>
              <w:fldChar w:fldCharType="begin"/>
            </w:r>
            <w:r w:rsidR="00FB6DE0">
              <w:rPr>
                <w:noProof/>
                <w:webHidden/>
              </w:rPr>
              <w:instrText xml:space="preserve"> PAGEREF _Toc475383955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56" w:history="1">
            <w:r w:rsidR="00FB6DE0" w:rsidRPr="00C244DC">
              <w:rPr>
                <w:rStyle w:val="Hyperlink"/>
                <w:noProof/>
              </w:rPr>
              <w:t>Multiplikation</w:t>
            </w:r>
            <w:r w:rsidR="00FB6DE0">
              <w:rPr>
                <w:noProof/>
                <w:webHidden/>
              </w:rPr>
              <w:tab/>
            </w:r>
            <w:r w:rsidR="00FB6DE0">
              <w:rPr>
                <w:noProof/>
                <w:webHidden/>
              </w:rPr>
              <w:fldChar w:fldCharType="begin"/>
            </w:r>
            <w:r w:rsidR="00FB6DE0">
              <w:rPr>
                <w:noProof/>
                <w:webHidden/>
              </w:rPr>
              <w:instrText xml:space="preserve"> PAGEREF _Toc475383956 \h </w:instrText>
            </w:r>
            <w:r w:rsidR="00FB6DE0">
              <w:rPr>
                <w:noProof/>
                <w:webHidden/>
              </w:rPr>
            </w:r>
            <w:r w:rsidR="00FB6DE0">
              <w:rPr>
                <w:noProof/>
                <w:webHidden/>
              </w:rPr>
              <w:fldChar w:fldCharType="separate"/>
            </w:r>
            <w:r w:rsidR="00422D96">
              <w:rPr>
                <w:noProof/>
                <w:webHidden/>
              </w:rPr>
              <w:t>3</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57" w:history="1">
            <w:r w:rsidR="00FB6DE0" w:rsidRPr="00C244DC">
              <w:rPr>
                <w:rStyle w:val="Hyperlink"/>
                <w:noProof/>
              </w:rPr>
              <w:t>Weitere Operationen / Besondere Matrizen</w:t>
            </w:r>
            <w:r w:rsidR="00FB6DE0">
              <w:rPr>
                <w:noProof/>
                <w:webHidden/>
              </w:rPr>
              <w:tab/>
            </w:r>
            <w:r w:rsidR="00FB6DE0">
              <w:rPr>
                <w:noProof/>
                <w:webHidden/>
              </w:rPr>
              <w:fldChar w:fldCharType="begin"/>
            </w:r>
            <w:r w:rsidR="00FB6DE0">
              <w:rPr>
                <w:noProof/>
                <w:webHidden/>
              </w:rPr>
              <w:instrText xml:space="preserve"> PAGEREF _Toc475383957 \h </w:instrText>
            </w:r>
            <w:r w:rsidR="00FB6DE0">
              <w:rPr>
                <w:noProof/>
                <w:webHidden/>
              </w:rPr>
            </w:r>
            <w:r w:rsidR="00FB6DE0">
              <w:rPr>
                <w:noProof/>
                <w:webHidden/>
              </w:rPr>
              <w:fldChar w:fldCharType="separate"/>
            </w:r>
            <w:r w:rsidR="00422D96">
              <w:rPr>
                <w:noProof/>
                <w:webHidden/>
              </w:rPr>
              <w:t>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58" w:history="1">
            <w:r w:rsidR="00FB6DE0" w:rsidRPr="00C244DC">
              <w:rPr>
                <w:rStyle w:val="Hyperlink"/>
                <w:noProof/>
              </w:rPr>
              <w:t>Transformationen</w:t>
            </w:r>
            <w:r w:rsidR="00FB6DE0">
              <w:rPr>
                <w:noProof/>
                <w:webHidden/>
              </w:rPr>
              <w:tab/>
            </w:r>
            <w:r w:rsidR="00FB6DE0">
              <w:rPr>
                <w:noProof/>
                <w:webHidden/>
              </w:rPr>
              <w:fldChar w:fldCharType="begin"/>
            </w:r>
            <w:r w:rsidR="00FB6DE0">
              <w:rPr>
                <w:noProof/>
                <w:webHidden/>
              </w:rPr>
              <w:instrText xml:space="preserve"> PAGEREF _Toc475383958 \h </w:instrText>
            </w:r>
            <w:r w:rsidR="00FB6DE0">
              <w:rPr>
                <w:noProof/>
                <w:webHidden/>
              </w:rPr>
            </w:r>
            <w:r w:rsidR="00FB6DE0">
              <w:rPr>
                <w:noProof/>
                <w:webHidden/>
              </w:rPr>
              <w:fldChar w:fldCharType="separate"/>
            </w:r>
            <w:r w:rsidR="00422D96">
              <w:rPr>
                <w:noProof/>
                <w:webHidden/>
              </w:rPr>
              <w:t>7</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59" w:history="1">
            <w:r w:rsidR="00FB6DE0" w:rsidRPr="00C244DC">
              <w:rPr>
                <w:rStyle w:val="Hyperlink"/>
                <w:noProof/>
              </w:rPr>
              <w:t>Analysis</w:t>
            </w:r>
            <w:r w:rsidR="00FB6DE0">
              <w:rPr>
                <w:noProof/>
                <w:webHidden/>
              </w:rPr>
              <w:tab/>
            </w:r>
            <w:r w:rsidR="00FB6DE0">
              <w:rPr>
                <w:noProof/>
                <w:webHidden/>
              </w:rPr>
              <w:fldChar w:fldCharType="begin"/>
            </w:r>
            <w:r w:rsidR="00FB6DE0">
              <w:rPr>
                <w:noProof/>
                <w:webHidden/>
              </w:rPr>
              <w:instrText xml:space="preserve"> PAGEREF _Toc475383959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0" w:history="1">
            <w:r w:rsidR="00FB6DE0" w:rsidRPr="00C244DC">
              <w:rPr>
                <w:rStyle w:val="Hyperlink"/>
                <w:noProof/>
              </w:rPr>
              <w:t>Ableitungsregeln</w:t>
            </w:r>
            <w:r w:rsidR="00FB6DE0">
              <w:rPr>
                <w:noProof/>
                <w:webHidden/>
              </w:rPr>
              <w:tab/>
            </w:r>
            <w:r w:rsidR="00FB6DE0">
              <w:rPr>
                <w:noProof/>
                <w:webHidden/>
              </w:rPr>
              <w:fldChar w:fldCharType="begin"/>
            </w:r>
            <w:r w:rsidR="00FB6DE0">
              <w:rPr>
                <w:noProof/>
                <w:webHidden/>
              </w:rPr>
              <w:instrText xml:space="preserve"> PAGEREF _Toc475383960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1" w:history="1">
            <w:r w:rsidR="00FB6DE0" w:rsidRPr="00C244DC">
              <w:rPr>
                <w:rStyle w:val="Hyperlink"/>
                <w:noProof/>
              </w:rPr>
              <w:t>Skalarprodukt</w:t>
            </w:r>
            <w:r w:rsidR="00FB6DE0">
              <w:rPr>
                <w:noProof/>
                <w:webHidden/>
              </w:rPr>
              <w:tab/>
            </w:r>
            <w:r w:rsidR="00FB6DE0">
              <w:rPr>
                <w:noProof/>
                <w:webHidden/>
              </w:rPr>
              <w:fldChar w:fldCharType="begin"/>
            </w:r>
            <w:r w:rsidR="00FB6DE0">
              <w:rPr>
                <w:noProof/>
                <w:webHidden/>
              </w:rPr>
              <w:instrText xml:space="preserve"> PAGEREF _Toc475383961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2" w:history="1">
            <w:r w:rsidR="00FB6DE0" w:rsidRPr="00C244DC">
              <w:rPr>
                <w:rStyle w:val="Hyperlink"/>
                <w:noProof/>
              </w:rPr>
              <w:t>Delta-Distribution</w:t>
            </w:r>
            <w:r w:rsidR="00FB6DE0">
              <w:rPr>
                <w:noProof/>
                <w:webHidden/>
              </w:rPr>
              <w:tab/>
            </w:r>
            <w:r w:rsidR="00FB6DE0">
              <w:rPr>
                <w:noProof/>
                <w:webHidden/>
              </w:rPr>
              <w:fldChar w:fldCharType="begin"/>
            </w:r>
            <w:r w:rsidR="00FB6DE0">
              <w:rPr>
                <w:noProof/>
                <w:webHidden/>
              </w:rPr>
              <w:instrText xml:space="preserve"> PAGEREF _Toc475383962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3" w:history="1">
            <w:r w:rsidR="00FB6DE0" w:rsidRPr="00C244DC">
              <w:rPr>
                <w:rStyle w:val="Hyperlink"/>
                <w:noProof/>
              </w:rPr>
              <w:t>Reihenentwicklungen</w:t>
            </w:r>
            <w:r w:rsidR="00FB6DE0">
              <w:rPr>
                <w:noProof/>
                <w:webHidden/>
              </w:rPr>
              <w:tab/>
            </w:r>
            <w:r w:rsidR="00FB6DE0">
              <w:rPr>
                <w:noProof/>
                <w:webHidden/>
              </w:rPr>
              <w:fldChar w:fldCharType="begin"/>
            </w:r>
            <w:r w:rsidR="00FB6DE0">
              <w:rPr>
                <w:noProof/>
                <w:webHidden/>
              </w:rPr>
              <w:instrText xml:space="preserve"> PAGEREF _Toc475383963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4" w:history="1">
            <w:r w:rsidR="00FB6DE0" w:rsidRPr="00C244DC">
              <w:rPr>
                <w:rStyle w:val="Hyperlink"/>
                <w:noProof/>
              </w:rPr>
              <w:t>Partielle Ableitungen</w:t>
            </w:r>
            <w:r w:rsidR="00FB6DE0">
              <w:rPr>
                <w:noProof/>
                <w:webHidden/>
              </w:rPr>
              <w:tab/>
            </w:r>
            <w:r w:rsidR="00FB6DE0">
              <w:rPr>
                <w:noProof/>
                <w:webHidden/>
              </w:rPr>
              <w:fldChar w:fldCharType="begin"/>
            </w:r>
            <w:r w:rsidR="00FB6DE0">
              <w:rPr>
                <w:noProof/>
                <w:webHidden/>
              </w:rPr>
              <w:instrText xml:space="preserve"> PAGEREF _Toc475383964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5" w:history="1">
            <w:r w:rsidR="00FB6DE0" w:rsidRPr="00C244DC">
              <w:rPr>
                <w:rStyle w:val="Hyperlink"/>
                <w:noProof/>
              </w:rPr>
              <w:t>Differentialgleichungen</w:t>
            </w:r>
            <w:r w:rsidR="00FB6DE0">
              <w:rPr>
                <w:noProof/>
                <w:webHidden/>
              </w:rPr>
              <w:tab/>
            </w:r>
            <w:r w:rsidR="00FB6DE0">
              <w:rPr>
                <w:noProof/>
                <w:webHidden/>
              </w:rPr>
              <w:fldChar w:fldCharType="begin"/>
            </w:r>
            <w:r w:rsidR="00FB6DE0">
              <w:rPr>
                <w:noProof/>
                <w:webHidden/>
              </w:rPr>
              <w:instrText xml:space="preserve"> PAGEREF _Toc475383965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66" w:history="1">
            <w:r w:rsidR="00FB6DE0" w:rsidRPr="00C244DC">
              <w:rPr>
                <w:rStyle w:val="Hyperlink"/>
                <w:noProof/>
              </w:rPr>
              <w:t>Komplexe Zahlen</w:t>
            </w:r>
            <w:r w:rsidR="00FB6DE0">
              <w:rPr>
                <w:noProof/>
                <w:webHidden/>
              </w:rPr>
              <w:tab/>
            </w:r>
            <w:r w:rsidR="00FB6DE0">
              <w:rPr>
                <w:noProof/>
                <w:webHidden/>
              </w:rPr>
              <w:fldChar w:fldCharType="begin"/>
            </w:r>
            <w:r w:rsidR="00FB6DE0">
              <w:rPr>
                <w:noProof/>
                <w:webHidden/>
              </w:rPr>
              <w:instrText xml:space="preserve"> PAGEREF _Toc475383966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7" w:history="1">
            <w:r w:rsidR="00FB6DE0" w:rsidRPr="00C244DC">
              <w:rPr>
                <w:rStyle w:val="Hyperlink"/>
                <w:noProof/>
              </w:rPr>
              <w:t>Real- und Imaginärteil</w:t>
            </w:r>
            <w:r w:rsidR="00FB6DE0">
              <w:rPr>
                <w:noProof/>
                <w:webHidden/>
              </w:rPr>
              <w:tab/>
            </w:r>
            <w:r w:rsidR="00FB6DE0">
              <w:rPr>
                <w:noProof/>
                <w:webHidden/>
              </w:rPr>
              <w:fldChar w:fldCharType="begin"/>
            </w:r>
            <w:r w:rsidR="00FB6DE0">
              <w:rPr>
                <w:noProof/>
                <w:webHidden/>
              </w:rPr>
              <w:instrText xml:space="preserve"> PAGEREF _Toc475383967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8" w:history="1">
            <w:r w:rsidR="00FB6DE0" w:rsidRPr="00C244DC">
              <w:rPr>
                <w:rStyle w:val="Hyperlink"/>
                <w:noProof/>
                <w:lang w:val="en-US"/>
              </w:rPr>
              <w:t>Addition</w:t>
            </w:r>
            <w:r w:rsidR="00FB6DE0">
              <w:rPr>
                <w:noProof/>
                <w:webHidden/>
              </w:rPr>
              <w:tab/>
            </w:r>
            <w:r w:rsidR="00FB6DE0">
              <w:rPr>
                <w:noProof/>
                <w:webHidden/>
              </w:rPr>
              <w:fldChar w:fldCharType="begin"/>
            </w:r>
            <w:r w:rsidR="00FB6DE0">
              <w:rPr>
                <w:noProof/>
                <w:webHidden/>
              </w:rPr>
              <w:instrText xml:space="preserve"> PAGEREF _Toc475383968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69" w:history="1">
            <w:r w:rsidR="00FB6DE0" w:rsidRPr="00C244DC">
              <w:rPr>
                <w:rStyle w:val="Hyperlink"/>
                <w:noProof/>
                <w:lang w:val="en-US"/>
              </w:rPr>
              <w:t>Multiplikation</w:t>
            </w:r>
            <w:r w:rsidR="00FB6DE0">
              <w:rPr>
                <w:noProof/>
                <w:webHidden/>
              </w:rPr>
              <w:tab/>
            </w:r>
            <w:r w:rsidR="00FB6DE0">
              <w:rPr>
                <w:noProof/>
                <w:webHidden/>
              </w:rPr>
              <w:fldChar w:fldCharType="begin"/>
            </w:r>
            <w:r w:rsidR="00FB6DE0">
              <w:rPr>
                <w:noProof/>
                <w:webHidden/>
              </w:rPr>
              <w:instrText xml:space="preserve"> PAGEREF _Toc475383969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70" w:history="1">
            <w:r w:rsidR="00FB6DE0" w:rsidRPr="00C244DC">
              <w:rPr>
                <w:rStyle w:val="Hyperlink"/>
                <w:noProof/>
              </w:rPr>
              <w:t>Betrag</w:t>
            </w:r>
            <w:r w:rsidR="00FB6DE0">
              <w:rPr>
                <w:noProof/>
                <w:webHidden/>
              </w:rPr>
              <w:tab/>
            </w:r>
            <w:r w:rsidR="00FB6DE0">
              <w:rPr>
                <w:noProof/>
                <w:webHidden/>
              </w:rPr>
              <w:fldChar w:fldCharType="begin"/>
            </w:r>
            <w:r w:rsidR="00FB6DE0">
              <w:rPr>
                <w:noProof/>
                <w:webHidden/>
              </w:rPr>
              <w:instrText xml:space="preserve"> PAGEREF _Toc475383970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71" w:history="1">
            <w:r w:rsidR="00FB6DE0" w:rsidRPr="00C244DC">
              <w:rPr>
                <w:rStyle w:val="Hyperlink"/>
                <w:noProof/>
              </w:rPr>
              <w:t>Polardarstellung</w:t>
            </w:r>
            <w:r w:rsidR="00FB6DE0">
              <w:rPr>
                <w:noProof/>
                <w:webHidden/>
              </w:rPr>
              <w:tab/>
            </w:r>
            <w:r w:rsidR="00FB6DE0">
              <w:rPr>
                <w:noProof/>
                <w:webHidden/>
              </w:rPr>
              <w:fldChar w:fldCharType="begin"/>
            </w:r>
            <w:r w:rsidR="00FB6DE0">
              <w:rPr>
                <w:noProof/>
                <w:webHidden/>
              </w:rPr>
              <w:instrText xml:space="preserve"> PAGEREF _Toc475383971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72" w:history="1">
            <w:r w:rsidR="00FB6DE0" w:rsidRPr="00C244DC">
              <w:rPr>
                <w:rStyle w:val="Hyperlink"/>
                <w:noProof/>
              </w:rPr>
              <w:t>Komplexe Konjugation</w:t>
            </w:r>
            <w:r w:rsidR="00FB6DE0">
              <w:rPr>
                <w:noProof/>
                <w:webHidden/>
              </w:rPr>
              <w:tab/>
            </w:r>
            <w:r w:rsidR="00FB6DE0">
              <w:rPr>
                <w:noProof/>
                <w:webHidden/>
              </w:rPr>
              <w:fldChar w:fldCharType="begin"/>
            </w:r>
            <w:r w:rsidR="00FB6DE0">
              <w:rPr>
                <w:noProof/>
                <w:webHidden/>
              </w:rPr>
              <w:instrText xml:space="preserve"> PAGEREF _Toc475383972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F37316">
          <w:pPr>
            <w:pStyle w:val="Verzeichnis3"/>
            <w:tabs>
              <w:tab w:val="right" w:leader="dot" w:pos="9062"/>
            </w:tabs>
            <w:rPr>
              <w:rFonts w:eastAsiaTheme="minorEastAsia"/>
              <w:noProof/>
              <w:lang w:eastAsia="de-DE"/>
            </w:rPr>
          </w:pPr>
          <w:hyperlink w:anchor="_Toc475383973" w:history="1">
            <w:r w:rsidR="00FB6DE0" w:rsidRPr="00C244DC">
              <w:rPr>
                <w:rStyle w:val="Hyperlink"/>
                <w:noProof/>
              </w:rPr>
              <w:t>Physikalische Bedeutung</w:t>
            </w:r>
            <w:r w:rsidR="00FB6DE0">
              <w:rPr>
                <w:noProof/>
                <w:webHidden/>
              </w:rPr>
              <w:tab/>
            </w:r>
            <w:r w:rsidR="00FB6DE0">
              <w:rPr>
                <w:noProof/>
                <w:webHidden/>
              </w:rPr>
              <w:fldChar w:fldCharType="begin"/>
            </w:r>
            <w:r w:rsidR="00FB6DE0">
              <w:rPr>
                <w:noProof/>
                <w:webHidden/>
              </w:rPr>
              <w:instrText xml:space="preserve"> PAGEREF _Toc475383973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74" w:history="1">
            <w:r w:rsidR="00FB6DE0" w:rsidRPr="00C244DC">
              <w:rPr>
                <w:rStyle w:val="Hyperlink"/>
                <w:noProof/>
              </w:rPr>
              <w:t>Gruppen</w:t>
            </w:r>
            <w:r w:rsidR="00FB6DE0">
              <w:rPr>
                <w:noProof/>
                <w:webHidden/>
              </w:rPr>
              <w:tab/>
            </w:r>
            <w:r w:rsidR="00FB6DE0">
              <w:rPr>
                <w:noProof/>
                <w:webHidden/>
              </w:rPr>
              <w:fldChar w:fldCharType="begin"/>
            </w:r>
            <w:r w:rsidR="00FB6DE0">
              <w:rPr>
                <w:noProof/>
                <w:webHidden/>
              </w:rPr>
              <w:instrText xml:space="preserve"> PAGEREF _Toc475383974 \h </w:instrText>
            </w:r>
            <w:r w:rsidR="00FB6DE0">
              <w:rPr>
                <w:noProof/>
                <w:webHidden/>
              </w:rPr>
            </w:r>
            <w:r w:rsidR="00FB6DE0">
              <w:rPr>
                <w:noProof/>
                <w:webHidden/>
              </w:rPr>
              <w:fldChar w:fldCharType="separate"/>
            </w:r>
            <w:r w:rsidR="00422D96">
              <w:rPr>
                <w:noProof/>
                <w:webHidden/>
              </w:rPr>
              <w:t>16</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75" w:history="1">
            <w:r w:rsidR="00FB6DE0" w:rsidRPr="00C244DC">
              <w:rPr>
                <w:rStyle w:val="Hyperlink"/>
                <w:noProof/>
              </w:rPr>
              <w:t>Der unitäre Vektorraum</w:t>
            </w:r>
            <w:r w:rsidR="00FB6DE0">
              <w:rPr>
                <w:noProof/>
                <w:webHidden/>
              </w:rPr>
              <w:tab/>
            </w:r>
            <w:r w:rsidR="00FB6DE0">
              <w:rPr>
                <w:noProof/>
                <w:webHidden/>
              </w:rPr>
              <w:fldChar w:fldCharType="begin"/>
            </w:r>
            <w:r w:rsidR="00FB6DE0">
              <w:rPr>
                <w:noProof/>
                <w:webHidden/>
              </w:rPr>
              <w:instrText xml:space="preserve"> PAGEREF _Toc475383975 \h </w:instrText>
            </w:r>
            <w:r w:rsidR="00FB6DE0">
              <w:rPr>
                <w:noProof/>
                <w:webHidden/>
              </w:rPr>
            </w:r>
            <w:r w:rsidR="00FB6DE0">
              <w:rPr>
                <w:noProof/>
                <w:webHidden/>
              </w:rPr>
              <w:fldChar w:fldCharType="separate"/>
            </w:r>
            <w:r w:rsidR="00422D96">
              <w:rPr>
                <w:noProof/>
                <w:webHidden/>
              </w:rPr>
              <w:t>17</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76" w:history="1">
            <w:r w:rsidR="00FB6DE0" w:rsidRPr="00C244DC">
              <w:rPr>
                <w:rStyle w:val="Hyperlink"/>
                <w:noProof/>
              </w:rPr>
              <w:t>Basisvektoren</w:t>
            </w:r>
            <w:r w:rsidR="00FB6DE0">
              <w:rPr>
                <w:noProof/>
                <w:webHidden/>
              </w:rPr>
              <w:tab/>
            </w:r>
            <w:r w:rsidR="00FB6DE0">
              <w:rPr>
                <w:noProof/>
                <w:webHidden/>
              </w:rPr>
              <w:fldChar w:fldCharType="begin"/>
            </w:r>
            <w:r w:rsidR="00FB6DE0">
              <w:rPr>
                <w:noProof/>
                <w:webHidden/>
              </w:rPr>
              <w:instrText xml:space="preserve"> PAGEREF _Toc475383976 \h </w:instrText>
            </w:r>
            <w:r w:rsidR="00FB6DE0">
              <w:rPr>
                <w:noProof/>
                <w:webHidden/>
              </w:rPr>
            </w:r>
            <w:r w:rsidR="00FB6DE0">
              <w:rPr>
                <w:noProof/>
                <w:webHidden/>
              </w:rPr>
              <w:fldChar w:fldCharType="separate"/>
            </w:r>
            <w:r w:rsidR="00422D96">
              <w:rPr>
                <w:noProof/>
                <w:webHidden/>
              </w:rPr>
              <w:t>18</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77" w:history="1">
            <w:r w:rsidR="00FB6DE0" w:rsidRPr="00C244DC">
              <w:rPr>
                <w:rStyle w:val="Hyperlink"/>
                <w:noProof/>
              </w:rPr>
              <w:t>Diracsche Vektoren</w:t>
            </w:r>
            <w:r w:rsidR="00FB6DE0">
              <w:rPr>
                <w:noProof/>
                <w:webHidden/>
              </w:rPr>
              <w:tab/>
            </w:r>
            <w:r w:rsidR="00FB6DE0">
              <w:rPr>
                <w:noProof/>
                <w:webHidden/>
              </w:rPr>
              <w:fldChar w:fldCharType="begin"/>
            </w:r>
            <w:r w:rsidR="00FB6DE0">
              <w:rPr>
                <w:noProof/>
                <w:webHidden/>
              </w:rPr>
              <w:instrText xml:space="preserve"> PAGEREF _Toc475383977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78" w:history="1">
            <w:r w:rsidR="00FB6DE0" w:rsidRPr="00C244DC">
              <w:rPr>
                <w:rStyle w:val="Hyperlink"/>
                <w:noProof/>
              </w:rPr>
              <w:t>Zusammenfassende Schreibweise</w:t>
            </w:r>
            <w:r w:rsidR="00FB6DE0">
              <w:rPr>
                <w:noProof/>
                <w:webHidden/>
              </w:rPr>
              <w:tab/>
            </w:r>
            <w:r w:rsidR="00FB6DE0">
              <w:rPr>
                <w:noProof/>
                <w:webHidden/>
              </w:rPr>
              <w:fldChar w:fldCharType="begin"/>
            </w:r>
            <w:r w:rsidR="00FB6DE0">
              <w:rPr>
                <w:noProof/>
                <w:webHidden/>
              </w:rPr>
              <w:instrText xml:space="preserve"> PAGEREF _Toc475383978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79" w:history="1">
            <w:r w:rsidR="00FB6DE0" w:rsidRPr="00C244DC">
              <w:rPr>
                <w:rStyle w:val="Hyperlink"/>
                <w:noProof/>
              </w:rPr>
              <w:t>Shannonsche Informationstheorie</w:t>
            </w:r>
            <w:r w:rsidR="00FB6DE0">
              <w:rPr>
                <w:noProof/>
                <w:webHidden/>
              </w:rPr>
              <w:tab/>
            </w:r>
            <w:r w:rsidR="00FB6DE0">
              <w:rPr>
                <w:noProof/>
                <w:webHidden/>
              </w:rPr>
              <w:fldChar w:fldCharType="begin"/>
            </w:r>
            <w:r w:rsidR="00FB6DE0">
              <w:rPr>
                <w:noProof/>
                <w:webHidden/>
              </w:rPr>
              <w:instrText xml:space="preserve"> PAGEREF _Toc475383979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80" w:history="1">
            <w:r w:rsidR="00FB6DE0" w:rsidRPr="00C244DC">
              <w:rPr>
                <w:rStyle w:val="Hyperlink"/>
                <w:noProof/>
              </w:rPr>
              <w:t>Philosophischer Ausflug</w:t>
            </w:r>
            <w:r w:rsidR="00FB6DE0">
              <w:rPr>
                <w:noProof/>
                <w:webHidden/>
              </w:rPr>
              <w:tab/>
            </w:r>
            <w:r w:rsidR="00FB6DE0">
              <w:rPr>
                <w:noProof/>
                <w:webHidden/>
              </w:rPr>
              <w:fldChar w:fldCharType="begin"/>
            </w:r>
            <w:r w:rsidR="00FB6DE0">
              <w:rPr>
                <w:noProof/>
                <w:webHidden/>
              </w:rPr>
              <w:instrText xml:space="preserve"> PAGEREF _Toc475383980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81" w:history="1">
            <w:r w:rsidR="00FB6DE0" w:rsidRPr="00C244DC">
              <w:rPr>
                <w:rStyle w:val="Hyperlink"/>
                <w:noProof/>
              </w:rPr>
              <w:t>Quantentheorie</w:t>
            </w:r>
            <w:r w:rsidR="00FB6DE0">
              <w:rPr>
                <w:noProof/>
                <w:webHidden/>
              </w:rPr>
              <w:tab/>
            </w:r>
            <w:r w:rsidR="00FB6DE0">
              <w:rPr>
                <w:noProof/>
                <w:webHidden/>
              </w:rPr>
              <w:fldChar w:fldCharType="begin"/>
            </w:r>
            <w:r w:rsidR="00FB6DE0">
              <w:rPr>
                <w:noProof/>
                <w:webHidden/>
              </w:rPr>
              <w:instrText xml:space="preserve"> PAGEREF _Toc475383981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82" w:history="1">
            <w:r w:rsidR="00FB6DE0" w:rsidRPr="00C244DC">
              <w:rPr>
                <w:rStyle w:val="Hyperlink"/>
                <w:noProof/>
              </w:rPr>
              <w:t>Interpretationen der Quantentheorie</w:t>
            </w:r>
            <w:r w:rsidR="00FB6DE0">
              <w:rPr>
                <w:noProof/>
                <w:webHidden/>
              </w:rPr>
              <w:tab/>
            </w:r>
            <w:r w:rsidR="00FB6DE0">
              <w:rPr>
                <w:noProof/>
                <w:webHidden/>
              </w:rPr>
              <w:fldChar w:fldCharType="begin"/>
            </w:r>
            <w:r w:rsidR="00FB6DE0">
              <w:rPr>
                <w:noProof/>
                <w:webHidden/>
              </w:rPr>
              <w:instrText xml:space="preserve"> PAGEREF _Toc475383982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F37316">
          <w:pPr>
            <w:pStyle w:val="Verzeichnis1"/>
            <w:tabs>
              <w:tab w:val="right" w:leader="dot" w:pos="9062"/>
            </w:tabs>
            <w:rPr>
              <w:rFonts w:eastAsiaTheme="minorEastAsia"/>
              <w:noProof/>
              <w:lang w:eastAsia="de-DE"/>
            </w:rPr>
          </w:pPr>
          <w:hyperlink w:anchor="_Toc475383983" w:history="1">
            <w:r w:rsidR="00FB6DE0" w:rsidRPr="00C244DC">
              <w:rPr>
                <w:rStyle w:val="Hyperlink"/>
                <w:noProof/>
              </w:rPr>
              <w:t>Quanteninformation</w:t>
            </w:r>
            <w:r w:rsidR="00FB6DE0">
              <w:rPr>
                <w:noProof/>
                <w:webHidden/>
              </w:rPr>
              <w:tab/>
            </w:r>
            <w:r w:rsidR="00FB6DE0">
              <w:rPr>
                <w:noProof/>
                <w:webHidden/>
              </w:rPr>
              <w:fldChar w:fldCharType="begin"/>
            </w:r>
            <w:r w:rsidR="00FB6DE0">
              <w:rPr>
                <w:noProof/>
                <w:webHidden/>
              </w:rPr>
              <w:instrText xml:space="preserve"> PAGEREF _Toc475383983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FB6DE0" w:rsidRDefault="00F37316">
          <w:pPr>
            <w:pStyle w:val="Verzeichnis2"/>
            <w:tabs>
              <w:tab w:val="right" w:leader="dot" w:pos="9062"/>
            </w:tabs>
            <w:rPr>
              <w:rFonts w:eastAsiaTheme="minorEastAsia"/>
              <w:noProof/>
              <w:lang w:eastAsia="de-DE"/>
            </w:rPr>
          </w:pPr>
          <w:hyperlink w:anchor="_Toc475383984" w:history="1">
            <w:r w:rsidR="00FB6DE0" w:rsidRPr="00C244DC">
              <w:rPr>
                <w:rStyle w:val="Hyperlink"/>
                <w:noProof/>
              </w:rPr>
              <w:t>No Cloning Theorem</w:t>
            </w:r>
            <w:r w:rsidR="00FB6DE0">
              <w:rPr>
                <w:noProof/>
                <w:webHidden/>
              </w:rPr>
              <w:tab/>
            </w:r>
            <w:r w:rsidR="00FB6DE0">
              <w:rPr>
                <w:noProof/>
                <w:webHidden/>
              </w:rPr>
              <w:fldChar w:fldCharType="begin"/>
            </w:r>
            <w:r w:rsidR="00FB6DE0">
              <w:rPr>
                <w:noProof/>
                <w:webHidden/>
              </w:rPr>
              <w:instrText xml:space="preserve"> PAGEREF _Toc475383984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 xml:space="preserve">2. Matrix </w:t>
      </w:r>
      <w:proofErr w:type="spellStart"/>
      <w:r w:rsidR="00997DCD">
        <w:t>skalarmultipliziert</w:t>
      </w:r>
      <w:proofErr w:type="spellEnd"/>
      <w:r w:rsidR="00997DCD">
        <w: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w:t>
            </w:r>
            <w:r w:rsidR="00425D7E">
              <w:rPr>
                <w:rStyle w:val="Funotenzeichen"/>
                <w:b/>
                <w:bCs/>
                <w:smallCaps/>
                <w:spacing w:val="5"/>
              </w:rPr>
              <w:footnoteReference w:id="1"/>
            </w:r>
            <w:r w:rsidRPr="00D04AD0">
              <w:rPr>
                <w:rStyle w:val="Buchtitel"/>
              </w:rPr>
              <w:t xml:space="preserve">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lastRenderedPageBreak/>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422D96">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422D96">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422D96">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422D96">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422D96">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422D96">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422D96">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422D96">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422D96">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422D96">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422D96">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C5527" w:rsidP="005107EC">
            <w:pPr>
              <w:jc w:val="center"/>
            </w:pPr>
            <w:r>
              <w:rPr>
                <w:noProof/>
                <w:lang w:eastAsia="de-DE"/>
              </w:rPr>
              <w:drawing>
                <wp:inline distT="0" distB="0" distL="0" distR="0">
                  <wp:extent cx="609601" cy="156972"/>
                  <wp:effectExtent l="0" t="0" r="0" b="0"/>
                  <wp:docPr id="345" name="Grafik 34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422D96">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422D96">
              <w:rPr>
                <w:noProof/>
              </w:rPr>
              <w:t>29</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lastRenderedPageBreak/>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83958"/>
      <w:r>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2"/>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lastRenderedPageBreak/>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422D96">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0E53A5" w:rsidRPr="00B42CE7">
        <w:rPr>
          <w:b/>
        </w:rPr>
        <w:t>I</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422D96">
              <w:rPr>
                <w:noProof/>
              </w:rPr>
              <w:t>31</w:t>
            </w:r>
            <w:r>
              <w:fldChar w:fldCharType="end"/>
            </w:r>
            <w:bookmarkEnd w:id="36"/>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422D96">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422D96">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422D96">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5383959"/>
      <w:r>
        <w:lastRenderedPageBreak/>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83960"/>
      <w:r>
        <w:t>Ableitungsregeln</w:t>
      </w:r>
      <w:bookmarkEnd w:id="41"/>
      <w:r>
        <w:t xml:space="preserve"> </w:t>
      </w:r>
    </w:p>
    <w:p w:rsidR="00CD216C" w:rsidRDefault="00F37316"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83961"/>
      <w:r>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422D96">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422D96">
              <w:rPr>
                <w:noProof/>
              </w:rPr>
              <w:t>36</w:t>
            </w:r>
            <w:r>
              <w:fldChar w:fldCharType="end"/>
            </w:r>
            <w:bookmarkEnd w:id="44"/>
            <w:r>
              <w:t>)</w:t>
            </w:r>
          </w:p>
        </w:tc>
      </w:tr>
    </w:tbl>
    <w:p w:rsidR="00152B6C" w:rsidRDefault="00D91A63" w:rsidP="00D91A63">
      <w:pPr>
        <w:pStyle w:val="berschrift3"/>
      </w:pPr>
      <w:bookmarkStart w:id="45" w:name="_Toc475383962"/>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422D96">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422D96">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422D96">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422D96">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422D96">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5383963"/>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lastRenderedPageBreak/>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422D96">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422D96">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422D96">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422D96">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422D96">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lastRenderedPageBreak/>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422D96">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422D96">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83964"/>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lastRenderedPageBreak/>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422D96">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422D96">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422D96">
              <w:rPr>
                <w:noProof/>
              </w:rPr>
              <w:t>52</w:t>
            </w:r>
            <w:r>
              <w:fldChar w:fldCharType="end"/>
            </w:r>
            <w:bookmarkEnd w:id="63"/>
            <w:r>
              <w:t>)</w:t>
            </w:r>
          </w:p>
        </w:tc>
      </w:tr>
    </w:tbl>
    <w:p w:rsidR="005311FC" w:rsidRDefault="00F15095" w:rsidP="00F15095">
      <w:pPr>
        <w:pStyle w:val="berschrift3"/>
      </w:pPr>
      <w:bookmarkStart w:id="64" w:name="_Toc475383965"/>
      <w:r>
        <w:t>Differentialgleichungen</w:t>
      </w:r>
      <w:bookmarkEnd w:id="64"/>
    </w:p>
    <w:p w:rsidR="0028292B" w:rsidRPr="0028292B" w:rsidRDefault="00F37316"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422D96">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422D96">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lastRenderedPageBreak/>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422D96">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422D96">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3"/>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422D96">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lastRenderedPageBreak/>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422D96">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422D96">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drawing>
                <wp:inline distT="0" distB="0" distL="0" distR="0" wp14:anchorId="61F7A43C" wp14:editId="7464839C">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F25610" w:rsidTr="004D213E">
        <w:tc>
          <w:tcPr>
            <w:tcW w:w="4786" w:type="dxa"/>
            <w:tcBorders>
              <w:top w:val="nil"/>
              <w:left w:val="nil"/>
              <w:bottom w:val="nil"/>
              <w:right w:val="nil"/>
            </w:tcBorders>
          </w:tcPr>
          <w:p w:rsidR="00F25610" w:rsidRDefault="00F25610" w:rsidP="00FD1B6A">
            <w:r>
              <w:rPr>
                <w:noProof/>
                <w:lang w:eastAsia="de-DE"/>
              </w:rPr>
              <w:lastRenderedPageBreak/>
              <w:drawing>
                <wp:inline distT="0" distB="0" distL="0" distR="0" wp14:anchorId="237C762C" wp14:editId="78CE3D3D">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c>
          <w:tcPr>
            <w:tcW w:w="4502" w:type="dxa"/>
            <w:tcBorders>
              <w:top w:val="nil"/>
              <w:left w:val="nil"/>
              <w:bottom w:val="nil"/>
              <w:right w:val="nil"/>
            </w:tcBorders>
          </w:tcPr>
          <w:p w:rsidR="00F25610" w:rsidRDefault="00F25610" w:rsidP="00F25610">
            <w:r>
              <w:t xml:space="preserve">Nichtlineare DGL eignen sich als Modell für Effekte wie den Schmetterlingseffekt oder Tsunamis. Eine interessante Galerie von chaotischen </w:t>
            </w:r>
            <w:proofErr w:type="spellStart"/>
            <w:r>
              <w:t>Attraktoren</w:t>
            </w:r>
            <w:proofErr w:type="spellEnd"/>
            <w:r>
              <w:t xml:space="preserve">: </w:t>
            </w:r>
            <w:hyperlink r:id="rId80" w:history="1">
              <w:r w:rsidRPr="00D507C8">
                <w:rPr>
                  <w:rStyle w:val="Hyperlink"/>
                </w:rPr>
                <w:t>http://www.chaoscope.org</w:t>
              </w:r>
            </w:hyperlink>
            <w:r>
              <w:t xml:space="preserve">  </w:t>
            </w:r>
          </w:p>
          <w:p w:rsidR="00F25610" w:rsidRDefault="00F25610" w:rsidP="00F25610"/>
          <w:p w:rsidR="00F25610" w:rsidRDefault="00F25610" w:rsidP="00537958">
            <w:pPr>
              <w:rPr>
                <w:noProof/>
                <w:lang w:eastAsia="de-DE"/>
              </w:rPr>
            </w:pPr>
            <w:r>
              <w:rPr>
                <w:noProof/>
                <w:lang w:eastAsia="de-DE"/>
              </w:rPr>
              <w:t>In der unter</w:t>
            </w:r>
            <w:bookmarkStart w:id="72" w:name="_GoBack"/>
            <w:bookmarkEnd w:id="72"/>
            <w:r>
              <w:rPr>
                <w:noProof/>
                <w:lang w:eastAsia="de-DE"/>
              </w:rPr>
              <w:t xml:space="preserve">en Schicht der </w:t>
            </w:r>
            <w:r w:rsidRPr="00CB14B6">
              <w:rPr>
                <w:b/>
                <w:noProof/>
                <w:lang w:eastAsia="de-DE"/>
              </w:rPr>
              <w:t>Quantentheorie</w:t>
            </w:r>
            <w:r>
              <w:rPr>
                <w:noProof/>
                <w:lang w:eastAsia="de-DE"/>
              </w:rPr>
              <w:t xml:space="preserve"> (der „Rechenschicht“) werden uns dagegen </w:t>
            </w:r>
            <w:r w:rsidRPr="00CB14B6">
              <w:rPr>
                <w:b/>
                <w:noProof/>
                <w:lang w:eastAsia="de-DE"/>
              </w:rPr>
              <w:t>immer lineare DGL</w:t>
            </w:r>
            <w:r>
              <w:rPr>
                <w:noProof/>
                <w:lang w:eastAsia="de-DE"/>
              </w:rPr>
              <w:t xml:space="preserve"> begenen!</w:t>
            </w:r>
          </w:p>
        </w:tc>
      </w:tr>
    </w:tbl>
    <w:p w:rsidR="00FD1B6A" w:rsidRDefault="00FD1B6A" w:rsidP="00FD1B6A">
      <w:pPr>
        <w:pStyle w:val="berschrift2"/>
      </w:pPr>
      <w:bookmarkStart w:id="73" w:name="_Toc475383966"/>
      <w:r>
        <w:t>Komplexe Zahlen</w:t>
      </w:r>
      <w:bookmarkEnd w:id="73"/>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4" w:name="_Toc475383967"/>
      <w:r>
        <w:t xml:space="preserve">Real- und </w:t>
      </w:r>
      <w:proofErr w:type="spellStart"/>
      <w:r>
        <w:t>Imaginärteil</w:t>
      </w:r>
      <w:bookmarkEnd w:id="74"/>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5" w:name="_Toc475383968"/>
      <w:r w:rsidRPr="00C54117">
        <w:rPr>
          <w:lang w:val="en-US"/>
        </w:rPr>
        <w:t>Addition</w:t>
      </w:r>
      <w:bookmarkEnd w:id="75"/>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6" w:name="_Toc475383969"/>
      <w:proofErr w:type="spellStart"/>
      <w:r w:rsidRPr="00C54117">
        <w:rPr>
          <w:lang w:val="en-US"/>
        </w:rPr>
        <w:t>Multiplikation</w:t>
      </w:r>
      <w:bookmarkEnd w:id="76"/>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7" w:name="_Toc475383970"/>
      <w:r>
        <w:t>Betrag</w:t>
      </w:r>
      <w:bookmarkEnd w:id="77"/>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8" w:name="_Toc475383971"/>
      <w:r>
        <w:t>Polardarstellung</w:t>
      </w:r>
      <w:bookmarkEnd w:id="78"/>
    </w:p>
    <w:p w:rsidR="00E4751D" w:rsidRDefault="002827B7" w:rsidP="00E4751D">
      <w:r>
        <w:t>Über die Taylorentwicklungen der trigonometrischen Funktionen sin und cos</w:t>
      </w:r>
    </w:p>
    <w:p w:rsidR="002827B7" w:rsidRPr="00E4751D" w:rsidRDefault="00241DA8" w:rsidP="00E4751D">
      <w:r>
        <w:rPr>
          <w:noProof/>
          <w:lang w:eastAsia="de-DE"/>
        </w:rPr>
        <w:lastRenderedPageBreak/>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9" w:name="PolardarstellungKomplexeZahl"/>
            <w:r>
              <w:fldChar w:fldCharType="begin"/>
            </w:r>
            <w:r>
              <w:instrText xml:space="preserve"> SEQ Eq \* MERGEFORMAT </w:instrText>
            </w:r>
            <w:r>
              <w:fldChar w:fldCharType="separate"/>
            </w:r>
            <w:r w:rsidR="00422D96">
              <w:rPr>
                <w:noProof/>
              </w:rPr>
              <w:t>60</w:t>
            </w:r>
            <w:r>
              <w:fldChar w:fldCharType="end"/>
            </w:r>
            <w:bookmarkEnd w:id="79"/>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80" w:name="SinusCosinusKomplex"/>
            <w:r>
              <w:fldChar w:fldCharType="begin"/>
            </w:r>
            <w:r>
              <w:instrText xml:space="preserve"> SEQ Eq \* MERGEFORMAT </w:instrText>
            </w:r>
            <w:r>
              <w:fldChar w:fldCharType="separate"/>
            </w:r>
            <w:r w:rsidR="00422D96">
              <w:rPr>
                <w:noProof/>
              </w:rPr>
              <w:t>61</w:t>
            </w:r>
            <w:r>
              <w:fldChar w:fldCharType="end"/>
            </w:r>
            <w:bookmarkEnd w:id="80"/>
            <w:r>
              <w:t>)</w:t>
            </w:r>
          </w:p>
        </w:tc>
      </w:tr>
    </w:tbl>
    <w:p w:rsidR="00FA79F0" w:rsidRDefault="00FA79F0" w:rsidP="008A56A2"/>
    <w:p w:rsidR="005D23A6" w:rsidRDefault="00EA2B23" w:rsidP="00EA2B23">
      <w:pPr>
        <w:pStyle w:val="berschrift3"/>
      </w:pPr>
      <w:bookmarkStart w:id="81" w:name="_Toc475383972"/>
      <w:r>
        <w:t>Komplexe Konjugation</w:t>
      </w:r>
      <w:bookmarkEnd w:id="8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2" w:name="BetragKomplexeZahlMitKonjugation"/>
            <w:r>
              <w:fldChar w:fldCharType="begin"/>
            </w:r>
            <w:r>
              <w:instrText xml:space="preserve"> SEQ Eq \* MERGEFORMAT </w:instrText>
            </w:r>
            <w:r>
              <w:fldChar w:fldCharType="separate"/>
            </w:r>
            <w:r w:rsidR="00422D96">
              <w:rPr>
                <w:noProof/>
              </w:rPr>
              <w:t>62</w:t>
            </w:r>
            <w:r>
              <w:fldChar w:fldCharType="end"/>
            </w:r>
            <w:bookmarkEnd w:id="82"/>
            <w:r>
              <w:t>)</w:t>
            </w:r>
          </w:p>
        </w:tc>
      </w:tr>
    </w:tbl>
    <w:p w:rsidR="00B02C94" w:rsidRDefault="001A53C7" w:rsidP="001A53C7">
      <w:pPr>
        <w:pStyle w:val="berschrift3"/>
      </w:pPr>
      <w:bookmarkStart w:id="83" w:name="_Toc475383973"/>
      <w:r>
        <w:t>Physikalische Bedeutung</w:t>
      </w:r>
      <w:bookmarkEnd w:id="83"/>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w:t>
      </w:r>
      <w:r w:rsidR="00690FF4">
        <w:lastRenderedPageBreak/>
        <w:t xml:space="preserve">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4" w:name="_Toc475383974"/>
      <w:r>
        <w:t>Gruppen</w:t>
      </w:r>
      <w:bookmarkEnd w:id="8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4"/>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w:t>
      </w:r>
      <w:r>
        <w:lastRenderedPageBreak/>
        <w:t xml:space="preserve">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5"/>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5" w:name="_Toc475383975"/>
      <w:r>
        <w:t xml:space="preserve">Der unitäre </w:t>
      </w:r>
      <w:r w:rsidR="00EF09F0">
        <w:t>Vektorr</w:t>
      </w:r>
      <w:r>
        <w:t>aum</w:t>
      </w:r>
      <w:r w:rsidR="006A49B8">
        <w:rPr>
          <w:rStyle w:val="Funotenzeichen"/>
        </w:rPr>
        <w:footnoteReference w:id="6"/>
      </w:r>
      <w:bookmarkEnd w:id="85"/>
    </w:p>
    <w:p w:rsidR="00100214" w:rsidRDefault="00100214" w:rsidP="00A0210D">
      <w:r>
        <w:t>In der Quantentheorie</w:t>
      </w:r>
      <w:r w:rsidR="00951774">
        <w:t xml:space="preserve"> </w:t>
      </w:r>
      <w:r w:rsidR="00982A65">
        <w:t xml:space="preserve">werden physikalische Größen in einem unitären Vektorraum modelliert, d.h. einem Vektorraum, in dem die Skalarprodukte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lastRenderedPageBreak/>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6" w:name="AufgabeReelleNorm"/>
            <w:r>
              <w:fldChar w:fldCharType="begin"/>
            </w:r>
            <w:r>
              <w:instrText xml:space="preserve"> SEQ Eq \* MERGEFORMAT </w:instrText>
            </w:r>
            <w:r>
              <w:fldChar w:fldCharType="separate"/>
            </w:r>
            <w:r w:rsidR="00422D96">
              <w:rPr>
                <w:noProof/>
              </w:rPr>
              <w:t>63</w:t>
            </w:r>
            <w:r>
              <w:fldChar w:fldCharType="end"/>
            </w:r>
            <w:bookmarkEnd w:id="86"/>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7" w:name="NormUnitaererVektor"/>
            <w:r>
              <w:fldChar w:fldCharType="begin"/>
            </w:r>
            <w:r>
              <w:instrText xml:space="preserve"> SEQ Eq \* MERGEFORMAT </w:instrText>
            </w:r>
            <w:r>
              <w:fldChar w:fldCharType="separate"/>
            </w:r>
            <w:r w:rsidR="00422D96">
              <w:rPr>
                <w:noProof/>
              </w:rPr>
              <w:t>64</w:t>
            </w:r>
            <w:r>
              <w:fldChar w:fldCharType="end"/>
            </w:r>
            <w:bookmarkEnd w:id="87"/>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8" w:name="_Toc475383976"/>
      <w:r>
        <w:t>Basisvektoren</w:t>
      </w:r>
      <w:bookmarkEnd w:id="88"/>
    </w:p>
    <w:p w:rsidR="000E4428" w:rsidRDefault="000A2BD0" w:rsidP="000E4428">
      <w:r>
        <w:t xml:space="preserve">Wie unsere Zahlentupel-Vektoren und Funktionen </w:t>
      </w:r>
      <w:r w:rsidR="000E5B06">
        <w:t>wollen</w:t>
      </w:r>
      <w:r>
        <w:t xml:space="preserve"> wir die Hilbertraumvektoren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bilden zusammen ein Tupel</w:t>
      </w:r>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r w:rsidRPr="00602733">
        <w:rPr>
          <w:b/>
        </w:rPr>
        <w:t>Orthonormalbasis</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9" w:name="Orthonormalbasis"/>
            <w:r>
              <w:fldChar w:fldCharType="begin"/>
            </w:r>
            <w:r>
              <w:instrText xml:space="preserve"> SEQ Eq \* MERGEFORMAT </w:instrText>
            </w:r>
            <w:r>
              <w:fldChar w:fldCharType="separate"/>
            </w:r>
            <w:r w:rsidR="00422D96">
              <w:rPr>
                <w:noProof/>
              </w:rPr>
              <w:t>65</w:t>
            </w:r>
            <w:r>
              <w:fldChar w:fldCharType="end"/>
            </w:r>
            <w:bookmarkEnd w:id="89"/>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90" w:name="VektorkomponentenOrthonormalbasis"/>
            <w:r>
              <w:fldChar w:fldCharType="begin"/>
            </w:r>
            <w:r>
              <w:instrText xml:space="preserve"> SEQ Eq \* MERGEFORMAT </w:instrText>
            </w:r>
            <w:r>
              <w:fldChar w:fldCharType="separate"/>
            </w:r>
            <w:r w:rsidR="00422D96">
              <w:rPr>
                <w:noProof/>
              </w:rPr>
              <w:t>66</w:t>
            </w:r>
            <w:r>
              <w:fldChar w:fldCharType="end"/>
            </w:r>
            <w:bookmarkEnd w:id="90"/>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92D80" w:rsidTr="00692D80">
        <w:tc>
          <w:tcPr>
            <w:tcW w:w="4256" w:type="pct"/>
            <w:shd w:val="clear" w:color="auto" w:fill="auto"/>
            <w:vAlign w:val="center"/>
          </w:tcPr>
          <w:p w:rsidR="00692D80" w:rsidRDefault="00692D80" w:rsidP="00692D80">
            <w:pPr>
              <w:jc w:val="center"/>
            </w:pPr>
            <w:r>
              <w:rPr>
                <w:noProof/>
                <w:lang w:eastAsia="de-DE"/>
              </w:rPr>
              <w:drawing>
                <wp:inline distT="0" distB="0" distL="0" distR="0" wp14:anchorId="03149A2F" wp14:editId="486BACF4">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tc>
        <w:tc>
          <w:tcPr>
            <w:tcW w:w="478" w:type="pct"/>
            <w:shd w:val="clear" w:color="auto" w:fill="auto"/>
            <w:vAlign w:val="center"/>
          </w:tcPr>
          <w:p w:rsidR="00692D80" w:rsidRPr="00692D80" w:rsidRDefault="00692D80" w:rsidP="00692D80">
            <w:pPr>
              <w:jc w:val="right"/>
              <w:rPr>
                <w:rFonts w:ascii="Arial" w:hAnsi="Arial" w:cs="Arial"/>
                <w:vanish/>
                <w:sz w:val="16"/>
              </w:rPr>
            </w:pPr>
            <w:r w:rsidRPr="00692D80">
              <w:rPr>
                <w:rFonts w:ascii="Arial" w:hAnsi="Arial" w:cs="Arial"/>
                <w:vanish/>
                <w:sz w:val="16"/>
              </w:rPr>
              <w:t>OrthonormalIdentitaetSumme</w:t>
            </w:r>
          </w:p>
        </w:tc>
        <w:tc>
          <w:tcPr>
            <w:tcW w:w="266" w:type="pct"/>
            <w:shd w:val="clear" w:color="auto" w:fill="auto"/>
            <w:vAlign w:val="center"/>
          </w:tcPr>
          <w:p w:rsidR="00692D80" w:rsidRDefault="00692D80" w:rsidP="00692D80">
            <w:pPr>
              <w:jc w:val="right"/>
            </w:pPr>
            <w:r>
              <w:t>(</w:t>
            </w:r>
            <w:bookmarkStart w:id="91" w:name="OrthonormalIdentitaetSumme"/>
            <w:r>
              <w:fldChar w:fldCharType="begin"/>
            </w:r>
            <w:r>
              <w:instrText xml:space="preserve"> SEQ Eq \* MERGEFORMAT </w:instrText>
            </w:r>
            <w:r>
              <w:fldChar w:fldCharType="separate"/>
            </w:r>
            <w:r>
              <w:rPr>
                <w:noProof/>
              </w:rPr>
              <w:t>67</w:t>
            </w:r>
            <w:r>
              <w:fldChar w:fldCharType="end"/>
            </w:r>
            <w:bookmarkEnd w:id="91"/>
            <w:r>
              <w:t>)</w:t>
            </w:r>
          </w:p>
        </w:tc>
      </w:tr>
    </w:tbl>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xml:space="preserve">| ist ein </w:t>
      </w:r>
      <w:proofErr w:type="spellStart"/>
      <w:r>
        <w:t>Tensorprodukt</w:t>
      </w:r>
      <w:proofErr w:type="spellEnd"/>
      <w:r>
        <w:t xml:space="preserve">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 xml:space="preserve">Zustand des Q-Bits </w:t>
      </w:r>
      <w:r w:rsidR="00D32088">
        <w:lastRenderedPageBreak/>
        <w:t>entspricht</w:t>
      </w:r>
      <w:r w:rsidR="00540F1E">
        <w:t>.</w:t>
      </w:r>
      <w:r w:rsidR="00484CF8">
        <w:t xml:space="preserve"> Diese Basiszustände bezeichnet man dann als |0&gt; und |1&gt; in Analogie zu den 2 Zuständen eines klassischen Bits.</w:t>
      </w:r>
      <w:r w:rsidR="00AB16F3">
        <w:rPr>
          <w:rStyle w:val="Funotenzeichen"/>
        </w:rPr>
        <w:footnoteReference w:id="7"/>
      </w:r>
      <w:r w:rsidR="007167E8">
        <w:t xml:space="preserve"> </w:t>
      </w:r>
    </w:p>
    <w:p w:rsidR="00131A84" w:rsidRDefault="00131A84" w:rsidP="001D4C1C">
      <w:pPr>
        <w:pStyle w:val="berschrift2"/>
      </w:pPr>
      <w:bookmarkStart w:id="92" w:name="_Toc475383977"/>
      <w:proofErr w:type="spellStart"/>
      <w:r>
        <w:t>Diracsche</w:t>
      </w:r>
      <w:proofErr w:type="spellEnd"/>
      <w:r>
        <w:t xml:space="preserve"> Vektoren</w:t>
      </w:r>
      <w:bookmarkEnd w:id="92"/>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8"/>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BE7279" w:rsidRDefault="00975E71" w:rsidP="00B1482C">
      <w:r>
        <w:t xml:space="preserve">Die Entwicklung eines solchen </w:t>
      </w:r>
      <w:r w:rsidR="00955575">
        <w:t>Dirac-</w:t>
      </w:r>
      <w:r>
        <w:t>Vektors stellt sich so dar:</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BA1" w:rsidTr="00221BA1">
        <w:tc>
          <w:tcPr>
            <w:tcW w:w="4256" w:type="pct"/>
            <w:shd w:val="clear" w:color="auto" w:fill="auto"/>
            <w:vAlign w:val="center"/>
          </w:tcPr>
          <w:p w:rsidR="00221BA1" w:rsidRDefault="00221BA1" w:rsidP="00221BA1">
            <w:pPr>
              <w:jc w:val="center"/>
            </w:pPr>
            <w:r>
              <w:rPr>
                <w:noProof/>
                <w:lang w:eastAsia="de-DE"/>
              </w:rPr>
              <w:drawing>
                <wp:inline distT="0" distB="0" distL="0" distR="0" wp14:anchorId="7B730C40" wp14:editId="07A9F51B">
                  <wp:extent cx="3043123" cy="367531"/>
                  <wp:effectExtent l="0" t="0" r="5080" b="0"/>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046629" cy="367954"/>
                          </a:xfrm>
                          <a:prstGeom prst="rect">
                            <a:avLst/>
                          </a:prstGeom>
                        </pic:spPr>
                      </pic:pic>
                    </a:graphicData>
                  </a:graphic>
                </wp:inline>
              </w:drawing>
            </w:r>
          </w:p>
        </w:tc>
        <w:tc>
          <w:tcPr>
            <w:tcW w:w="478" w:type="pct"/>
            <w:shd w:val="clear" w:color="auto" w:fill="auto"/>
            <w:vAlign w:val="center"/>
          </w:tcPr>
          <w:p w:rsidR="00221BA1" w:rsidRPr="00221BA1" w:rsidRDefault="00221BA1" w:rsidP="00221BA1">
            <w:pPr>
              <w:jc w:val="right"/>
              <w:rPr>
                <w:rFonts w:ascii="Arial" w:hAnsi="Arial" w:cs="Arial"/>
                <w:vanish/>
                <w:sz w:val="16"/>
              </w:rPr>
            </w:pPr>
            <w:r w:rsidRPr="00221BA1">
              <w:rPr>
                <w:rFonts w:ascii="Arial" w:hAnsi="Arial" w:cs="Arial"/>
                <w:vanish/>
                <w:sz w:val="16"/>
              </w:rPr>
              <w:t>OrthonormalIdentitaetIntegral</w:t>
            </w:r>
          </w:p>
        </w:tc>
        <w:tc>
          <w:tcPr>
            <w:tcW w:w="266" w:type="pct"/>
            <w:shd w:val="clear" w:color="auto" w:fill="auto"/>
            <w:vAlign w:val="center"/>
          </w:tcPr>
          <w:p w:rsidR="00221BA1" w:rsidRDefault="00221BA1" w:rsidP="00221BA1">
            <w:pPr>
              <w:jc w:val="right"/>
            </w:pPr>
            <w:r>
              <w:t>(</w:t>
            </w:r>
            <w:bookmarkStart w:id="93" w:name="OrthonormalIdentitaetIntegral"/>
            <w:r>
              <w:fldChar w:fldCharType="begin"/>
            </w:r>
            <w:r>
              <w:instrText xml:space="preserve"> SEQ Eq \* MERGEFORMAT </w:instrText>
            </w:r>
            <w:r>
              <w:fldChar w:fldCharType="separate"/>
            </w:r>
            <w:r>
              <w:rPr>
                <w:noProof/>
              </w:rPr>
              <w:t>68</w:t>
            </w:r>
            <w:r>
              <w:fldChar w:fldCharType="end"/>
            </w:r>
            <w:bookmarkEnd w:id="93"/>
            <w:r>
              <w:t>)</w:t>
            </w:r>
          </w:p>
        </w:tc>
      </w:tr>
    </w:tbl>
    <w:p w:rsidR="00050E34" w:rsidRDefault="00447843" w:rsidP="000F34BC">
      <w:r>
        <w:t xml:space="preserve">In der Orthonormierungsbedingung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4" w:name="_Toc475383978"/>
      <w:r>
        <w:t>Zusammenfassende Schreibweise</w:t>
      </w:r>
      <w:bookmarkEnd w:id="94"/>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lastRenderedPageBreak/>
        <w:t>δ(</w:t>
      </w:r>
      <w:proofErr w:type="spellStart"/>
      <w:r>
        <w:t>k</w:t>
      </w:r>
      <w:proofErr w:type="gramStart"/>
      <w:r>
        <w:t>,k</w:t>
      </w:r>
      <w:proofErr w:type="spellEnd"/>
      <w:r>
        <w:t>‘</w:t>
      </w:r>
      <w:proofErr w:type="gramEnd"/>
      <w:r>
        <w:t xml:space="preserve">) soll </w:t>
      </w:r>
      <w:r w:rsidR="00E63FFE">
        <w:t>sowohl die Einheitsmatrix als auch die Delta-Distribution darstellen, je nach Kontext. Die Orthonormierung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5" w:name="_Toc475383979"/>
      <w:r>
        <w:t>Skalarprodukt in Komponentenform</w:t>
      </w:r>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Orthonormierung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6" w:name="AufgabeSkalarproduktUnitaer"/>
            <w:r>
              <w:fldChar w:fldCharType="begin"/>
            </w:r>
            <w:r>
              <w:instrText xml:space="preserve"> SEQ Eq \* MERGEFORMAT </w:instrText>
            </w:r>
            <w:r>
              <w:fldChar w:fldCharType="separate"/>
            </w:r>
            <w:r>
              <w:rPr>
                <w:noProof/>
              </w:rPr>
              <w:t>67</w:t>
            </w:r>
            <w:r>
              <w:fldChar w:fldCharType="end"/>
            </w:r>
            <w:bookmarkEnd w:id="96"/>
            <w:r>
              <w:t>)</w:t>
            </w:r>
          </w:p>
        </w:tc>
      </w:tr>
    </w:tbl>
    <w:p w:rsidR="00BC5310" w:rsidRDefault="00AD0764" w:rsidP="00AD0764">
      <w:pPr>
        <w:pStyle w:val="berschrift2"/>
      </w:pPr>
      <w:r>
        <w:t>Unitäre Basistransformationen</w:t>
      </w:r>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w:t>
      </w:r>
      <w:r>
        <w:lastRenderedPageBreak/>
        <w:t>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7" w:name="Unitaritaet"/>
            <w:r>
              <w:fldChar w:fldCharType="begin"/>
            </w:r>
            <w:r>
              <w:instrText xml:space="preserve"> SEQ Eq \* MERGEFORMAT </w:instrText>
            </w:r>
            <w:r>
              <w:fldChar w:fldCharType="separate"/>
            </w:r>
            <w:r>
              <w:rPr>
                <w:noProof/>
              </w:rPr>
              <w:t>68</w:t>
            </w:r>
            <w:r>
              <w:fldChar w:fldCharType="end"/>
            </w:r>
            <w:bookmarkEnd w:id="97"/>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9"/>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 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 xml:space="preserve">Der „abstrakte“ </w:t>
      </w:r>
      <w:proofErr w:type="spellStart"/>
      <w:r>
        <w:t>Vektor|ϕ</w:t>
      </w:r>
      <w:proofErr w:type="spellEnd"/>
      <w:r>
        <w:t xml:space="preserve">&gt; </w:t>
      </w:r>
      <w:r w:rsidR="007C2FFC">
        <w:t>kann also nach verschiedenen Basissystemen entwickelt werden. In der Quantentheorie wird er für den Zustand einer Welt</w:t>
      </w:r>
      <w:r w:rsidR="000610A6">
        <w:rPr>
          <w:rStyle w:val="Funotenzeichen"/>
        </w:rPr>
        <w:footnoteReference w:id="10"/>
      </w:r>
      <w:r w:rsidR="007C2FFC">
        <w:t xml:space="preserve"> st</w:t>
      </w:r>
      <w:r w:rsidR="00FC19FE">
        <w:t xml:space="preserve">ehen. Seine Komponenten können endliche oder unendlich große Zahlentupel sein oder unendlich große unendlich dichte Zahlentupel, d.h. Funktionen. Eine Wellenfunktion ϕ(x) muss also angesehen werden als die Entwicklung eines „abstrakten“ Vektors |ϕ&gt; nach einer bestimmten Basis. Wenn x den Ort bedeuten soll, dann ist es die Ortsbasis. Über Koordinatentransformationen kommt man zu anderen Darstellungen von |ϕ&gt;, z.B. in der Impulsbasis ϕ(p).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|ϕ&gt;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1"/>
      </w:r>
      <w:r w:rsidR="0068553E">
        <w:t xml:space="preserve"> </w:t>
      </w:r>
      <w:r w:rsidR="00E9782F">
        <w:t xml:space="preserve">   </w:t>
      </w:r>
    </w:p>
    <w:p w:rsidR="00792D3B" w:rsidRDefault="00792D3B" w:rsidP="00792D3B">
      <w:pPr>
        <w:pStyle w:val="berschrift2"/>
      </w:pPr>
      <w:r>
        <w:t>Lineare Operatoren</w:t>
      </w:r>
    </w:p>
    <w:p w:rsidR="00D5449D" w:rsidRDefault="000F0D85" w:rsidP="00227B07">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|ϕ&gt; einen anderen Vektor |ϕ</w:t>
      </w:r>
      <w:r w:rsidR="00422126">
        <w:t>‘</w:t>
      </w:r>
      <w:r w:rsidR="00155CE8">
        <w:t>&gt; (welcher zufällig auch der gleiche sein kann) zuordnet.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7B07" w:rsidTr="00227B07">
        <w:tc>
          <w:tcPr>
            <w:tcW w:w="4256" w:type="pct"/>
            <w:shd w:val="clear" w:color="auto" w:fill="auto"/>
            <w:vAlign w:val="center"/>
          </w:tcPr>
          <w:p w:rsidR="00227B07" w:rsidRDefault="00227B07" w:rsidP="00227B07">
            <w:pPr>
              <w:jc w:val="center"/>
            </w:pPr>
            <w:r>
              <w:rPr>
                <w:noProof/>
                <w:lang w:eastAsia="de-DE"/>
              </w:rPr>
              <w:lastRenderedPageBreak/>
              <w:drawing>
                <wp:inline distT="0" distB="0" distL="0" distR="0" wp14:anchorId="5422B596" wp14:editId="529D115C">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tc>
        <w:tc>
          <w:tcPr>
            <w:tcW w:w="478" w:type="pct"/>
            <w:shd w:val="clear" w:color="auto" w:fill="auto"/>
            <w:vAlign w:val="center"/>
          </w:tcPr>
          <w:p w:rsidR="00227B07" w:rsidRPr="00227B07" w:rsidRDefault="00227B07" w:rsidP="00227B07">
            <w:pPr>
              <w:jc w:val="right"/>
              <w:rPr>
                <w:rFonts w:ascii="Arial" w:hAnsi="Arial" w:cs="Arial"/>
                <w:vanish/>
                <w:sz w:val="16"/>
              </w:rPr>
            </w:pPr>
            <w:r w:rsidRPr="00227B07">
              <w:rPr>
                <w:rFonts w:ascii="Arial" w:hAnsi="Arial" w:cs="Arial"/>
                <w:vanish/>
                <w:sz w:val="16"/>
              </w:rPr>
              <w:t>DefinitionLinearerOperator</w:t>
            </w:r>
          </w:p>
        </w:tc>
        <w:tc>
          <w:tcPr>
            <w:tcW w:w="266" w:type="pct"/>
            <w:shd w:val="clear" w:color="auto" w:fill="auto"/>
            <w:vAlign w:val="center"/>
          </w:tcPr>
          <w:p w:rsidR="00227B07" w:rsidRDefault="00227B07" w:rsidP="00227B07">
            <w:pPr>
              <w:jc w:val="right"/>
            </w:pPr>
            <w:r>
              <w:t>(</w:t>
            </w:r>
            <w:bookmarkStart w:id="98" w:name="DefinitionLinearerOperator"/>
            <w:r>
              <w:fldChar w:fldCharType="begin"/>
            </w:r>
            <w:r>
              <w:instrText xml:space="preserve"> SEQ Eq \* MERGEFORMAT </w:instrText>
            </w:r>
            <w:r>
              <w:fldChar w:fldCharType="separate"/>
            </w:r>
            <w:r>
              <w:rPr>
                <w:noProof/>
              </w:rPr>
              <w:t>71</w:t>
            </w:r>
            <w:r>
              <w:fldChar w:fldCharType="end"/>
            </w:r>
            <w:bookmarkEnd w:id="98"/>
            <w:r>
              <w:t>)</w:t>
            </w:r>
          </w:p>
        </w:tc>
      </w:tr>
    </w:tbl>
    <w:p w:rsidR="00227B07" w:rsidRDefault="00227B07" w:rsidP="00D5449D">
      <w:pPr>
        <w:jc w:val="center"/>
      </w:pP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94DE2" w:rsidTr="00A94DE2">
        <w:tc>
          <w:tcPr>
            <w:tcW w:w="4256" w:type="pct"/>
            <w:shd w:val="clear" w:color="auto" w:fill="auto"/>
            <w:vAlign w:val="center"/>
          </w:tcPr>
          <w:p w:rsidR="00A94DE2" w:rsidRDefault="00A94DE2" w:rsidP="00A94DE2">
            <w:pPr>
              <w:jc w:val="center"/>
            </w:pPr>
            <w:r>
              <w:rPr>
                <w:noProof/>
                <w:lang w:eastAsia="de-DE"/>
              </w:rPr>
              <w:drawing>
                <wp:inline distT="0" distB="0" distL="0" distR="0" wp14:anchorId="2A94AA04" wp14:editId="244B3033">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tc>
        <w:tc>
          <w:tcPr>
            <w:tcW w:w="478" w:type="pct"/>
            <w:shd w:val="clear" w:color="auto" w:fill="auto"/>
            <w:vAlign w:val="center"/>
          </w:tcPr>
          <w:p w:rsidR="00A94DE2" w:rsidRPr="00A94DE2" w:rsidRDefault="00A94DE2" w:rsidP="00A94DE2">
            <w:pPr>
              <w:jc w:val="right"/>
              <w:rPr>
                <w:rFonts w:ascii="Arial" w:hAnsi="Arial" w:cs="Arial"/>
                <w:vanish/>
                <w:sz w:val="16"/>
              </w:rPr>
            </w:pPr>
            <w:r w:rsidRPr="00A94DE2">
              <w:rPr>
                <w:rFonts w:ascii="Arial" w:hAnsi="Arial" w:cs="Arial"/>
                <w:vanish/>
                <w:sz w:val="16"/>
              </w:rPr>
              <w:t>LinearerOperatorKomponentenwirkung</w:t>
            </w:r>
          </w:p>
        </w:tc>
        <w:tc>
          <w:tcPr>
            <w:tcW w:w="266" w:type="pct"/>
            <w:shd w:val="clear" w:color="auto" w:fill="auto"/>
            <w:vAlign w:val="center"/>
          </w:tcPr>
          <w:p w:rsidR="00A94DE2" w:rsidRDefault="00A94DE2" w:rsidP="00A94DE2">
            <w:pPr>
              <w:jc w:val="right"/>
            </w:pPr>
            <w:r>
              <w:t>(</w:t>
            </w:r>
            <w:bookmarkStart w:id="99" w:name="LinearerOperatorKomponentenwirkung"/>
            <w:r>
              <w:fldChar w:fldCharType="begin"/>
            </w:r>
            <w:r>
              <w:instrText xml:space="preserve"> SEQ Eq \* MERGEFORMAT </w:instrText>
            </w:r>
            <w:r>
              <w:fldChar w:fldCharType="separate"/>
            </w:r>
            <w:r>
              <w:rPr>
                <w:noProof/>
              </w:rPr>
              <w:t>72</w:t>
            </w:r>
            <w:r>
              <w:fldChar w:fldCharType="end"/>
            </w:r>
            <w:bookmarkEnd w:id="99"/>
            <w:r>
              <w:t>)</w:t>
            </w:r>
          </w:p>
        </w:tc>
      </w:tr>
    </w:tbl>
    <w:p w:rsidR="00B45B83" w:rsidRDefault="00B45B83" w:rsidP="00A94DE2"/>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r>
        <w:t>Tensorprodukt als linearer Operator</w:t>
      </w:r>
    </w:p>
    <w:p w:rsidR="000D6C96" w:rsidRDefault="00D4304D" w:rsidP="00D4304D">
      <w:r>
        <w:t>Analog zum Tensorprodukt, das wir schon kennen, lässt sich auch im unitären Raum</w:t>
      </w:r>
      <w:r w:rsidR="00C2793C">
        <w:t xml:space="preserve"> aus 2 Vektoren |u&gt; und |v&gt;</w:t>
      </w:r>
      <w:r>
        <w:t xml:space="preserve"> ein Tensorprodukt definieren, das als |u&gt;&lt;v| geschrieben wird. Dieses Konstrukt ist ein linearer Operator mi</w:t>
      </w:r>
      <w:r w:rsidR="00906A83">
        <w:t>t dieser Eigenschaft:</w:t>
      </w:r>
      <w:r w:rsidR="00906A83">
        <w:br/>
      </w:r>
      <w:r w:rsidR="00906A83">
        <w:rPr>
          <w:noProof/>
          <w:lang w:eastAsia="de-DE"/>
        </w:rPr>
        <w:drawing>
          <wp:inline distT="0" distB="0" distL="0" distR="0" wp14:anchorId="49811B70" wp14:editId="0974603E">
            <wp:extent cx="1865376" cy="270133"/>
            <wp:effectExtent l="0" t="0" r="1905" b="0"/>
            <wp:docPr id="362" name="Grafik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1909199" cy="276479"/>
                    </a:xfrm>
                    <a:prstGeom prst="rect">
                      <a:avLst/>
                    </a:prstGeom>
                  </pic:spPr>
                </pic:pic>
              </a:graphicData>
            </a:graphic>
          </wp:inline>
        </w:drawing>
      </w:r>
    </w:p>
    <w:p w:rsidR="006F0806" w:rsidRDefault="000D6C96" w:rsidP="00D4304D">
      <w:r>
        <w:t xml:space="preserve">Wie bei den Matrizen ist nicht jeder lineare Operator ein Tensorprodukt, doch jeder lineare Operator kann als Summe/Integral über </w:t>
      </w:r>
      <w:proofErr w:type="spellStart"/>
      <w:r>
        <w:t>Tensorprodukte</w:t>
      </w:r>
      <w:proofErr w:type="spellEnd"/>
      <w:r>
        <w:t xml:space="preserve"> dargestellt werden. Die Zerlegung ist wieder nicht eindeutig. </w:t>
      </w:r>
    </w:p>
    <w:p w:rsidR="00D4304D" w:rsidRDefault="006F0806" w:rsidP="00D4304D">
      <w:r>
        <w:lastRenderedPageBreak/>
        <w:t>D</w:t>
      </w:r>
      <w:r w:rsidR="000D6C96">
        <w:t xml:space="preserve">en Einheitsoperator </w:t>
      </w:r>
      <w:r>
        <w:t xml:space="preserve">kann man </w:t>
      </w:r>
      <w:r w:rsidR="000442D4">
        <w:t>ablesen aus der Entwicklung eines Vektors nach irgendeiner Basis</w:t>
      </w:r>
      <w:r w:rsidR="00325D36">
        <w:t xml:space="preserve"> ((</w:t>
      </w:r>
      <w:r w:rsidR="00325D36">
        <w:fldChar w:fldCharType="begin"/>
      </w:r>
      <w:r w:rsidR="00325D36">
        <w:instrText xml:space="preserve"> REF OrthonormalIdentitaetSumme \h </w:instrText>
      </w:r>
      <w:r w:rsidR="00325D36">
        <w:fldChar w:fldCharType="separate"/>
      </w:r>
      <w:r w:rsidR="00325D36">
        <w:rPr>
          <w:noProof/>
        </w:rPr>
        <w:t>67</w:t>
      </w:r>
      <w:r w:rsidR="00325D36">
        <w:fldChar w:fldCharType="end"/>
      </w:r>
      <w:r w:rsidR="00325D36">
        <w:t>) bzw. (</w:t>
      </w:r>
      <w:r w:rsidR="00325D36">
        <w:fldChar w:fldCharType="begin"/>
      </w:r>
      <w:r w:rsidR="00325D36">
        <w:instrText xml:space="preserve"> REF OrthonormalIdentitaetIntegral \h </w:instrText>
      </w:r>
      <w:r w:rsidR="00325D36">
        <w:fldChar w:fldCharType="separate"/>
      </w:r>
      <w:r w:rsidR="00325D36">
        <w:rPr>
          <w:noProof/>
        </w:rPr>
        <w:t>68</w:t>
      </w:r>
      <w:r w:rsidR="00325D36">
        <w:fldChar w:fldCharType="end"/>
      </w:r>
      <w:r w:rsidR="00325D36">
        <w:t xml:space="preserve">)): </w:t>
      </w:r>
      <w:r w:rsidR="00D4304D">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9522F" w:rsidTr="0019522F">
        <w:tc>
          <w:tcPr>
            <w:tcW w:w="4256" w:type="pct"/>
            <w:shd w:val="clear" w:color="auto" w:fill="auto"/>
            <w:vAlign w:val="center"/>
          </w:tcPr>
          <w:p w:rsidR="0019522F" w:rsidRDefault="0019522F" w:rsidP="0019522F">
            <w:pPr>
              <w:jc w:val="center"/>
            </w:pPr>
            <w:r>
              <w:rPr>
                <w:noProof/>
                <w:lang w:eastAsia="de-DE"/>
              </w:rPr>
              <w:drawing>
                <wp:inline distT="0" distB="0" distL="0" distR="0" wp14:anchorId="436C2050" wp14:editId="26207C73">
                  <wp:extent cx="1345997" cy="356083"/>
                  <wp:effectExtent l="0" t="0" r="6985" b="63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48154" cy="356654"/>
                          </a:xfrm>
                          <a:prstGeom prst="rect">
                            <a:avLst/>
                          </a:prstGeom>
                        </pic:spPr>
                      </pic:pic>
                    </a:graphicData>
                  </a:graphic>
                </wp:inline>
              </w:drawing>
            </w:r>
          </w:p>
        </w:tc>
        <w:tc>
          <w:tcPr>
            <w:tcW w:w="478" w:type="pct"/>
            <w:shd w:val="clear" w:color="auto" w:fill="auto"/>
            <w:vAlign w:val="center"/>
          </w:tcPr>
          <w:p w:rsidR="0019522F" w:rsidRPr="0019522F" w:rsidRDefault="0019522F" w:rsidP="0019522F">
            <w:pPr>
              <w:jc w:val="right"/>
              <w:rPr>
                <w:rFonts w:ascii="Arial" w:hAnsi="Arial" w:cs="Arial"/>
                <w:vanish/>
                <w:sz w:val="16"/>
              </w:rPr>
            </w:pPr>
            <w:r w:rsidRPr="0019522F">
              <w:rPr>
                <w:rFonts w:ascii="Arial" w:hAnsi="Arial" w:cs="Arial"/>
                <w:vanish/>
                <w:sz w:val="16"/>
              </w:rPr>
              <w:t>EinheitsoperatorAusProjektoren</w:t>
            </w:r>
          </w:p>
        </w:tc>
        <w:tc>
          <w:tcPr>
            <w:tcW w:w="266" w:type="pct"/>
            <w:shd w:val="clear" w:color="auto" w:fill="auto"/>
            <w:vAlign w:val="center"/>
          </w:tcPr>
          <w:p w:rsidR="0019522F" w:rsidRDefault="0019522F" w:rsidP="0019522F">
            <w:pPr>
              <w:jc w:val="right"/>
            </w:pPr>
            <w:r>
              <w:t>(</w:t>
            </w:r>
            <w:bookmarkStart w:id="100" w:name="EinheitsoperatorAusProjektoren"/>
            <w:r>
              <w:fldChar w:fldCharType="begin"/>
            </w:r>
            <w:r>
              <w:instrText xml:space="preserve"> SEQ Eq \* MERGEFORMAT </w:instrText>
            </w:r>
            <w:r>
              <w:fldChar w:fldCharType="separate"/>
            </w:r>
            <w:r>
              <w:rPr>
                <w:noProof/>
              </w:rPr>
              <w:t>71</w:t>
            </w:r>
            <w:r>
              <w:fldChar w:fldCharType="end"/>
            </w:r>
            <w:bookmarkEnd w:id="100"/>
            <w:r>
              <w:t>)</w:t>
            </w:r>
          </w:p>
        </w:tc>
      </w:tr>
    </w:tbl>
    <w:p w:rsidR="00D1380F" w:rsidRPr="00D4304D" w:rsidRDefault="00D07239" w:rsidP="00D4304D">
      <w:r>
        <w:t>Die |</w:t>
      </w:r>
      <w:proofErr w:type="spellStart"/>
      <w:r>
        <w:t>v</w:t>
      </w:r>
      <w:r w:rsidRPr="000A00FB">
        <w:rPr>
          <w:vertAlign w:val="subscript"/>
        </w:rPr>
        <w:t>k</w:t>
      </w:r>
      <w:proofErr w:type="spellEnd"/>
      <w:r>
        <w:t>&gt;&lt;</w:t>
      </w:r>
      <w:proofErr w:type="spellStart"/>
      <w:r>
        <w:t>v</w:t>
      </w:r>
      <w:r w:rsidRPr="000A00FB">
        <w:rPr>
          <w:vertAlign w:val="subscript"/>
        </w:rPr>
        <w:t>k</w:t>
      </w:r>
      <w:proofErr w:type="spellEnd"/>
      <w:r>
        <w:t>| sind Projektionsoperatoren auf die Basisvektoren.</w:t>
      </w:r>
      <w:r w:rsidR="00F9041E">
        <w:t xml:space="preserve"> </w:t>
      </w:r>
      <w:r w:rsidR="00D948CF">
        <w:t xml:space="preserve">Diese </w:t>
      </w:r>
      <w:r w:rsidR="00634966">
        <w:t>Zerlegung</w:t>
      </w:r>
      <w:r w:rsidR="00D948CF">
        <w:t xml:space="preserve"> des Einheitsoperators </w:t>
      </w:r>
      <w:r w:rsidR="00634966">
        <w:t xml:space="preserve">in Projektionsoperatoren </w:t>
      </w:r>
      <w:r w:rsidR="00F86953">
        <w:t xml:space="preserve">gilt </w:t>
      </w:r>
      <w:r w:rsidR="00D948CF">
        <w:t>für jede Orthonormalbasis: |</w:t>
      </w:r>
      <w:proofErr w:type="spellStart"/>
      <w:r w:rsidR="00D948CF">
        <w:t>v</w:t>
      </w:r>
      <w:r w:rsidR="00D948CF" w:rsidRPr="00D948CF">
        <w:rPr>
          <w:vertAlign w:val="subscript"/>
        </w:rPr>
        <w:t>k</w:t>
      </w:r>
      <w:proofErr w:type="spellEnd"/>
      <w:r w:rsidR="00D948CF">
        <w:t>&gt;, |</w:t>
      </w:r>
      <w:proofErr w:type="spellStart"/>
      <w:r w:rsidR="00D948CF">
        <w:t>u</w:t>
      </w:r>
      <w:r w:rsidR="00D948CF" w:rsidRPr="00D948CF">
        <w:rPr>
          <w:vertAlign w:val="subscript"/>
        </w:rPr>
        <w:t>x</w:t>
      </w:r>
      <w:proofErr w:type="spellEnd"/>
      <w:r w:rsidR="00D948CF">
        <w:t>&gt;, ...</w:t>
      </w:r>
    </w:p>
    <w:p w:rsidR="00D77AE4" w:rsidRDefault="00D77AE4" w:rsidP="00D77AE4">
      <w:pPr>
        <w:pStyle w:val="berschrift3"/>
      </w:pPr>
      <w:r>
        <w:t>Matrixelemente eines Operators</w:t>
      </w:r>
    </w:p>
    <w:p w:rsidR="004241AB" w:rsidRDefault="004241AB" w:rsidP="004241AB">
      <w:r>
        <w:t>Ein abstrakter Vektor erhält durch die Wahl einer Basis konkrete Komponenten: ein Zahlentupel oder eine Funktion einer Veränderlichen. Genauso bekommt ein linearer Operator durch die Wahl dieser Basis entsprechende Komponenten: eine Matrix oder</w:t>
      </w:r>
      <w:r w:rsidR="00641A7F">
        <w:rPr>
          <w:rStyle w:val="Funotenzeichen"/>
        </w:rPr>
        <w:footnoteReference w:id="12"/>
      </w:r>
      <w:r>
        <w:t xml:space="preserve"> eine Funktion zweier Veränderlicher.</w:t>
      </w:r>
    </w:p>
    <w:p w:rsidR="002C506A" w:rsidRDefault="002C506A" w:rsidP="004241AB">
      <w:r>
        <w:t xml:space="preserve">Über die Definition des Einheitsoperators lässt sich die </w:t>
      </w:r>
      <w:r w:rsidR="00107E04">
        <w:t>Wirkung eines Operators auf die Komponenten eines Vektors</w:t>
      </w:r>
      <w:r w:rsidR="0038407B">
        <w:t xml:space="preserve"> (</w:t>
      </w:r>
      <w:r w:rsidR="0038407B">
        <w:fldChar w:fldCharType="begin"/>
      </w:r>
      <w:r w:rsidR="0038407B">
        <w:instrText xml:space="preserve"> REF LinearerOperatorKomponentenwirkung \h </w:instrText>
      </w:r>
      <w:r w:rsidR="0038407B">
        <w:fldChar w:fldCharType="separate"/>
      </w:r>
      <w:r w:rsidR="0038407B">
        <w:rPr>
          <w:noProof/>
        </w:rPr>
        <w:t>72</w:t>
      </w:r>
      <w:r w:rsidR="0038407B">
        <w:fldChar w:fldCharType="end"/>
      </w:r>
      <w:r w:rsidR="0038407B">
        <w:t>)</w:t>
      </w:r>
      <w:r w:rsidR="00107E04">
        <w:t xml:space="preserve"> so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07E04" w:rsidTr="00C5080B">
        <w:tc>
          <w:tcPr>
            <w:tcW w:w="4234" w:type="pct"/>
            <w:shd w:val="clear" w:color="auto" w:fill="auto"/>
            <w:vAlign w:val="center"/>
          </w:tcPr>
          <w:p w:rsidR="00107E04" w:rsidRDefault="005B3E42" w:rsidP="00107E04">
            <w:pPr>
              <w:jc w:val="center"/>
            </w:pPr>
            <w:r>
              <w:rPr>
                <w:noProof/>
                <w:lang w:eastAsia="de-DE"/>
              </w:rPr>
              <w:drawing>
                <wp:inline distT="0" distB="0" distL="0" distR="0">
                  <wp:extent cx="4594869" cy="313945"/>
                  <wp:effectExtent l="0" t="0" r="0" b="0"/>
                  <wp:docPr id="393" name="Grafik 393" descr="%FontSize=11&#10;%TeXFontSize=11&#10;\documentclass{article}&#10;\usepackage{mathrsfs}&#10;\pagestyle{empty}&#10;\begin{document}&#10;\[&#10;\mathscr{L} |\phi(k')&gt; = \mathscr{L} &lt;v_k'|\phi&gt; \equiv &lt;v_k'|\mathscr{L} \phi&gt; =&#10;\sum_{k} &lt;v_{k'}|\mathscr{L} v_k&gt;&lt;v_k| \phi&gt; \equiv&#10;\sum_{k} L(k',k)\phi(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lum/>
                          </a:blip>
                          <a:stretch>
                            <a:fillRect/>
                          </a:stretch>
                        </pic:blipFill>
                        <pic:spPr>
                          <a:xfrm>
                            <a:off x="0" y="0"/>
                            <a:ext cx="4594869" cy="313945"/>
                          </a:xfrm>
                          <a:prstGeom prst="rect">
                            <a:avLst/>
                          </a:prstGeom>
                          <a:noFill/>
                          <a:ln>
                            <a:noFill/>
                          </a:ln>
                        </pic:spPr>
                      </pic:pic>
                    </a:graphicData>
                  </a:graphic>
                </wp:inline>
              </w:drawing>
            </w:r>
          </w:p>
        </w:tc>
        <w:tc>
          <w:tcPr>
            <w:tcW w:w="457" w:type="pct"/>
            <w:shd w:val="clear" w:color="auto" w:fill="auto"/>
            <w:vAlign w:val="center"/>
          </w:tcPr>
          <w:p w:rsidR="00107E04" w:rsidRPr="00107E04" w:rsidRDefault="00107E04" w:rsidP="00107E04">
            <w:pPr>
              <w:jc w:val="right"/>
              <w:rPr>
                <w:rFonts w:ascii="Arial" w:hAnsi="Arial" w:cs="Arial"/>
                <w:vanish/>
                <w:sz w:val="16"/>
              </w:rPr>
            </w:pPr>
            <w:r w:rsidRPr="00107E04">
              <w:rPr>
                <w:rFonts w:ascii="Arial" w:hAnsi="Arial" w:cs="Arial"/>
                <w:vanish/>
                <w:sz w:val="16"/>
              </w:rPr>
              <w:t>OperatorMatrixelemente</w:t>
            </w:r>
          </w:p>
        </w:tc>
        <w:tc>
          <w:tcPr>
            <w:tcW w:w="308" w:type="pct"/>
            <w:shd w:val="clear" w:color="auto" w:fill="auto"/>
            <w:vAlign w:val="center"/>
          </w:tcPr>
          <w:p w:rsidR="00107E04" w:rsidRDefault="00107E04" w:rsidP="00107E04">
            <w:pPr>
              <w:jc w:val="right"/>
            </w:pPr>
            <w:r>
              <w:t>(</w:t>
            </w:r>
            <w:bookmarkStart w:id="101" w:name="OperatorMatrixelemente"/>
            <w:r>
              <w:fldChar w:fldCharType="begin"/>
            </w:r>
            <w:r>
              <w:instrText xml:space="preserve"> SEQ Eq \* MERGEFORMAT </w:instrText>
            </w:r>
            <w:r>
              <w:fldChar w:fldCharType="separate"/>
            </w:r>
            <w:r>
              <w:rPr>
                <w:noProof/>
              </w:rPr>
              <w:t>72</w:t>
            </w:r>
            <w:r>
              <w:fldChar w:fldCharType="end"/>
            </w:r>
            <w:bookmarkEnd w:id="101"/>
            <w:r>
              <w:t>)</w:t>
            </w:r>
          </w:p>
        </w:tc>
      </w:tr>
    </w:tbl>
    <w:p w:rsidR="002C506A" w:rsidRDefault="002C2246" w:rsidP="004241AB">
      <w:r>
        <w:t>Die Matrixelem</w:t>
      </w:r>
      <w:r w:rsidR="003A0832">
        <w:t>ente eines Operators sind 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A0832" w:rsidTr="003A0832">
        <w:tc>
          <w:tcPr>
            <w:tcW w:w="4256" w:type="pct"/>
            <w:shd w:val="clear" w:color="auto" w:fill="auto"/>
            <w:vAlign w:val="center"/>
          </w:tcPr>
          <w:p w:rsidR="003A0832" w:rsidRDefault="00B14251" w:rsidP="003A0832">
            <w:pPr>
              <w:jc w:val="center"/>
            </w:pPr>
            <w:r>
              <w:rPr>
                <w:noProof/>
                <w:lang w:eastAsia="de-DE"/>
              </w:rPr>
              <w:drawing>
                <wp:inline distT="0" distB="0" distL="0" distR="0">
                  <wp:extent cx="1232919" cy="141732"/>
                  <wp:effectExtent l="0" t="0" r="5715" b="0"/>
                  <wp:docPr id="395" name="Grafik 395" descr="%FontSize=11&#10;%TeXFontSize=11&#10;\documentclass{article}&#10;\usepackage{mathrsfs}&#10;\pagestyle{empty}&#10;\begin{document}&#10;\[&#10;L(k',k)&#10;\equiv&#10;&lt;v_{k'}|\mathscr{L} v_k&g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lum/>
                          </a:blip>
                          <a:stretch>
                            <a:fillRect/>
                          </a:stretch>
                        </pic:blipFill>
                        <pic:spPr>
                          <a:xfrm>
                            <a:off x="0" y="0"/>
                            <a:ext cx="1232919" cy="141732"/>
                          </a:xfrm>
                          <a:prstGeom prst="rect">
                            <a:avLst/>
                          </a:prstGeom>
                          <a:noFill/>
                          <a:ln>
                            <a:noFill/>
                          </a:ln>
                        </pic:spPr>
                      </pic:pic>
                    </a:graphicData>
                  </a:graphic>
                </wp:inline>
              </w:drawing>
            </w:r>
          </w:p>
        </w:tc>
        <w:tc>
          <w:tcPr>
            <w:tcW w:w="478" w:type="pct"/>
            <w:shd w:val="clear" w:color="auto" w:fill="auto"/>
            <w:vAlign w:val="center"/>
          </w:tcPr>
          <w:p w:rsidR="003A0832" w:rsidRPr="003A0832" w:rsidRDefault="003A0832" w:rsidP="003A0832">
            <w:pPr>
              <w:jc w:val="right"/>
              <w:rPr>
                <w:rFonts w:ascii="Arial" w:hAnsi="Arial" w:cs="Arial"/>
                <w:vanish/>
                <w:sz w:val="16"/>
              </w:rPr>
            </w:pPr>
            <w:r w:rsidRPr="003A0832">
              <w:rPr>
                <w:rFonts w:ascii="Arial" w:hAnsi="Arial" w:cs="Arial"/>
                <w:vanish/>
                <w:sz w:val="16"/>
              </w:rPr>
              <w:t>MatrixelementeOperator</w:t>
            </w:r>
          </w:p>
        </w:tc>
        <w:tc>
          <w:tcPr>
            <w:tcW w:w="266" w:type="pct"/>
            <w:shd w:val="clear" w:color="auto" w:fill="auto"/>
            <w:vAlign w:val="center"/>
          </w:tcPr>
          <w:p w:rsidR="003A0832" w:rsidRDefault="003A0832" w:rsidP="003A0832">
            <w:pPr>
              <w:jc w:val="right"/>
            </w:pPr>
            <w:r>
              <w:t>(</w:t>
            </w:r>
            <w:bookmarkStart w:id="102" w:name="MatrixelementeOperator"/>
            <w:r>
              <w:fldChar w:fldCharType="begin"/>
            </w:r>
            <w:r>
              <w:instrText xml:space="preserve"> SEQ Eq \* MERGEFORMAT </w:instrText>
            </w:r>
            <w:r>
              <w:fldChar w:fldCharType="separate"/>
            </w:r>
            <w:r>
              <w:rPr>
                <w:noProof/>
              </w:rPr>
              <w:t>75</w:t>
            </w:r>
            <w:r>
              <w:fldChar w:fldCharType="end"/>
            </w:r>
            <w:bookmarkEnd w:id="102"/>
            <w:r>
              <w:t>)</w:t>
            </w:r>
          </w:p>
        </w:tc>
      </w:tr>
    </w:tbl>
    <w:p w:rsidR="003A0832" w:rsidRDefault="00155AC4" w:rsidP="00155AC4">
      <w:pPr>
        <w:pStyle w:val="berschrift4"/>
      </w:pPr>
      <w:r>
        <w:t>Transformation der Matrixelemente</w:t>
      </w:r>
    </w:p>
    <w:p w:rsidR="009B4A69" w:rsidRDefault="0021070B" w:rsidP="00FD1CAF">
      <w:r>
        <w:t>Analog zu (</w:t>
      </w:r>
      <w:r>
        <w:fldChar w:fldCharType="begin"/>
      </w:r>
      <w:r>
        <w:instrText xml:space="preserve"> REF TransformationTensor \h </w:instrText>
      </w:r>
      <w:r>
        <w:fldChar w:fldCharType="separate"/>
      </w:r>
      <w:r>
        <w:rPr>
          <w:noProof/>
        </w:rPr>
        <w:t>34</w:t>
      </w:r>
      <w:r>
        <w:fldChar w:fldCharType="end"/>
      </w:r>
      <w:r>
        <w:t>) transformieren sich die Matrixelemente eines linearen Operators beim Wechsel zu einer anderen Basis</w:t>
      </w:r>
      <w:r w:rsidR="009B4A69">
        <w:t xml:space="preserve"> (ein Basiswechsel ist eine lineare Transformation):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97FE5" w:rsidTr="00B97FE5">
        <w:tc>
          <w:tcPr>
            <w:tcW w:w="4256" w:type="pct"/>
            <w:shd w:val="clear" w:color="auto" w:fill="auto"/>
            <w:vAlign w:val="center"/>
          </w:tcPr>
          <w:p w:rsidR="00B97FE5" w:rsidRDefault="00B97FE5" w:rsidP="00B97FE5">
            <w:pPr>
              <w:jc w:val="center"/>
            </w:pPr>
            <w:r>
              <w:rPr>
                <w:noProof/>
                <w:lang w:eastAsia="de-DE"/>
              </w:rPr>
              <w:drawing>
                <wp:inline distT="0" distB="0" distL="0" distR="0" wp14:anchorId="351024F9" wp14:editId="4F2CAE89">
                  <wp:extent cx="3125787" cy="353587"/>
                  <wp:effectExtent l="0" t="0" r="0" b="889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3138058" cy="354975"/>
                          </a:xfrm>
                          <a:prstGeom prst="rect">
                            <a:avLst/>
                          </a:prstGeom>
                        </pic:spPr>
                      </pic:pic>
                    </a:graphicData>
                  </a:graphic>
                </wp:inline>
              </w:drawing>
            </w:r>
          </w:p>
        </w:tc>
        <w:tc>
          <w:tcPr>
            <w:tcW w:w="478" w:type="pct"/>
            <w:shd w:val="clear" w:color="auto" w:fill="auto"/>
            <w:vAlign w:val="center"/>
          </w:tcPr>
          <w:p w:rsidR="00B97FE5" w:rsidRPr="00B97FE5" w:rsidRDefault="00B97FE5" w:rsidP="00B97FE5">
            <w:pPr>
              <w:jc w:val="right"/>
              <w:rPr>
                <w:rFonts w:ascii="Arial" w:hAnsi="Arial" w:cs="Arial"/>
                <w:vanish/>
                <w:sz w:val="16"/>
              </w:rPr>
            </w:pPr>
            <w:r w:rsidRPr="00B97FE5">
              <w:rPr>
                <w:rFonts w:ascii="Arial" w:hAnsi="Arial" w:cs="Arial"/>
                <w:vanish/>
                <w:sz w:val="16"/>
              </w:rPr>
              <w:t>TransformationMatrixelemente</w:t>
            </w:r>
          </w:p>
        </w:tc>
        <w:tc>
          <w:tcPr>
            <w:tcW w:w="266" w:type="pct"/>
            <w:shd w:val="clear" w:color="auto" w:fill="auto"/>
            <w:vAlign w:val="center"/>
          </w:tcPr>
          <w:p w:rsidR="00B97FE5" w:rsidRDefault="00B97FE5" w:rsidP="00B97FE5">
            <w:pPr>
              <w:jc w:val="right"/>
            </w:pPr>
            <w:r>
              <w:t>(</w:t>
            </w:r>
            <w:bookmarkStart w:id="103" w:name="TransformationMatrixelemente"/>
            <w:r>
              <w:fldChar w:fldCharType="begin"/>
            </w:r>
            <w:r>
              <w:instrText xml:space="preserve"> SEQ Eq \* MERGEFORMAT </w:instrText>
            </w:r>
            <w:r>
              <w:fldChar w:fldCharType="separate"/>
            </w:r>
            <w:r>
              <w:rPr>
                <w:noProof/>
              </w:rPr>
              <w:t>76</w:t>
            </w:r>
            <w:r>
              <w:fldChar w:fldCharType="end"/>
            </w:r>
            <w:bookmarkEnd w:id="103"/>
            <w:r>
              <w:t>)</w:t>
            </w:r>
          </w:p>
        </w:tc>
      </w:tr>
    </w:tbl>
    <w:p w:rsidR="00FD1CAF" w:rsidRDefault="001C26DE" w:rsidP="00FD1CAF">
      <w:r>
        <w:t xml:space="preserve">Ein Vergleich mit </w:t>
      </w:r>
      <w:r w:rsidR="00EB322F">
        <w:rPr>
          <w:noProof/>
          <w:lang w:eastAsia="de-DE"/>
        </w:rPr>
        <w:drawing>
          <wp:inline distT="0" distB="0" distL="0" distR="0">
            <wp:extent cx="1386843" cy="160020"/>
            <wp:effectExtent l="0" t="0" r="3810" b="0"/>
            <wp:docPr id="399" name="Grafik 399" descr="%FontSize=11&#10;%TeXFontSize=11&#10;\documentclass{article}&#10;\pagestyle{empty}&#10;\begin{document}&#10;\[&#10;{\mathbf T}' = &#10;{\mathbf Q}\,{\mathbf T}\,{\mathbf Q}^{-1} =&#10;{\mathbf Q}\,{\mathbf T}\,{\mathbf Q}^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lum/>
                    </a:blip>
                    <a:stretch>
                      <a:fillRect/>
                    </a:stretch>
                  </pic:blipFill>
                  <pic:spPr>
                    <a:xfrm>
                      <a:off x="0" y="0"/>
                      <a:ext cx="1386843" cy="160020"/>
                    </a:xfrm>
                    <a:prstGeom prst="rect">
                      <a:avLst/>
                    </a:prstGeom>
                    <a:noFill/>
                    <a:ln>
                      <a:noFill/>
                    </a:ln>
                  </pic:spPr>
                </pic:pic>
              </a:graphicData>
            </a:graphic>
          </wp:inline>
        </w:drawing>
      </w:r>
      <w:r w:rsidR="009B4A69">
        <w:t xml:space="preserve"> </w:t>
      </w:r>
      <w:r w:rsidR="00EB322F">
        <w:t xml:space="preserve">für </w:t>
      </w:r>
      <w:r w:rsidR="008D2CB6">
        <w:t xml:space="preserve">Transformationen von Matrizen </w:t>
      </w:r>
      <w:r w:rsidR="00F135AF" w:rsidRPr="00F135AF">
        <w:rPr>
          <w:b/>
        </w:rPr>
        <w:t>T</w:t>
      </w:r>
      <w:r w:rsidR="00F135AF">
        <w:t xml:space="preserve"> </w:t>
      </w:r>
      <w:r w:rsidR="008D2CB6">
        <w:t xml:space="preserve">durch </w:t>
      </w:r>
      <w:r w:rsidR="00EB322F">
        <w:t xml:space="preserve">orthogonale Matrizen </w:t>
      </w:r>
      <w:r w:rsidR="00F135AF" w:rsidRPr="00F135AF">
        <w:rPr>
          <w:b/>
        </w:rPr>
        <w:t>Q</w:t>
      </w:r>
      <w:r w:rsidR="00F135AF">
        <w:t xml:space="preserve"> </w:t>
      </w:r>
      <w:r w:rsidR="00C57991">
        <w:t>liefert uns die Entsprechungen:</w:t>
      </w:r>
    </w:p>
    <w:p w:rsidR="00C57991" w:rsidRDefault="00C57991" w:rsidP="00C57991">
      <w:pPr>
        <w:pStyle w:val="Listenabsatz"/>
        <w:numPr>
          <w:ilvl w:val="0"/>
          <w:numId w:val="17"/>
        </w:numPr>
      </w:pPr>
      <w:r>
        <w:t>L(</w:t>
      </w:r>
      <w:proofErr w:type="spellStart"/>
      <w:r>
        <w:t>x‘,x</w:t>
      </w:r>
      <w:proofErr w:type="spellEnd"/>
      <w:r>
        <w:t xml:space="preserve">) entspricht </w:t>
      </w:r>
      <w:r w:rsidRPr="00C57991">
        <w:rPr>
          <w:b/>
        </w:rPr>
        <w:t>T</w:t>
      </w:r>
      <w:r w:rsidRPr="00C66D39">
        <w:t>‘</w:t>
      </w:r>
      <w:r>
        <w:t>, der transformierten Matrix</w:t>
      </w:r>
    </w:p>
    <w:p w:rsidR="00320A72" w:rsidRDefault="00320A72" w:rsidP="00320A72">
      <w:pPr>
        <w:pStyle w:val="Listenabsatz"/>
        <w:numPr>
          <w:ilvl w:val="0"/>
          <w:numId w:val="17"/>
        </w:numPr>
      </w:pPr>
      <w:r>
        <w:t>L(</w:t>
      </w:r>
      <w:proofErr w:type="spellStart"/>
      <w:r>
        <w:t>k‘,k</w:t>
      </w:r>
      <w:proofErr w:type="spellEnd"/>
      <w:r>
        <w:t xml:space="preserve">) entspricht </w:t>
      </w:r>
      <w:r w:rsidRPr="00C57991">
        <w:rPr>
          <w:b/>
        </w:rPr>
        <w:t>T</w:t>
      </w:r>
      <w:r>
        <w:t>, der ursprünglichen Matrix</w:t>
      </w:r>
    </w:p>
    <w:p w:rsidR="00C57991" w:rsidRDefault="00C57991" w:rsidP="00C57991">
      <w:pPr>
        <w:pStyle w:val="Listenabsatz"/>
        <w:numPr>
          <w:ilvl w:val="0"/>
          <w:numId w:val="17"/>
        </w:numPr>
      </w:pPr>
      <w:r>
        <w:t>v(</w:t>
      </w:r>
      <w:proofErr w:type="spellStart"/>
      <w:r>
        <w:t>x’,k</w:t>
      </w:r>
      <w:proofErr w:type="spellEnd"/>
      <w:r>
        <w:t xml:space="preserve">‘) ist die Transformationsmatrix </w:t>
      </w:r>
      <w:r w:rsidRPr="00C57991">
        <w:rPr>
          <w:b/>
        </w:rPr>
        <w:t>Q</w:t>
      </w:r>
    </w:p>
    <w:p w:rsidR="00C57991" w:rsidRDefault="00C57991" w:rsidP="00C57991">
      <w:pPr>
        <w:pStyle w:val="Listenabsatz"/>
        <w:numPr>
          <w:ilvl w:val="0"/>
          <w:numId w:val="17"/>
        </w:numPr>
      </w:pPr>
      <w:r>
        <w:t>v*(</w:t>
      </w:r>
      <w:proofErr w:type="spellStart"/>
      <w:r>
        <w:t>x,k</w:t>
      </w:r>
      <w:proofErr w:type="spellEnd"/>
      <w:r>
        <w:t xml:space="preserve">) ist die inverse Transformationsmatrix </w:t>
      </w:r>
      <w:r w:rsidRPr="00C57991">
        <w:rPr>
          <w:b/>
        </w:rPr>
        <w:t>Q</w:t>
      </w:r>
      <w:r w:rsidRPr="00C57991">
        <w:rPr>
          <w:vertAlign w:val="superscript"/>
        </w:rPr>
        <w:t>-1</w:t>
      </w:r>
      <w:r w:rsidR="00EB59C9">
        <w:t xml:space="preserve"> (es kommt lediglich die komplexe Konjugation hinzu)</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401AE" w:rsidTr="009401AE">
        <w:tc>
          <w:tcPr>
            <w:tcW w:w="4256" w:type="pct"/>
            <w:shd w:val="clear" w:color="auto" w:fill="EEECE1" w:themeFill="background2"/>
            <w:vAlign w:val="center"/>
          </w:tcPr>
          <w:p w:rsidR="009401AE" w:rsidRPr="009401AE" w:rsidRDefault="009401AE" w:rsidP="00D61902">
            <w:pPr>
              <w:rPr>
                <w:rStyle w:val="Buchtitel"/>
              </w:rPr>
            </w:pPr>
            <w:r>
              <w:rPr>
                <w:rStyle w:val="Buchtitel"/>
              </w:rPr>
              <w:t>Die Spur eines Operators – eine komplexe Zahl - ist als Summe über seine Diagonalelemente definiert. Zeige, dass die Spur unabhängig von der Wahl der Basis ist (bilde die Spur von (</w:t>
            </w:r>
            <w:r>
              <w:rPr>
                <w:rStyle w:val="Buchtitel"/>
              </w:rPr>
              <w:fldChar w:fldCharType="begin"/>
            </w:r>
            <w:r>
              <w:rPr>
                <w:rStyle w:val="Buchtitel"/>
              </w:rPr>
              <w:instrText xml:space="preserve"> REF TransformationMatrixelemente \h </w:instrText>
            </w:r>
            <w:r>
              <w:rPr>
                <w:rStyle w:val="Buchtitel"/>
              </w:rPr>
            </w:r>
            <w:r>
              <w:rPr>
                <w:rStyle w:val="Buchtitel"/>
              </w:rPr>
              <w:fldChar w:fldCharType="separate"/>
            </w:r>
            <w:r>
              <w:rPr>
                <w:noProof/>
              </w:rPr>
              <w:t>76</w:t>
            </w:r>
            <w:r>
              <w:rPr>
                <w:rStyle w:val="Buchtitel"/>
              </w:rPr>
              <w:fldChar w:fldCharType="end"/>
            </w:r>
            <w:r>
              <w:rPr>
                <w:rStyle w:val="Buchtitel"/>
              </w:rPr>
              <w:t>)</w:t>
            </w:r>
            <w:r w:rsidR="008F6A30">
              <w:rPr>
                <w:rStyle w:val="Buchtitel"/>
              </w:rPr>
              <w:t xml:space="preserve"> und beachte die Orthonormierung der Basisvektoren</w:t>
            </w:r>
            <w:r w:rsidR="00FD2732">
              <w:rPr>
                <w:rStyle w:val="Buchtitel"/>
              </w:rPr>
              <w:t>)!</w:t>
            </w:r>
          </w:p>
          <w:p w:rsidR="009401AE" w:rsidRDefault="009401AE" w:rsidP="009401AE">
            <w:pPr>
              <w:jc w:val="center"/>
            </w:pPr>
            <w:r>
              <w:rPr>
                <w:noProof/>
                <w:lang w:eastAsia="de-DE"/>
              </w:rPr>
              <w:drawing>
                <wp:inline distT="0" distB="0" distL="0" distR="0" wp14:anchorId="451E6D5B" wp14:editId="3B562243">
                  <wp:extent cx="1389888" cy="327032"/>
                  <wp:effectExtent l="0" t="0" r="1270" b="0"/>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94671" cy="328157"/>
                          </a:xfrm>
                          <a:prstGeom prst="rect">
                            <a:avLst/>
                          </a:prstGeom>
                        </pic:spPr>
                      </pic:pic>
                    </a:graphicData>
                  </a:graphic>
                </wp:inline>
              </w:drawing>
            </w:r>
          </w:p>
        </w:tc>
        <w:tc>
          <w:tcPr>
            <w:tcW w:w="478" w:type="pct"/>
            <w:shd w:val="clear" w:color="auto" w:fill="auto"/>
            <w:vAlign w:val="center"/>
          </w:tcPr>
          <w:p w:rsidR="009401AE" w:rsidRPr="009401AE" w:rsidRDefault="009401AE" w:rsidP="009401AE">
            <w:pPr>
              <w:jc w:val="right"/>
              <w:rPr>
                <w:rFonts w:ascii="Arial" w:hAnsi="Arial" w:cs="Arial"/>
                <w:vanish/>
                <w:sz w:val="16"/>
              </w:rPr>
            </w:pPr>
            <w:r w:rsidRPr="009401AE">
              <w:rPr>
                <w:rFonts w:ascii="Arial" w:hAnsi="Arial" w:cs="Arial"/>
                <w:vanish/>
                <w:sz w:val="16"/>
              </w:rPr>
              <w:t>AufgabeInvarianzSpur</w:t>
            </w:r>
          </w:p>
        </w:tc>
        <w:tc>
          <w:tcPr>
            <w:tcW w:w="266" w:type="pct"/>
            <w:shd w:val="clear" w:color="auto" w:fill="auto"/>
            <w:vAlign w:val="center"/>
          </w:tcPr>
          <w:p w:rsidR="009401AE" w:rsidRDefault="009401AE" w:rsidP="009401AE">
            <w:pPr>
              <w:jc w:val="right"/>
            </w:pPr>
            <w:r>
              <w:t>(</w:t>
            </w:r>
            <w:bookmarkStart w:id="104" w:name="AufgabeInvarianzSpur"/>
            <w:r>
              <w:fldChar w:fldCharType="begin"/>
            </w:r>
            <w:r>
              <w:instrText xml:space="preserve"> SEQ Eq \* MERGEFORMAT </w:instrText>
            </w:r>
            <w:r>
              <w:fldChar w:fldCharType="separate"/>
            </w:r>
            <w:r>
              <w:rPr>
                <w:noProof/>
              </w:rPr>
              <w:t>77</w:t>
            </w:r>
            <w:r>
              <w:fldChar w:fldCharType="end"/>
            </w:r>
            <w:bookmarkEnd w:id="104"/>
            <w:r>
              <w:t>)</w:t>
            </w:r>
          </w:p>
        </w:tc>
      </w:tr>
    </w:tbl>
    <w:p w:rsidR="009401AE" w:rsidRPr="00FD1CAF" w:rsidRDefault="00842DAD" w:rsidP="009401AE">
      <w:r>
        <w:t xml:space="preserve">Die Basisunabhängigkeit der Spur </w:t>
      </w:r>
      <w:r w:rsidR="00421805">
        <w:t>macht es erst möglich, sie als Modell für wirkliche Größen zu verwenden</w:t>
      </w:r>
      <w:r>
        <w:t>.</w:t>
      </w:r>
      <w:r w:rsidR="00F73FA1">
        <w:t xml:space="preserve"> Die Spur findet Verwend</w:t>
      </w:r>
      <w:r w:rsidR="00421805">
        <w:t xml:space="preserve">ung in der von-Neumann-Entropie, sie wird </w:t>
      </w:r>
      <w:r w:rsidR="00BA1EAB">
        <w:t xml:space="preserve">zur konkreten Berechnung </w:t>
      </w:r>
      <w:r w:rsidR="00421805">
        <w:t xml:space="preserve">in einer bestimmten Basis gebildet, ihr Wert ist </w:t>
      </w:r>
      <w:r w:rsidR="00BC2281">
        <w:t>trotzdem</w:t>
      </w:r>
      <w:r w:rsidR="00421805">
        <w:t xml:space="preserve"> darstellungsunabhängig.</w:t>
      </w:r>
    </w:p>
    <w:p w:rsidR="00EC5450" w:rsidRDefault="00EC5450" w:rsidP="00EC5450">
      <w:pPr>
        <w:pStyle w:val="berschrift3"/>
      </w:pPr>
      <w:r>
        <w:t xml:space="preserve">L-Darstellung des unitären Vektorraums </w:t>
      </w:r>
    </w:p>
    <w:p w:rsidR="00C32686" w:rsidRPr="00792D3B" w:rsidRDefault="00C32686" w:rsidP="00792D3B"/>
    <w:p w:rsidR="009F719C" w:rsidRDefault="009F719C" w:rsidP="009F719C">
      <w:pPr>
        <w:pStyle w:val="berschrift3"/>
      </w:pPr>
      <w:r>
        <w:lastRenderedPageBreak/>
        <w:t>Spezielle Operatoren</w:t>
      </w:r>
    </w:p>
    <w:p w:rsidR="00F80D3C" w:rsidRDefault="00F80D3C" w:rsidP="00F80D3C">
      <w:pPr>
        <w:pStyle w:val="berschrift3"/>
      </w:pPr>
      <w:r>
        <w:t>Eigenwerte und Eigenvektoren</w:t>
      </w:r>
    </w:p>
    <w:p w:rsidR="000C0945" w:rsidRPr="000C0945" w:rsidRDefault="000C0945" w:rsidP="000C0945">
      <w:r>
        <w:t>+  ein Satz  zu §4 vertauschbarer Operatoren</w:t>
      </w:r>
    </w:p>
    <w:p w:rsidR="00285A72" w:rsidRDefault="00285A72" w:rsidP="00285A72">
      <w:pPr>
        <w:pStyle w:val="berschrift3"/>
      </w:pPr>
      <w:r>
        <w:t>Produktraum</w:t>
      </w:r>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1C26DE" w:rsidRDefault="001C26DE" w:rsidP="001C26DE">
      <w:pPr>
        <w:pStyle w:val="berschrift1"/>
      </w:pPr>
      <w:bookmarkStart w:id="105" w:name="_Toc475383980"/>
      <w:r>
        <w:t>Philosophischer Ausflug</w:t>
      </w:r>
      <w:bookmarkEnd w:id="105"/>
    </w:p>
    <w:p w:rsidR="00F511CD" w:rsidRDefault="00F511CD" w:rsidP="006D228C">
      <w:pPr>
        <w:pStyle w:val="berschrift1"/>
      </w:pPr>
      <w:proofErr w:type="spellStart"/>
      <w:r>
        <w:t>Shannonsche</w:t>
      </w:r>
      <w:proofErr w:type="spellEnd"/>
      <w:r>
        <w:t xml:space="preserve"> Informationstheorie</w:t>
      </w:r>
      <w:bookmarkEnd w:id="95"/>
    </w:p>
    <w:p w:rsidR="003365A5" w:rsidRDefault="003365A5" w:rsidP="003365A5"/>
    <w:p w:rsidR="00D73BAB" w:rsidRDefault="00D73BAB" w:rsidP="00D73BAB"/>
    <w:p w:rsidR="00D73BAB" w:rsidRDefault="006D228C" w:rsidP="006D228C">
      <w:pPr>
        <w:pStyle w:val="berschrift1"/>
      </w:pPr>
      <w:bookmarkStart w:id="106" w:name="_Toc475383981"/>
      <w:r>
        <w:t>Quantentheorie</w:t>
      </w:r>
      <w:bookmarkEnd w:id="106"/>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Funktionen/n-Tupel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107" w:name="_Toc475383982"/>
      <w:r>
        <w:t>Interpretationen der Quantentheorie</w:t>
      </w:r>
      <w:bookmarkEnd w:id="107"/>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108" w:name="_Toc475383983"/>
      <w:r>
        <w:t>Quanteninformation</w:t>
      </w:r>
      <w:bookmarkEnd w:id="108"/>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lastRenderedPageBreak/>
        <w:t>Produkträume von Q-Bits und unitäre Zeitentwicklung = Quantenrechner</w:t>
      </w:r>
    </w:p>
    <w:p w:rsidR="00FC1877" w:rsidRDefault="001F062F" w:rsidP="0075174D">
      <w:pPr>
        <w:numPr>
          <w:ilvl w:val="0"/>
          <w:numId w:val="5"/>
        </w:numPr>
      </w:pPr>
      <w:r w:rsidRPr="0075174D">
        <w:t xml:space="preserve">In etwa bis zur Hälfte von </w:t>
      </w:r>
      <w:hyperlink r:id="rId150"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09" w:name="_Toc475383984"/>
      <w:proofErr w:type="spellStart"/>
      <w:r>
        <w:t>No</w:t>
      </w:r>
      <w:proofErr w:type="spellEnd"/>
      <w:r>
        <w:t xml:space="preserve"> </w:t>
      </w:r>
      <w:proofErr w:type="spellStart"/>
      <w:r>
        <w:t>Cloning</w:t>
      </w:r>
      <w:proofErr w:type="spellEnd"/>
      <w:r>
        <w:t xml:space="preserve"> Theorem</w:t>
      </w:r>
      <w:bookmarkEnd w:id="109"/>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316" w:rsidRDefault="00F37316" w:rsidP="00B40906">
      <w:pPr>
        <w:spacing w:after="0" w:line="240" w:lineRule="auto"/>
      </w:pPr>
      <w:r>
        <w:separator/>
      </w:r>
    </w:p>
  </w:endnote>
  <w:endnote w:type="continuationSeparator" w:id="0">
    <w:p w:rsidR="00F37316" w:rsidRDefault="00F37316"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0F5" w:rsidRPr="00377D0E" w:rsidRDefault="007910F5"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537958" w:rsidRPr="00537958">
      <w:rPr>
        <w:rFonts w:eastAsiaTheme="majorEastAsia" w:cstheme="majorBidi"/>
        <w:noProof/>
        <w:sz w:val="18"/>
      </w:rPr>
      <w:t>14</w:t>
    </w:r>
    <w:r w:rsidRPr="00377D0E">
      <w:rPr>
        <w:rFonts w:eastAsiaTheme="majorEastAsia" w:cstheme="majorBidi"/>
        <w:sz w:val="18"/>
      </w:rPr>
      <w:fldChar w:fldCharType="end"/>
    </w:r>
  </w:p>
  <w:p w:rsidR="007910F5" w:rsidRDefault="007910F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316" w:rsidRDefault="00F37316" w:rsidP="00B40906">
      <w:pPr>
        <w:spacing w:after="0" w:line="240" w:lineRule="auto"/>
      </w:pPr>
      <w:r>
        <w:separator/>
      </w:r>
    </w:p>
  </w:footnote>
  <w:footnote w:type="continuationSeparator" w:id="0">
    <w:p w:rsidR="00F37316" w:rsidRDefault="00F37316" w:rsidP="00B40906">
      <w:pPr>
        <w:spacing w:after="0" w:line="240" w:lineRule="auto"/>
      </w:pPr>
      <w:r>
        <w:continuationSeparator/>
      </w:r>
    </w:p>
  </w:footnote>
  <w:footnote w:id="1">
    <w:p w:rsidR="007910F5" w:rsidRDefault="007910F5">
      <w:pPr>
        <w:pStyle w:val="Funotentext"/>
      </w:pPr>
      <w:r>
        <w:rPr>
          <w:rStyle w:val="Funotenzeichen"/>
        </w:rPr>
        <w:footnoteRef/>
      </w:r>
      <w:r>
        <w:t xml:space="preserve"> Diese Matrix ist ein sogenannter Projektor.</w:t>
      </w:r>
    </w:p>
  </w:footnote>
  <w:footnote w:id="2">
    <w:p w:rsidR="007910F5" w:rsidRDefault="007910F5">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3">
    <w:p w:rsidR="007910F5" w:rsidRDefault="007910F5">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7910F5" w:rsidRDefault="007910F5">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7910F5" w:rsidRDefault="007910F5">
      <w:pPr>
        <w:pStyle w:val="Funotentext"/>
      </w:pPr>
      <w:r>
        <w:t>F und F* findet man in der Literatur als [zueinander duale] „antisymmetrische Feldstärketensoren“.</w:t>
      </w:r>
    </w:p>
  </w:footnote>
  <w:footnote w:id="4">
    <w:p w:rsidR="007910F5" w:rsidRDefault="007910F5"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5">
    <w:p w:rsidR="007910F5" w:rsidRDefault="007910F5">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2" w:history="1">
        <w:r w:rsidRPr="009E531E">
          <w:rPr>
            <w:rStyle w:val="Hyperlink"/>
          </w:rPr>
          <w:t>http://www.fuw.edu.pl/~derezins/nohamiltonian.pdf</w:t>
        </w:r>
      </w:hyperlink>
      <w:r>
        <w:t xml:space="preserve"> Gewissermaßen relativiert sich dadurch das Sein.</w:t>
      </w:r>
    </w:p>
  </w:footnote>
  <w:footnote w:id="6">
    <w:p w:rsidR="007910F5" w:rsidRDefault="007910F5">
      <w:pPr>
        <w:pStyle w:val="Funotentext"/>
      </w:pPr>
      <w:r>
        <w:rPr>
          <w:rStyle w:val="Funotenzeichen"/>
        </w:rPr>
        <w:footnoteRef/>
      </w:r>
      <w:r>
        <w:t xml:space="preserve"> Dieses Kapitel orientiert sich an Eugen Ficks Einführung in die Grundlagen der Quantentheorie.</w:t>
      </w:r>
    </w:p>
  </w:footnote>
  <w:footnote w:id="7">
    <w:p w:rsidR="007910F5" w:rsidRDefault="007910F5">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8">
    <w:p w:rsidR="007910F5" w:rsidRDefault="007910F5">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Renormierung,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9">
    <w:p w:rsidR="007910F5" w:rsidRDefault="007910F5" w:rsidP="00037446">
      <w:pPr>
        <w:pStyle w:val="Funotentext"/>
      </w:pPr>
      <w:r>
        <w:rPr>
          <w:rStyle w:val="Funotenzeichen"/>
        </w:rPr>
        <w:footnoteRef/>
      </w:r>
      <w:r>
        <w:t xml:space="preserve"> Die Operationen Transponieren und Komplex-Konjugieren sind kommutativ, es gilt also auch (</w:t>
      </w:r>
      <w:proofErr w:type="spellStart"/>
      <w:r w:rsidRPr="000B732C">
        <w:rPr>
          <w:b/>
        </w:rPr>
        <w:t>u</w:t>
      </w:r>
      <w:r w:rsidRPr="000B732C">
        <w:rPr>
          <w:vertAlign w:val="superscript"/>
        </w:rPr>
        <w:t>T</w:t>
      </w:r>
      <w:proofErr w:type="spellEnd"/>
      <w:r>
        <w:t xml:space="preserve">)* </w:t>
      </w:r>
      <w:r w:rsidRPr="000B732C">
        <w:rPr>
          <w:b/>
        </w:rPr>
        <w:t>u</w:t>
      </w:r>
      <w:r>
        <w:t xml:space="preserve"> = </w:t>
      </w:r>
      <w:r w:rsidRPr="000B732C">
        <w:rPr>
          <w:b/>
        </w:rPr>
        <w:t>I</w:t>
      </w:r>
      <w:r w:rsidRPr="00CC4818">
        <w:t>.</w:t>
      </w:r>
    </w:p>
  </w:footnote>
  <w:footnote w:id="10">
    <w:p w:rsidR="007910F5" w:rsidRDefault="007910F5">
      <w:pPr>
        <w:pStyle w:val="Funotentext"/>
      </w:pPr>
      <w:r>
        <w:rPr>
          <w:rStyle w:val="Funotenzeichen"/>
        </w:rPr>
        <w:footnoteRef/>
      </w:r>
      <w:r>
        <w:t xml:space="preserve"> Wir werden noch sehen, dass eine Teilwelt im Allgemeinen nicht durch einen Zustandsvektor beschrieben werden kann, sondern nur durch einen sogenannten Dichteoperator.</w:t>
      </w:r>
    </w:p>
  </w:footnote>
  <w:footnote w:id="11">
    <w:p w:rsidR="007910F5" w:rsidRDefault="007910F5">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 w:id="12">
    <w:p w:rsidR="007910F5" w:rsidRDefault="007910F5">
      <w:pPr>
        <w:pStyle w:val="Funotentext"/>
      </w:pPr>
      <w:r>
        <w:rPr>
          <w:rStyle w:val="Funotenzeichen"/>
        </w:rPr>
        <w:footnoteRef/>
      </w:r>
      <w:r>
        <w:t xml:space="preserve"> Kein </w:t>
      </w:r>
      <w:proofErr w:type="spellStart"/>
      <w:r>
        <w:t>entweder-oder</w:t>
      </w:r>
      <w:proofErr w:type="spellEnd"/>
      <w:r>
        <w:t>: es kann auch Mischungen geben.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82A6F54"/>
    <w:multiLevelType w:val="hybridMultilevel"/>
    <w:tmpl w:val="784EE9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5">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6">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8">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1">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7"/>
  </w:num>
  <w:num w:numId="4">
    <w:abstractNumId w:val="10"/>
  </w:num>
  <w:num w:numId="5">
    <w:abstractNumId w:val="4"/>
  </w:num>
  <w:num w:numId="6">
    <w:abstractNumId w:val="3"/>
  </w:num>
  <w:num w:numId="7">
    <w:abstractNumId w:val="6"/>
  </w:num>
  <w:num w:numId="8">
    <w:abstractNumId w:val="16"/>
  </w:num>
  <w:num w:numId="9">
    <w:abstractNumId w:val="12"/>
  </w:num>
  <w:num w:numId="10">
    <w:abstractNumId w:val="15"/>
  </w:num>
  <w:num w:numId="11">
    <w:abstractNumId w:val="0"/>
  </w:num>
  <w:num w:numId="12">
    <w:abstractNumId w:val="8"/>
  </w:num>
  <w:num w:numId="13">
    <w:abstractNumId w:val="14"/>
  </w:num>
  <w:num w:numId="14">
    <w:abstractNumId w:val="11"/>
  </w:num>
  <w:num w:numId="15">
    <w:abstractNumId w:val="1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3845"/>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446"/>
    <w:rsid w:val="0003763C"/>
    <w:rsid w:val="00037680"/>
    <w:rsid w:val="0004127B"/>
    <w:rsid w:val="0004167E"/>
    <w:rsid w:val="00041FF6"/>
    <w:rsid w:val="00042F75"/>
    <w:rsid w:val="000442D4"/>
    <w:rsid w:val="00044EB0"/>
    <w:rsid w:val="00046AFB"/>
    <w:rsid w:val="000503C1"/>
    <w:rsid w:val="0005063D"/>
    <w:rsid w:val="00050E34"/>
    <w:rsid w:val="0005256A"/>
    <w:rsid w:val="00053FB8"/>
    <w:rsid w:val="000555B0"/>
    <w:rsid w:val="00056385"/>
    <w:rsid w:val="00056928"/>
    <w:rsid w:val="000601B0"/>
    <w:rsid w:val="000610A6"/>
    <w:rsid w:val="000634B8"/>
    <w:rsid w:val="00064EE9"/>
    <w:rsid w:val="0006555B"/>
    <w:rsid w:val="000675A9"/>
    <w:rsid w:val="00067981"/>
    <w:rsid w:val="00067B60"/>
    <w:rsid w:val="00070ABE"/>
    <w:rsid w:val="00071682"/>
    <w:rsid w:val="00072F26"/>
    <w:rsid w:val="00072F88"/>
    <w:rsid w:val="00073D89"/>
    <w:rsid w:val="00092020"/>
    <w:rsid w:val="00092C7A"/>
    <w:rsid w:val="00094352"/>
    <w:rsid w:val="00096C21"/>
    <w:rsid w:val="00097013"/>
    <w:rsid w:val="000A00FB"/>
    <w:rsid w:val="000A2A64"/>
    <w:rsid w:val="000A2BD0"/>
    <w:rsid w:val="000A6D8E"/>
    <w:rsid w:val="000B040D"/>
    <w:rsid w:val="000B14D1"/>
    <w:rsid w:val="000B205C"/>
    <w:rsid w:val="000B35D5"/>
    <w:rsid w:val="000B46C0"/>
    <w:rsid w:val="000B4F39"/>
    <w:rsid w:val="000B609A"/>
    <w:rsid w:val="000B732C"/>
    <w:rsid w:val="000B7EA1"/>
    <w:rsid w:val="000C0945"/>
    <w:rsid w:val="000C4051"/>
    <w:rsid w:val="000C4C0A"/>
    <w:rsid w:val="000C51F4"/>
    <w:rsid w:val="000C665F"/>
    <w:rsid w:val="000C76D7"/>
    <w:rsid w:val="000C7B31"/>
    <w:rsid w:val="000D0274"/>
    <w:rsid w:val="000D1B25"/>
    <w:rsid w:val="000D21E7"/>
    <w:rsid w:val="000D2C38"/>
    <w:rsid w:val="000D5D03"/>
    <w:rsid w:val="000D67C4"/>
    <w:rsid w:val="000D6C96"/>
    <w:rsid w:val="000E3CF7"/>
    <w:rsid w:val="000E4428"/>
    <w:rsid w:val="000E53A5"/>
    <w:rsid w:val="000E54A1"/>
    <w:rsid w:val="000E5737"/>
    <w:rsid w:val="000E5B06"/>
    <w:rsid w:val="000E64FB"/>
    <w:rsid w:val="000E7124"/>
    <w:rsid w:val="000F0D85"/>
    <w:rsid w:val="000F2FE6"/>
    <w:rsid w:val="000F34BC"/>
    <w:rsid w:val="000F4224"/>
    <w:rsid w:val="000F5231"/>
    <w:rsid w:val="000F7C15"/>
    <w:rsid w:val="00100214"/>
    <w:rsid w:val="00100C48"/>
    <w:rsid w:val="00100EEA"/>
    <w:rsid w:val="00101924"/>
    <w:rsid w:val="00102B86"/>
    <w:rsid w:val="00103B7D"/>
    <w:rsid w:val="00106484"/>
    <w:rsid w:val="00107AB3"/>
    <w:rsid w:val="00107E04"/>
    <w:rsid w:val="00110CDA"/>
    <w:rsid w:val="00116C0B"/>
    <w:rsid w:val="00117555"/>
    <w:rsid w:val="001202CC"/>
    <w:rsid w:val="0012119A"/>
    <w:rsid w:val="00121B2D"/>
    <w:rsid w:val="0012363A"/>
    <w:rsid w:val="0012376E"/>
    <w:rsid w:val="00125844"/>
    <w:rsid w:val="00126097"/>
    <w:rsid w:val="00127928"/>
    <w:rsid w:val="00131A84"/>
    <w:rsid w:val="001400E7"/>
    <w:rsid w:val="0014104A"/>
    <w:rsid w:val="00143176"/>
    <w:rsid w:val="00143428"/>
    <w:rsid w:val="00146D8A"/>
    <w:rsid w:val="001507AA"/>
    <w:rsid w:val="00151512"/>
    <w:rsid w:val="00151D4B"/>
    <w:rsid w:val="001524B1"/>
    <w:rsid w:val="00152887"/>
    <w:rsid w:val="00152B6C"/>
    <w:rsid w:val="00153771"/>
    <w:rsid w:val="00154B90"/>
    <w:rsid w:val="00155AC4"/>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114"/>
    <w:rsid w:val="001741AF"/>
    <w:rsid w:val="00176728"/>
    <w:rsid w:val="00180532"/>
    <w:rsid w:val="00183EE0"/>
    <w:rsid w:val="001842B7"/>
    <w:rsid w:val="00184F82"/>
    <w:rsid w:val="00185423"/>
    <w:rsid w:val="001870C4"/>
    <w:rsid w:val="00190DF6"/>
    <w:rsid w:val="00192DFF"/>
    <w:rsid w:val="00192F9E"/>
    <w:rsid w:val="00192FEC"/>
    <w:rsid w:val="0019522F"/>
    <w:rsid w:val="001969C2"/>
    <w:rsid w:val="0019773E"/>
    <w:rsid w:val="001978CF"/>
    <w:rsid w:val="00197C7D"/>
    <w:rsid w:val="001A0917"/>
    <w:rsid w:val="001A1922"/>
    <w:rsid w:val="001A1944"/>
    <w:rsid w:val="001A35EA"/>
    <w:rsid w:val="001A53C7"/>
    <w:rsid w:val="001B014D"/>
    <w:rsid w:val="001B1745"/>
    <w:rsid w:val="001B328F"/>
    <w:rsid w:val="001B3929"/>
    <w:rsid w:val="001B70B0"/>
    <w:rsid w:val="001B7B84"/>
    <w:rsid w:val="001C10EC"/>
    <w:rsid w:val="001C1EA8"/>
    <w:rsid w:val="001C26DE"/>
    <w:rsid w:val="001C2A17"/>
    <w:rsid w:val="001C50F5"/>
    <w:rsid w:val="001D0387"/>
    <w:rsid w:val="001D1A48"/>
    <w:rsid w:val="001D499F"/>
    <w:rsid w:val="001D4C1C"/>
    <w:rsid w:val="001D6BB4"/>
    <w:rsid w:val="001D6E2A"/>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06BC6"/>
    <w:rsid w:val="0021070B"/>
    <w:rsid w:val="00210A33"/>
    <w:rsid w:val="0021210E"/>
    <w:rsid w:val="00212D81"/>
    <w:rsid w:val="002136BF"/>
    <w:rsid w:val="0022120E"/>
    <w:rsid w:val="00221AF0"/>
    <w:rsid w:val="00221BA1"/>
    <w:rsid w:val="002238A7"/>
    <w:rsid w:val="00224BF8"/>
    <w:rsid w:val="00225345"/>
    <w:rsid w:val="0022584B"/>
    <w:rsid w:val="00226588"/>
    <w:rsid w:val="002277ED"/>
    <w:rsid w:val="00227B07"/>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246"/>
    <w:rsid w:val="002C2C9C"/>
    <w:rsid w:val="002C3195"/>
    <w:rsid w:val="002C506A"/>
    <w:rsid w:val="002C6BB7"/>
    <w:rsid w:val="002C7F43"/>
    <w:rsid w:val="002D0CFD"/>
    <w:rsid w:val="002D17D0"/>
    <w:rsid w:val="002D1D5D"/>
    <w:rsid w:val="002D1DB1"/>
    <w:rsid w:val="002D2894"/>
    <w:rsid w:val="002D3DE9"/>
    <w:rsid w:val="002D4179"/>
    <w:rsid w:val="002D456B"/>
    <w:rsid w:val="002D642F"/>
    <w:rsid w:val="002E159F"/>
    <w:rsid w:val="002E27E0"/>
    <w:rsid w:val="002E3DC7"/>
    <w:rsid w:val="002E46DD"/>
    <w:rsid w:val="002E5A3C"/>
    <w:rsid w:val="002E63AD"/>
    <w:rsid w:val="002F2605"/>
    <w:rsid w:val="002F31A7"/>
    <w:rsid w:val="002F7AD7"/>
    <w:rsid w:val="00302449"/>
    <w:rsid w:val="0030298D"/>
    <w:rsid w:val="00305ECA"/>
    <w:rsid w:val="0030713D"/>
    <w:rsid w:val="0030746E"/>
    <w:rsid w:val="00307508"/>
    <w:rsid w:val="00307599"/>
    <w:rsid w:val="00310D0B"/>
    <w:rsid w:val="00313014"/>
    <w:rsid w:val="0031337A"/>
    <w:rsid w:val="003138E4"/>
    <w:rsid w:val="00314BFB"/>
    <w:rsid w:val="00314CC8"/>
    <w:rsid w:val="003150EB"/>
    <w:rsid w:val="00316057"/>
    <w:rsid w:val="00316E6D"/>
    <w:rsid w:val="003173E8"/>
    <w:rsid w:val="00320A72"/>
    <w:rsid w:val="0032138D"/>
    <w:rsid w:val="00323656"/>
    <w:rsid w:val="00323730"/>
    <w:rsid w:val="003255DD"/>
    <w:rsid w:val="00325D36"/>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4382"/>
    <w:rsid w:val="003757CE"/>
    <w:rsid w:val="00376306"/>
    <w:rsid w:val="00377D0E"/>
    <w:rsid w:val="003819F0"/>
    <w:rsid w:val="00383F72"/>
    <w:rsid w:val="0038407B"/>
    <w:rsid w:val="003856BE"/>
    <w:rsid w:val="00385C06"/>
    <w:rsid w:val="00390342"/>
    <w:rsid w:val="00392765"/>
    <w:rsid w:val="00392B36"/>
    <w:rsid w:val="00392E9F"/>
    <w:rsid w:val="00393183"/>
    <w:rsid w:val="00393759"/>
    <w:rsid w:val="003938D8"/>
    <w:rsid w:val="0039540D"/>
    <w:rsid w:val="00396DEA"/>
    <w:rsid w:val="00397218"/>
    <w:rsid w:val="003A0832"/>
    <w:rsid w:val="003A2DB9"/>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5C48"/>
    <w:rsid w:val="004173F8"/>
    <w:rsid w:val="004177F2"/>
    <w:rsid w:val="00421805"/>
    <w:rsid w:val="00422126"/>
    <w:rsid w:val="00422D96"/>
    <w:rsid w:val="004241AB"/>
    <w:rsid w:val="0042500A"/>
    <w:rsid w:val="00425D7E"/>
    <w:rsid w:val="00426C91"/>
    <w:rsid w:val="004307DC"/>
    <w:rsid w:val="00431D39"/>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2072"/>
    <w:rsid w:val="004827E6"/>
    <w:rsid w:val="00482E33"/>
    <w:rsid w:val="00482F02"/>
    <w:rsid w:val="00483567"/>
    <w:rsid w:val="00484CF8"/>
    <w:rsid w:val="0048781F"/>
    <w:rsid w:val="00490266"/>
    <w:rsid w:val="00492E8E"/>
    <w:rsid w:val="00493424"/>
    <w:rsid w:val="00493B87"/>
    <w:rsid w:val="00496008"/>
    <w:rsid w:val="00496C1D"/>
    <w:rsid w:val="004A1118"/>
    <w:rsid w:val="004A52D5"/>
    <w:rsid w:val="004A5582"/>
    <w:rsid w:val="004A69B5"/>
    <w:rsid w:val="004A7C1A"/>
    <w:rsid w:val="004B194E"/>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E538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958"/>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9750D"/>
    <w:rsid w:val="005A0164"/>
    <w:rsid w:val="005A11CA"/>
    <w:rsid w:val="005A3D66"/>
    <w:rsid w:val="005A64B9"/>
    <w:rsid w:val="005B3E42"/>
    <w:rsid w:val="005B3E58"/>
    <w:rsid w:val="005B6DA2"/>
    <w:rsid w:val="005C1FA0"/>
    <w:rsid w:val="005C2464"/>
    <w:rsid w:val="005C446D"/>
    <w:rsid w:val="005C481A"/>
    <w:rsid w:val="005C5527"/>
    <w:rsid w:val="005C5752"/>
    <w:rsid w:val="005D23A6"/>
    <w:rsid w:val="005D4EE2"/>
    <w:rsid w:val="005D5510"/>
    <w:rsid w:val="005D5E17"/>
    <w:rsid w:val="005D7DE6"/>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6830"/>
    <w:rsid w:val="00617794"/>
    <w:rsid w:val="00621ABF"/>
    <w:rsid w:val="00624367"/>
    <w:rsid w:val="00626240"/>
    <w:rsid w:val="00626B82"/>
    <w:rsid w:val="00626BC5"/>
    <w:rsid w:val="00631DB8"/>
    <w:rsid w:val="00634770"/>
    <w:rsid w:val="00634966"/>
    <w:rsid w:val="0063693B"/>
    <w:rsid w:val="0064075B"/>
    <w:rsid w:val="0064090E"/>
    <w:rsid w:val="00641A7F"/>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2D80"/>
    <w:rsid w:val="00693631"/>
    <w:rsid w:val="006941B8"/>
    <w:rsid w:val="00695134"/>
    <w:rsid w:val="00695DD8"/>
    <w:rsid w:val="00696BA2"/>
    <w:rsid w:val="00697297"/>
    <w:rsid w:val="00697858"/>
    <w:rsid w:val="006A0A8F"/>
    <w:rsid w:val="006A1C1A"/>
    <w:rsid w:val="006A3182"/>
    <w:rsid w:val="006A331C"/>
    <w:rsid w:val="006A49B8"/>
    <w:rsid w:val="006A762C"/>
    <w:rsid w:val="006B1F92"/>
    <w:rsid w:val="006B5549"/>
    <w:rsid w:val="006B5B48"/>
    <w:rsid w:val="006C4B3B"/>
    <w:rsid w:val="006D228C"/>
    <w:rsid w:val="006D25C0"/>
    <w:rsid w:val="006D3099"/>
    <w:rsid w:val="006D3276"/>
    <w:rsid w:val="006D3671"/>
    <w:rsid w:val="006D4552"/>
    <w:rsid w:val="006D4840"/>
    <w:rsid w:val="006D486C"/>
    <w:rsid w:val="006D49CE"/>
    <w:rsid w:val="006D4A38"/>
    <w:rsid w:val="006D526D"/>
    <w:rsid w:val="006E0B28"/>
    <w:rsid w:val="006E1E9B"/>
    <w:rsid w:val="006E3181"/>
    <w:rsid w:val="006E361B"/>
    <w:rsid w:val="006E61A1"/>
    <w:rsid w:val="006F0806"/>
    <w:rsid w:val="006F5B7C"/>
    <w:rsid w:val="0070021E"/>
    <w:rsid w:val="00700CA7"/>
    <w:rsid w:val="00701AAC"/>
    <w:rsid w:val="00704142"/>
    <w:rsid w:val="00705BF0"/>
    <w:rsid w:val="007066F0"/>
    <w:rsid w:val="00710ACE"/>
    <w:rsid w:val="0071470D"/>
    <w:rsid w:val="00715DCD"/>
    <w:rsid w:val="00716273"/>
    <w:rsid w:val="007167E8"/>
    <w:rsid w:val="007172F8"/>
    <w:rsid w:val="00717727"/>
    <w:rsid w:val="007302D1"/>
    <w:rsid w:val="0073075D"/>
    <w:rsid w:val="00733B2C"/>
    <w:rsid w:val="007348A4"/>
    <w:rsid w:val="00735540"/>
    <w:rsid w:val="007361A1"/>
    <w:rsid w:val="007422ED"/>
    <w:rsid w:val="0074233B"/>
    <w:rsid w:val="00744F66"/>
    <w:rsid w:val="00745797"/>
    <w:rsid w:val="00750646"/>
    <w:rsid w:val="0075174D"/>
    <w:rsid w:val="00752AA6"/>
    <w:rsid w:val="00756699"/>
    <w:rsid w:val="0076052A"/>
    <w:rsid w:val="00762FDB"/>
    <w:rsid w:val="007632AD"/>
    <w:rsid w:val="00764333"/>
    <w:rsid w:val="0076449D"/>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10F5"/>
    <w:rsid w:val="007929F3"/>
    <w:rsid w:val="00792D3B"/>
    <w:rsid w:val="00794308"/>
    <w:rsid w:val="00795620"/>
    <w:rsid w:val="00795BC8"/>
    <w:rsid w:val="00795E04"/>
    <w:rsid w:val="00795EEB"/>
    <w:rsid w:val="007A0218"/>
    <w:rsid w:val="007A0D05"/>
    <w:rsid w:val="007A3A8B"/>
    <w:rsid w:val="007A4FE2"/>
    <w:rsid w:val="007A519D"/>
    <w:rsid w:val="007A578C"/>
    <w:rsid w:val="007A5C87"/>
    <w:rsid w:val="007A7280"/>
    <w:rsid w:val="007A7748"/>
    <w:rsid w:val="007B13C1"/>
    <w:rsid w:val="007B19BA"/>
    <w:rsid w:val="007B3860"/>
    <w:rsid w:val="007B41A9"/>
    <w:rsid w:val="007B71CA"/>
    <w:rsid w:val="007B76A9"/>
    <w:rsid w:val="007B7CC2"/>
    <w:rsid w:val="007C07DA"/>
    <w:rsid w:val="007C148C"/>
    <w:rsid w:val="007C2FFC"/>
    <w:rsid w:val="007C336E"/>
    <w:rsid w:val="007C6420"/>
    <w:rsid w:val="007D4AA6"/>
    <w:rsid w:val="007D5724"/>
    <w:rsid w:val="007D7613"/>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6345"/>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2DAD"/>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A1A"/>
    <w:rsid w:val="008B499B"/>
    <w:rsid w:val="008B4AA4"/>
    <w:rsid w:val="008B6780"/>
    <w:rsid w:val="008C0770"/>
    <w:rsid w:val="008C502E"/>
    <w:rsid w:val="008C67E7"/>
    <w:rsid w:val="008C6CBD"/>
    <w:rsid w:val="008D2984"/>
    <w:rsid w:val="008D2CB6"/>
    <w:rsid w:val="008D5DA2"/>
    <w:rsid w:val="008D60C6"/>
    <w:rsid w:val="008D7801"/>
    <w:rsid w:val="008E6ADE"/>
    <w:rsid w:val="008F000A"/>
    <w:rsid w:val="008F0072"/>
    <w:rsid w:val="008F1F14"/>
    <w:rsid w:val="008F2BA8"/>
    <w:rsid w:val="008F2D4B"/>
    <w:rsid w:val="008F34F2"/>
    <w:rsid w:val="008F47B9"/>
    <w:rsid w:val="008F4BA7"/>
    <w:rsid w:val="008F5958"/>
    <w:rsid w:val="008F6A30"/>
    <w:rsid w:val="00900483"/>
    <w:rsid w:val="0090080A"/>
    <w:rsid w:val="009028D7"/>
    <w:rsid w:val="00904020"/>
    <w:rsid w:val="0090512D"/>
    <w:rsid w:val="00906525"/>
    <w:rsid w:val="00906A83"/>
    <w:rsid w:val="00910C5E"/>
    <w:rsid w:val="009125A9"/>
    <w:rsid w:val="00915058"/>
    <w:rsid w:val="00917C1D"/>
    <w:rsid w:val="00924936"/>
    <w:rsid w:val="00926C92"/>
    <w:rsid w:val="009304BF"/>
    <w:rsid w:val="00930643"/>
    <w:rsid w:val="00931251"/>
    <w:rsid w:val="009325BF"/>
    <w:rsid w:val="00932B35"/>
    <w:rsid w:val="00937AD3"/>
    <w:rsid w:val="009401AE"/>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8567C"/>
    <w:rsid w:val="00990255"/>
    <w:rsid w:val="00991315"/>
    <w:rsid w:val="00991C27"/>
    <w:rsid w:val="00992EB7"/>
    <w:rsid w:val="00997DCD"/>
    <w:rsid w:val="009A251E"/>
    <w:rsid w:val="009A2996"/>
    <w:rsid w:val="009A6786"/>
    <w:rsid w:val="009A6F24"/>
    <w:rsid w:val="009A7401"/>
    <w:rsid w:val="009B07F0"/>
    <w:rsid w:val="009B17E7"/>
    <w:rsid w:val="009B43DD"/>
    <w:rsid w:val="009B4A69"/>
    <w:rsid w:val="009B524F"/>
    <w:rsid w:val="009B7602"/>
    <w:rsid w:val="009B7D6B"/>
    <w:rsid w:val="009C2A93"/>
    <w:rsid w:val="009C2FBF"/>
    <w:rsid w:val="009C4C50"/>
    <w:rsid w:val="009C6019"/>
    <w:rsid w:val="009D2456"/>
    <w:rsid w:val="009D349A"/>
    <w:rsid w:val="009D354A"/>
    <w:rsid w:val="009D4823"/>
    <w:rsid w:val="009D6A78"/>
    <w:rsid w:val="009E4B2C"/>
    <w:rsid w:val="009E6AEE"/>
    <w:rsid w:val="009E7E29"/>
    <w:rsid w:val="009F0959"/>
    <w:rsid w:val="009F13E3"/>
    <w:rsid w:val="009F31E4"/>
    <w:rsid w:val="009F4D74"/>
    <w:rsid w:val="009F5AB1"/>
    <w:rsid w:val="009F5BBA"/>
    <w:rsid w:val="009F6EE4"/>
    <w:rsid w:val="009F719C"/>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30A6E"/>
    <w:rsid w:val="00A31092"/>
    <w:rsid w:val="00A3158C"/>
    <w:rsid w:val="00A318A3"/>
    <w:rsid w:val="00A31A73"/>
    <w:rsid w:val="00A33CD6"/>
    <w:rsid w:val="00A34982"/>
    <w:rsid w:val="00A349EE"/>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14D"/>
    <w:rsid w:val="00A71E29"/>
    <w:rsid w:val="00A73457"/>
    <w:rsid w:val="00A734C2"/>
    <w:rsid w:val="00A745A3"/>
    <w:rsid w:val="00A8060E"/>
    <w:rsid w:val="00A84AA5"/>
    <w:rsid w:val="00A855C7"/>
    <w:rsid w:val="00A90722"/>
    <w:rsid w:val="00A91AAA"/>
    <w:rsid w:val="00A92322"/>
    <w:rsid w:val="00A9326E"/>
    <w:rsid w:val="00A936E4"/>
    <w:rsid w:val="00A94DE2"/>
    <w:rsid w:val="00AA2407"/>
    <w:rsid w:val="00AA71D4"/>
    <w:rsid w:val="00AB0F3C"/>
    <w:rsid w:val="00AB16F3"/>
    <w:rsid w:val="00AB244A"/>
    <w:rsid w:val="00AB3073"/>
    <w:rsid w:val="00AB3547"/>
    <w:rsid w:val="00AB3EDE"/>
    <w:rsid w:val="00AB5115"/>
    <w:rsid w:val="00AC00DA"/>
    <w:rsid w:val="00AC059C"/>
    <w:rsid w:val="00AC065E"/>
    <w:rsid w:val="00AC56CF"/>
    <w:rsid w:val="00AC6D78"/>
    <w:rsid w:val="00AC769D"/>
    <w:rsid w:val="00AD0764"/>
    <w:rsid w:val="00AD1813"/>
    <w:rsid w:val="00AD1E14"/>
    <w:rsid w:val="00AD2885"/>
    <w:rsid w:val="00AD5105"/>
    <w:rsid w:val="00AD585B"/>
    <w:rsid w:val="00AD5F72"/>
    <w:rsid w:val="00AE030A"/>
    <w:rsid w:val="00AE1879"/>
    <w:rsid w:val="00AE2266"/>
    <w:rsid w:val="00AE3EAB"/>
    <w:rsid w:val="00AE677D"/>
    <w:rsid w:val="00AE7D9E"/>
    <w:rsid w:val="00AF1CF3"/>
    <w:rsid w:val="00AF4657"/>
    <w:rsid w:val="00AF5176"/>
    <w:rsid w:val="00AF568F"/>
    <w:rsid w:val="00AF6304"/>
    <w:rsid w:val="00B01D10"/>
    <w:rsid w:val="00B02C94"/>
    <w:rsid w:val="00B04023"/>
    <w:rsid w:val="00B06388"/>
    <w:rsid w:val="00B07AB6"/>
    <w:rsid w:val="00B103B5"/>
    <w:rsid w:val="00B14251"/>
    <w:rsid w:val="00B1482C"/>
    <w:rsid w:val="00B20998"/>
    <w:rsid w:val="00B20A58"/>
    <w:rsid w:val="00B25526"/>
    <w:rsid w:val="00B3072C"/>
    <w:rsid w:val="00B32A52"/>
    <w:rsid w:val="00B3308D"/>
    <w:rsid w:val="00B3549A"/>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08AE"/>
    <w:rsid w:val="00B83562"/>
    <w:rsid w:val="00B8627B"/>
    <w:rsid w:val="00B869EF"/>
    <w:rsid w:val="00B92B4F"/>
    <w:rsid w:val="00B93598"/>
    <w:rsid w:val="00B94A52"/>
    <w:rsid w:val="00B967D2"/>
    <w:rsid w:val="00B97FE5"/>
    <w:rsid w:val="00BA0265"/>
    <w:rsid w:val="00BA0880"/>
    <w:rsid w:val="00BA1EAB"/>
    <w:rsid w:val="00BA5855"/>
    <w:rsid w:val="00BB3BDE"/>
    <w:rsid w:val="00BB3F39"/>
    <w:rsid w:val="00BB5812"/>
    <w:rsid w:val="00BB5EFF"/>
    <w:rsid w:val="00BB62AF"/>
    <w:rsid w:val="00BB7436"/>
    <w:rsid w:val="00BB7B16"/>
    <w:rsid w:val="00BB7E49"/>
    <w:rsid w:val="00BC2281"/>
    <w:rsid w:val="00BC2A74"/>
    <w:rsid w:val="00BC3453"/>
    <w:rsid w:val="00BC5310"/>
    <w:rsid w:val="00BC5684"/>
    <w:rsid w:val="00BD2D77"/>
    <w:rsid w:val="00BD5BF6"/>
    <w:rsid w:val="00BD7463"/>
    <w:rsid w:val="00BD7529"/>
    <w:rsid w:val="00BE27C5"/>
    <w:rsid w:val="00BE2BC7"/>
    <w:rsid w:val="00BE39C9"/>
    <w:rsid w:val="00BE47CD"/>
    <w:rsid w:val="00BE4996"/>
    <w:rsid w:val="00BE7279"/>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2793C"/>
    <w:rsid w:val="00C301DA"/>
    <w:rsid w:val="00C3189B"/>
    <w:rsid w:val="00C31F00"/>
    <w:rsid w:val="00C32686"/>
    <w:rsid w:val="00C33E1E"/>
    <w:rsid w:val="00C34343"/>
    <w:rsid w:val="00C3572D"/>
    <w:rsid w:val="00C42092"/>
    <w:rsid w:val="00C42F44"/>
    <w:rsid w:val="00C44E8C"/>
    <w:rsid w:val="00C505E5"/>
    <w:rsid w:val="00C5080B"/>
    <w:rsid w:val="00C512F8"/>
    <w:rsid w:val="00C518EC"/>
    <w:rsid w:val="00C54117"/>
    <w:rsid w:val="00C5443F"/>
    <w:rsid w:val="00C54C6E"/>
    <w:rsid w:val="00C5554E"/>
    <w:rsid w:val="00C576B8"/>
    <w:rsid w:val="00C57991"/>
    <w:rsid w:val="00C60149"/>
    <w:rsid w:val="00C6333C"/>
    <w:rsid w:val="00C638F3"/>
    <w:rsid w:val="00C655DA"/>
    <w:rsid w:val="00C65993"/>
    <w:rsid w:val="00C664B7"/>
    <w:rsid w:val="00C66839"/>
    <w:rsid w:val="00C66D39"/>
    <w:rsid w:val="00C7367B"/>
    <w:rsid w:val="00C76422"/>
    <w:rsid w:val="00C77C16"/>
    <w:rsid w:val="00C77E41"/>
    <w:rsid w:val="00C850C2"/>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3E12"/>
    <w:rsid w:val="00D04AD0"/>
    <w:rsid w:val="00D07239"/>
    <w:rsid w:val="00D12E42"/>
    <w:rsid w:val="00D1380F"/>
    <w:rsid w:val="00D141DE"/>
    <w:rsid w:val="00D153B2"/>
    <w:rsid w:val="00D16A00"/>
    <w:rsid w:val="00D2017A"/>
    <w:rsid w:val="00D20C0C"/>
    <w:rsid w:val="00D21F07"/>
    <w:rsid w:val="00D22689"/>
    <w:rsid w:val="00D25435"/>
    <w:rsid w:val="00D25F01"/>
    <w:rsid w:val="00D27899"/>
    <w:rsid w:val="00D31B18"/>
    <w:rsid w:val="00D32088"/>
    <w:rsid w:val="00D4000F"/>
    <w:rsid w:val="00D40907"/>
    <w:rsid w:val="00D4304D"/>
    <w:rsid w:val="00D43196"/>
    <w:rsid w:val="00D438A4"/>
    <w:rsid w:val="00D445BB"/>
    <w:rsid w:val="00D4514E"/>
    <w:rsid w:val="00D5057D"/>
    <w:rsid w:val="00D50703"/>
    <w:rsid w:val="00D51373"/>
    <w:rsid w:val="00D52D42"/>
    <w:rsid w:val="00D5449D"/>
    <w:rsid w:val="00D54B72"/>
    <w:rsid w:val="00D55BDF"/>
    <w:rsid w:val="00D600EA"/>
    <w:rsid w:val="00D61223"/>
    <w:rsid w:val="00D61902"/>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48CF"/>
    <w:rsid w:val="00D95BC4"/>
    <w:rsid w:val="00D97962"/>
    <w:rsid w:val="00DA0A46"/>
    <w:rsid w:val="00DA0DB4"/>
    <w:rsid w:val="00DA250B"/>
    <w:rsid w:val="00DA262E"/>
    <w:rsid w:val="00DA294F"/>
    <w:rsid w:val="00DA3C81"/>
    <w:rsid w:val="00DA4106"/>
    <w:rsid w:val="00DA6560"/>
    <w:rsid w:val="00DA74C1"/>
    <w:rsid w:val="00DB01C4"/>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71A0"/>
    <w:rsid w:val="00DE0E1B"/>
    <w:rsid w:val="00DE2434"/>
    <w:rsid w:val="00DE3550"/>
    <w:rsid w:val="00DE3FBF"/>
    <w:rsid w:val="00DE485A"/>
    <w:rsid w:val="00DE59A5"/>
    <w:rsid w:val="00DF47A0"/>
    <w:rsid w:val="00DF4CBB"/>
    <w:rsid w:val="00DF5068"/>
    <w:rsid w:val="00DF52B1"/>
    <w:rsid w:val="00DF6A20"/>
    <w:rsid w:val="00DF797F"/>
    <w:rsid w:val="00E01317"/>
    <w:rsid w:val="00E03073"/>
    <w:rsid w:val="00E06B68"/>
    <w:rsid w:val="00E1069B"/>
    <w:rsid w:val="00E11C23"/>
    <w:rsid w:val="00E11F39"/>
    <w:rsid w:val="00E12B02"/>
    <w:rsid w:val="00E13A2E"/>
    <w:rsid w:val="00E13BD0"/>
    <w:rsid w:val="00E13E41"/>
    <w:rsid w:val="00E17A09"/>
    <w:rsid w:val="00E21043"/>
    <w:rsid w:val="00E21B1C"/>
    <w:rsid w:val="00E241A8"/>
    <w:rsid w:val="00E25512"/>
    <w:rsid w:val="00E25688"/>
    <w:rsid w:val="00E3065C"/>
    <w:rsid w:val="00E30FDC"/>
    <w:rsid w:val="00E359EA"/>
    <w:rsid w:val="00E41CF8"/>
    <w:rsid w:val="00E4216C"/>
    <w:rsid w:val="00E43119"/>
    <w:rsid w:val="00E43618"/>
    <w:rsid w:val="00E44BEF"/>
    <w:rsid w:val="00E44C51"/>
    <w:rsid w:val="00E44E30"/>
    <w:rsid w:val="00E46A99"/>
    <w:rsid w:val="00E4751D"/>
    <w:rsid w:val="00E47ECA"/>
    <w:rsid w:val="00E5044B"/>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322F"/>
    <w:rsid w:val="00EB59C9"/>
    <w:rsid w:val="00EB5B77"/>
    <w:rsid w:val="00EB6308"/>
    <w:rsid w:val="00EC00B1"/>
    <w:rsid w:val="00EC04C7"/>
    <w:rsid w:val="00EC1351"/>
    <w:rsid w:val="00EC1A46"/>
    <w:rsid w:val="00EC2D79"/>
    <w:rsid w:val="00EC5450"/>
    <w:rsid w:val="00EC554E"/>
    <w:rsid w:val="00EC57D9"/>
    <w:rsid w:val="00EC57F2"/>
    <w:rsid w:val="00EC68D0"/>
    <w:rsid w:val="00EC6C5C"/>
    <w:rsid w:val="00ED2533"/>
    <w:rsid w:val="00ED3617"/>
    <w:rsid w:val="00ED3B98"/>
    <w:rsid w:val="00ED3D31"/>
    <w:rsid w:val="00ED41E9"/>
    <w:rsid w:val="00ED4CB5"/>
    <w:rsid w:val="00ED5E7A"/>
    <w:rsid w:val="00ED7752"/>
    <w:rsid w:val="00EE07CF"/>
    <w:rsid w:val="00EE3DA3"/>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5AF"/>
    <w:rsid w:val="00F13D92"/>
    <w:rsid w:val="00F15095"/>
    <w:rsid w:val="00F1509D"/>
    <w:rsid w:val="00F16E0F"/>
    <w:rsid w:val="00F17492"/>
    <w:rsid w:val="00F21533"/>
    <w:rsid w:val="00F21F74"/>
    <w:rsid w:val="00F22C27"/>
    <w:rsid w:val="00F22FB0"/>
    <w:rsid w:val="00F23505"/>
    <w:rsid w:val="00F245F7"/>
    <w:rsid w:val="00F25610"/>
    <w:rsid w:val="00F26BD3"/>
    <w:rsid w:val="00F27816"/>
    <w:rsid w:val="00F31A87"/>
    <w:rsid w:val="00F32DD1"/>
    <w:rsid w:val="00F340A3"/>
    <w:rsid w:val="00F37316"/>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3FA1"/>
    <w:rsid w:val="00F74414"/>
    <w:rsid w:val="00F74464"/>
    <w:rsid w:val="00F75028"/>
    <w:rsid w:val="00F77BC2"/>
    <w:rsid w:val="00F80A18"/>
    <w:rsid w:val="00F80D3C"/>
    <w:rsid w:val="00F83FF7"/>
    <w:rsid w:val="00F84014"/>
    <w:rsid w:val="00F847F9"/>
    <w:rsid w:val="00F86182"/>
    <w:rsid w:val="00F86953"/>
    <w:rsid w:val="00F8697D"/>
    <w:rsid w:val="00F86D87"/>
    <w:rsid w:val="00F876CE"/>
    <w:rsid w:val="00F9041E"/>
    <w:rsid w:val="00F9223E"/>
    <w:rsid w:val="00F94694"/>
    <w:rsid w:val="00F970B0"/>
    <w:rsid w:val="00F97EFF"/>
    <w:rsid w:val="00FA51D3"/>
    <w:rsid w:val="00FA70E7"/>
    <w:rsid w:val="00FA79F0"/>
    <w:rsid w:val="00FB1D64"/>
    <w:rsid w:val="00FB2070"/>
    <w:rsid w:val="00FB20DF"/>
    <w:rsid w:val="00FB291B"/>
    <w:rsid w:val="00FB3535"/>
    <w:rsid w:val="00FB40BC"/>
    <w:rsid w:val="00FB5F0A"/>
    <w:rsid w:val="00FB6DE0"/>
    <w:rsid w:val="00FC1808"/>
    <w:rsid w:val="00FC1877"/>
    <w:rsid w:val="00FC19FE"/>
    <w:rsid w:val="00FC1BB2"/>
    <w:rsid w:val="00FD1B6A"/>
    <w:rsid w:val="00FD1CAF"/>
    <w:rsid w:val="00FD2732"/>
    <w:rsid w:val="00FD27A7"/>
    <w:rsid w:val="00FD3FF8"/>
    <w:rsid w:val="00FD4294"/>
    <w:rsid w:val="00FD4D04"/>
    <w:rsid w:val="00FD5193"/>
    <w:rsid w:val="00FD5CC7"/>
    <w:rsid w:val="00FE231A"/>
    <w:rsid w:val="00FE274C"/>
    <w:rsid w:val="00FE2932"/>
    <w:rsid w:val="00FE31D9"/>
    <w:rsid w:val="00FE337B"/>
    <w:rsid w:val="00FE43BA"/>
    <w:rsid w:val="00FE4946"/>
    <w:rsid w:val="00FE7AF3"/>
    <w:rsid w:val="00FE7BFD"/>
    <w:rsid w:val="00FF13DC"/>
    <w:rsid w:val="00FF1408"/>
    <w:rsid w:val="00FF19E0"/>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image" Target="media/image70.jpe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hyperlink" Target="http://www.chaoscope.org" TargetMode="External"/><Relationship Id="rId85" Type="http://schemas.openxmlformats.org/officeDocument/2006/relationships/image" Target="media/image75.png"/><Relationship Id="rId150" Type="http://schemas.openxmlformats.org/officeDocument/2006/relationships/hyperlink" Target="https://quantiki.org/wiki/basic-concepts-quantum-comput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image" Target="media/image122.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image" Target="media/image125.png"/><Relationship Id="rId145" Type="http://schemas.openxmlformats.org/officeDocument/2006/relationships/image" Target="media/image130.png"/><Relationship Id="rId15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A9543-6F4F-4110-BE27-C479B9102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6055</Words>
  <Characters>38153</Characters>
  <Application>Microsoft Office Word</Application>
  <DocSecurity>0</DocSecurity>
  <Lines>317</Lines>
  <Paragraphs>88</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Rieder, Harald</cp:lastModifiedBy>
  <cp:revision>863</cp:revision>
  <dcterms:created xsi:type="dcterms:W3CDTF">2017-02-09T17:02:00Z</dcterms:created>
  <dcterms:modified xsi:type="dcterms:W3CDTF">2017-02-27T06:54:00Z</dcterms:modified>
</cp:coreProperties>
</file>