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7F1" w:rsidRDefault="006A6204" w:rsidP="006A6204">
      <w:pPr>
        <w:pStyle w:val="berschrift1"/>
      </w:pPr>
      <w:r>
        <w:t>3 Ergebnisse</w:t>
      </w:r>
    </w:p>
    <w:p w:rsidR="006A6204" w:rsidRDefault="006A6204" w:rsidP="00ED3499">
      <w:pPr>
        <w:pStyle w:val="berschrift2"/>
      </w:pPr>
      <w:r>
        <w:t>3.1 Chemisch kompetente Zellen</w:t>
      </w:r>
    </w:p>
    <w:p w:rsidR="00DB7A04" w:rsidRDefault="000E1C2B" w:rsidP="006A6204">
      <w:r>
        <w:t>*Durchführung für chemisch kompetente Zellen*</w:t>
      </w:r>
    </w:p>
    <w:p w:rsidR="003D1135" w:rsidRDefault="003D1135" w:rsidP="003D1135">
      <w:pPr>
        <w:pStyle w:val="Beschriftung"/>
        <w:keepNext/>
      </w:pPr>
      <w:r>
        <w:t xml:space="preserve">Tabelle </w:t>
      </w:r>
      <w:r w:rsidR="00B81531">
        <w:fldChar w:fldCharType="begin"/>
      </w:r>
      <w:r w:rsidR="00B81531">
        <w:instrText xml:space="preserve"> SEQ Tabelle \* ARABIC </w:instrText>
      </w:r>
      <w:r w:rsidR="00B81531">
        <w:fldChar w:fldCharType="separate"/>
      </w:r>
      <w:r w:rsidR="00EA0C1B">
        <w:rPr>
          <w:noProof/>
        </w:rPr>
        <w:t>1</w:t>
      </w:r>
      <w:r w:rsidR="00B81531">
        <w:rPr>
          <w:noProof/>
        </w:rPr>
        <w:fldChar w:fldCharType="end"/>
      </w:r>
      <w:r>
        <w:t xml:space="preserve">: Gezählte KBE </w:t>
      </w:r>
      <w:r w:rsidR="009D2009">
        <w:t xml:space="preserve">in 100 µl </w:t>
      </w:r>
      <w:r>
        <w:t>der chemisch kompetenten Zellen auf LB-</w:t>
      </w:r>
      <w:proofErr w:type="spellStart"/>
      <w:r>
        <w:t>Agarplatten</w:t>
      </w:r>
      <w:proofErr w:type="spellEnd"/>
    </w:p>
    <w:tbl>
      <w:tblPr>
        <w:tblStyle w:val="Tabellenraster"/>
        <w:tblW w:w="5000" w:type="pct"/>
        <w:tblLook w:val="04A0" w:firstRow="1" w:lastRow="0" w:firstColumn="1" w:lastColumn="0" w:noHBand="0" w:noVBand="1"/>
      </w:tblPr>
      <w:tblGrid>
        <w:gridCol w:w="3552"/>
        <w:gridCol w:w="2920"/>
        <w:gridCol w:w="2816"/>
      </w:tblGrid>
      <w:tr w:rsidR="003D1135" w:rsidTr="003D1135">
        <w:tc>
          <w:tcPr>
            <w:tcW w:w="1912" w:type="pct"/>
          </w:tcPr>
          <w:p w:rsidR="003D1135" w:rsidRDefault="003D1135" w:rsidP="00745891">
            <w:r>
              <w:t>Verdünnung</w:t>
            </w:r>
          </w:p>
        </w:tc>
        <w:tc>
          <w:tcPr>
            <w:tcW w:w="1572" w:type="pct"/>
          </w:tcPr>
          <w:p w:rsidR="003D1135" w:rsidRDefault="003D1135" w:rsidP="00745891">
            <w:r>
              <w:t>Platte 1</w:t>
            </w:r>
          </w:p>
        </w:tc>
        <w:tc>
          <w:tcPr>
            <w:tcW w:w="1516" w:type="pct"/>
          </w:tcPr>
          <w:p w:rsidR="003D1135" w:rsidRDefault="003D1135" w:rsidP="00745891">
            <w:r>
              <w:t>Platte 2</w:t>
            </w:r>
          </w:p>
        </w:tc>
      </w:tr>
      <w:tr w:rsidR="003D1135" w:rsidTr="003D1135">
        <w:tc>
          <w:tcPr>
            <w:tcW w:w="1912" w:type="pct"/>
          </w:tcPr>
          <w:p w:rsidR="003D1135" w:rsidRPr="00361CB3" w:rsidRDefault="003D1135" w:rsidP="00745891">
            <w:pPr>
              <w:rPr>
                <w:vertAlign w:val="superscript"/>
              </w:rPr>
            </w:pPr>
            <w:r>
              <w:t>10</w:t>
            </w:r>
            <w:r>
              <w:rPr>
                <w:vertAlign w:val="superscript"/>
              </w:rPr>
              <w:t>-6</w:t>
            </w:r>
          </w:p>
        </w:tc>
        <w:tc>
          <w:tcPr>
            <w:tcW w:w="1572" w:type="pct"/>
          </w:tcPr>
          <w:p w:rsidR="003D1135" w:rsidRDefault="003D1135" w:rsidP="00745891">
            <w:r>
              <w:t>80</w:t>
            </w:r>
          </w:p>
        </w:tc>
        <w:tc>
          <w:tcPr>
            <w:tcW w:w="1516" w:type="pct"/>
          </w:tcPr>
          <w:p w:rsidR="003D1135" w:rsidRDefault="003D1135" w:rsidP="00745891">
            <w:r>
              <w:t>62</w:t>
            </w:r>
          </w:p>
        </w:tc>
      </w:tr>
      <w:tr w:rsidR="003D1135" w:rsidTr="003D1135">
        <w:tc>
          <w:tcPr>
            <w:tcW w:w="1912" w:type="pct"/>
          </w:tcPr>
          <w:p w:rsidR="003D1135" w:rsidRPr="00361CB3" w:rsidRDefault="003D1135" w:rsidP="00745891">
            <w:pPr>
              <w:rPr>
                <w:vertAlign w:val="superscript"/>
              </w:rPr>
            </w:pPr>
            <w:r>
              <w:t>10</w:t>
            </w:r>
            <w:r>
              <w:rPr>
                <w:vertAlign w:val="superscript"/>
              </w:rPr>
              <w:t>-7</w:t>
            </w:r>
          </w:p>
        </w:tc>
        <w:tc>
          <w:tcPr>
            <w:tcW w:w="1572" w:type="pct"/>
          </w:tcPr>
          <w:p w:rsidR="003D1135" w:rsidRDefault="003D1135" w:rsidP="00745891">
            <w:r>
              <w:t>14</w:t>
            </w:r>
          </w:p>
        </w:tc>
        <w:tc>
          <w:tcPr>
            <w:tcW w:w="1516" w:type="pct"/>
          </w:tcPr>
          <w:p w:rsidR="003D1135" w:rsidRDefault="003D1135" w:rsidP="00745891">
            <w:r>
              <w:t>5</w:t>
            </w:r>
          </w:p>
        </w:tc>
      </w:tr>
      <w:tr w:rsidR="003D1135" w:rsidTr="003D1135">
        <w:tc>
          <w:tcPr>
            <w:tcW w:w="1912" w:type="pct"/>
          </w:tcPr>
          <w:p w:rsidR="003D1135" w:rsidRPr="00361CB3" w:rsidRDefault="003D1135" w:rsidP="00745891">
            <w:pPr>
              <w:rPr>
                <w:vertAlign w:val="superscript"/>
              </w:rPr>
            </w:pPr>
            <w:r>
              <w:t>10</w:t>
            </w:r>
            <w:r>
              <w:rPr>
                <w:vertAlign w:val="superscript"/>
              </w:rPr>
              <w:t>-8</w:t>
            </w:r>
          </w:p>
        </w:tc>
        <w:tc>
          <w:tcPr>
            <w:tcW w:w="1572" w:type="pct"/>
          </w:tcPr>
          <w:p w:rsidR="003D1135" w:rsidRDefault="003D1135" w:rsidP="00745891">
            <w:r>
              <w:t>2</w:t>
            </w:r>
          </w:p>
        </w:tc>
        <w:tc>
          <w:tcPr>
            <w:tcW w:w="1516" w:type="pct"/>
          </w:tcPr>
          <w:p w:rsidR="003D1135" w:rsidRDefault="003D1135" w:rsidP="00745891">
            <w:r>
              <w:t>1</w:t>
            </w:r>
          </w:p>
        </w:tc>
      </w:tr>
    </w:tbl>
    <w:p w:rsidR="00DB7A04" w:rsidRDefault="00DB7A04" w:rsidP="006A6204"/>
    <w:p w:rsidR="000E1C2B" w:rsidRPr="00E82777" w:rsidRDefault="00F05E38" w:rsidP="006A6204">
      <w:r>
        <w:t>In der ersten Verdünnung von 10</w:t>
      </w:r>
      <w:r>
        <w:rPr>
          <w:vertAlign w:val="superscript"/>
        </w:rPr>
        <w:t>-6</w:t>
      </w:r>
      <w:r>
        <w:t xml:space="preserve"> wurden durchschnittlich </w:t>
      </w:r>
      <w:r w:rsidR="001F4C56">
        <w:t xml:space="preserve">71 Zellen gezählt, in den folgenden Verdünnungsstufen 9,5 und 1,5. </w:t>
      </w:r>
      <w:r w:rsidR="00EE277F">
        <w:t>Aufgrund der geringen Anzahl Kolonien auf den Platten der Verdünnungsstufe 10</w:t>
      </w:r>
      <w:r w:rsidR="00EE277F">
        <w:rPr>
          <w:vertAlign w:val="superscript"/>
        </w:rPr>
        <w:t>-8</w:t>
      </w:r>
      <w:r w:rsidR="00EE277F">
        <w:t xml:space="preserve"> wurde diese Verdünnung nicht für weitere Berechnungen verwendet. </w:t>
      </w:r>
      <w:r w:rsidR="001F4C56">
        <w:t xml:space="preserve">Die Zellkonzentration der unverdünnten chemisch kompetenten Zellen beträgt demnach zwischen </w:t>
      </w:r>
      <w:r w:rsidR="00F6626A">
        <w:t>7,1*10</w:t>
      </w:r>
      <w:r w:rsidR="00F6626A">
        <w:rPr>
          <w:vertAlign w:val="superscript"/>
        </w:rPr>
        <w:t>8</w:t>
      </w:r>
      <w:r w:rsidR="00F6626A">
        <w:t xml:space="preserve"> und </w:t>
      </w:r>
      <w:r w:rsidR="009D361B">
        <w:t>9,5</w:t>
      </w:r>
      <w:r w:rsidR="00F6626A">
        <w:t xml:space="preserve"> *10</w:t>
      </w:r>
      <w:r w:rsidR="009D361B">
        <w:rPr>
          <w:vertAlign w:val="superscript"/>
        </w:rPr>
        <w:t>8</w:t>
      </w:r>
      <w:r w:rsidR="00F6626A">
        <w:t xml:space="preserve"> KBE/ml, im Mittelwert </w:t>
      </w:r>
      <w:r w:rsidR="00E82777">
        <w:t xml:space="preserve">etwa </w:t>
      </w:r>
      <w:r w:rsidR="009D361B">
        <w:t>8,3</w:t>
      </w:r>
      <w:r w:rsidR="00E82777">
        <w:t>*10</w:t>
      </w:r>
      <w:r w:rsidR="009D361B">
        <w:rPr>
          <w:vertAlign w:val="superscript"/>
        </w:rPr>
        <w:t>8</w:t>
      </w:r>
      <w:r w:rsidR="00E82777">
        <w:t xml:space="preserve"> KBE/ml.</w:t>
      </w:r>
    </w:p>
    <w:p w:rsidR="000E1C2B" w:rsidRDefault="000E1C2B" w:rsidP="00ED3499">
      <w:pPr>
        <w:pStyle w:val="berschrift3"/>
      </w:pPr>
      <w:r>
        <w:t>3.2 Chemische Transformation</w:t>
      </w:r>
    </w:p>
    <w:p w:rsidR="000E1C2B" w:rsidRDefault="00E82777" w:rsidP="006A6204">
      <w:r>
        <w:t>*Durchführung der chemischen Transformation*</w:t>
      </w:r>
    </w:p>
    <w:p w:rsidR="00E36B0A" w:rsidRDefault="00E36B0A" w:rsidP="00E36B0A">
      <w:pPr>
        <w:pStyle w:val="Beschriftung"/>
        <w:keepNext/>
      </w:pPr>
      <w:r>
        <w:t xml:space="preserve">Tabelle </w:t>
      </w:r>
      <w:r w:rsidR="00B81531">
        <w:fldChar w:fldCharType="begin"/>
      </w:r>
      <w:r w:rsidR="00B81531">
        <w:instrText xml:space="preserve"> SEQ Tabelle \* ARABIC </w:instrText>
      </w:r>
      <w:r w:rsidR="00B81531">
        <w:fldChar w:fldCharType="separate"/>
      </w:r>
      <w:r w:rsidR="00EA0C1B">
        <w:rPr>
          <w:noProof/>
        </w:rPr>
        <w:t>2</w:t>
      </w:r>
      <w:r w:rsidR="00B81531">
        <w:rPr>
          <w:noProof/>
        </w:rPr>
        <w:fldChar w:fldCharType="end"/>
      </w:r>
      <w:r>
        <w:t>: Durchschnittliche</w:t>
      </w:r>
      <w:r w:rsidR="009D2009">
        <w:t xml:space="preserve"> KBE</w:t>
      </w:r>
      <w:r>
        <w:t xml:space="preserve"> </w:t>
      </w:r>
      <w:r w:rsidR="009D2009">
        <w:t xml:space="preserve">in 100 µl </w:t>
      </w:r>
      <w:r>
        <w:t>der chemisch transformierten Zellen auf LB-Agar</w:t>
      </w:r>
    </w:p>
    <w:tbl>
      <w:tblPr>
        <w:tblStyle w:val="Tabellenraster"/>
        <w:tblW w:w="0" w:type="auto"/>
        <w:tblLook w:val="04A0" w:firstRow="1" w:lastRow="0" w:firstColumn="1" w:lastColumn="0" w:noHBand="0" w:noVBand="1"/>
      </w:tblPr>
      <w:tblGrid>
        <w:gridCol w:w="3189"/>
        <w:gridCol w:w="904"/>
        <w:gridCol w:w="904"/>
        <w:gridCol w:w="905"/>
        <w:gridCol w:w="3386"/>
      </w:tblGrid>
      <w:tr w:rsidR="00D3164D" w:rsidTr="00D3164D">
        <w:tc>
          <w:tcPr>
            <w:tcW w:w="3189" w:type="dxa"/>
          </w:tcPr>
          <w:p w:rsidR="00D3164D" w:rsidRDefault="00D3164D" w:rsidP="006A6204">
            <w:r>
              <w:t>Verdünnung</w:t>
            </w:r>
          </w:p>
        </w:tc>
        <w:tc>
          <w:tcPr>
            <w:tcW w:w="2713" w:type="dxa"/>
            <w:gridSpan w:val="3"/>
          </w:tcPr>
          <w:p w:rsidR="00D3164D" w:rsidRDefault="00D3164D" w:rsidP="009D2009">
            <w:r>
              <w:t>Gezählte Kolonien</w:t>
            </w:r>
          </w:p>
        </w:tc>
        <w:tc>
          <w:tcPr>
            <w:tcW w:w="3386" w:type="dxa"/>
          </w:tcPr>
          <w:p w:rsidR="00D3164D" w:rsidRDefault="00D3164D" w:rsidP="009D2009">
            <w:r>
              <w:t>Durchschnittliche KBE pro Platte</w:t>
            </w:r>
          </w:p>
        </w:tc>
      </w:tr>
      <w:tr w:rsidR="00B81531" w:rsidTr="00F2607C">
        <w:tc>
          <w:tcPr>
            <w:tcW w:w="3189" w:type="dxa"/>
          </w:tcPr>
          <w:p w:rsidR="00B81531" w:rsidRPr="00E36B0A" w:rsidRDefault="00B81531" w:rsidP="006A6204">
            <w:pPr>
              <w:rPr>
                <w:vertAlign w:val="superscript"/>
              </w:rPr>
            </w:pPr>
            <w:r>
              <w:t>10</w:t>
            </w:r>
            <w:r>
              <w:rPr>
                <w:vertAlign w:val="superscript"/>
              </w:rPr>
              <w:t>-5</w:t>
            </w:r>
          </w:p>
        </w:tc>
        <w:tc>
          <w:tcPr>
            <w:tcW w:w="904" w:type="dxa"/>
          </w:tcPr>
          <w:p w:rsidR="00B81531" w:rsidRDefault="00B81531" w:rsidP="00B81531">
            <w:r>
              <w:t xml:space="preserve">210 </w:t>
            </w:r>
          </w:p>
        </w:tc>
        <w:tc>
          <w:tcPr>
            <w:tcW w:w="904" w:type="dxa"/>
          </w:tcPr>
          <w:p w:rsidR="00B81531" w:rsidRDefault="00B81531" w:rsidP="009D361B">
            <w:r>
              <w:t>219</w:t>
            </w:r>
          </w:p>
        </w:tc>
        <w:tc>
          <w:tcPr>
            <w:tcW w:w="905" w:type="dxa"/>
          </w:tcPr>
          <w:p w:rsidR="00B81531" w:rsidRDefault="00B81531" w:rsidP="006A6204">
            <w:r>
              <w:t>134</w:t>
            </w:r>
          </w:p>
        </w:tc>
        <w:tc>
          <w:tcPr>
            <w:tcW w:w="3386" w:type="dxa"/>
          </w:tcPr>
          <w:p w:rsidR="00B81531" w:rsidRDefault="00B81531" w:rsidP="009D361B">
            <w:r>
              <w:t xml:space="preserve">188 </w:t>
            </w:r>
          </w:p>
        </w:tc>
      </w:tr>
      <w:tr w:rsidR="00B81531" w:rsidTr="00F2607C">
        <w:tc>
          <w:tcPr>
            <w:tcW w:w="3189" w:type="dxa"/>
          </w:tcPr>
          <w:p w:rsidR="00B81531" w:rsidRPr="00E36B0A" w:rsidRDefault="00B81531" w:rsidP="006A6204">
            <w:pPr>
              <w:rPr>
                <w:vertAlign w:val="superscript"/>
              </w:rPr>
            </w:pPr>
            <w:r>
              <w:t>10</w:t>
            </w:r>
            <w:r>
              <w:rPr>
                <w:vertAlign w:val="superscript"/>
              </w:rPr>
              <w:t>-6</w:t>
            </w:r>
          </w:p>
        </w:tc>
        <w:tc>
          <w:tcPr>
            <w:tcW w:w="904" w:type="dxa"/>
          </w:tcPr>
          <w:p w:rsidR="00B81531" w:rsidRDefault="00B81531" w:rsidP="00B81531">
            <w:r>
              <w:t>71</w:t>
            </w:r>
          </w:p>
        </w:tc>
        <w:tc>
          <w:tcPr>
            <w:tcW w:w="904" w:type="dxa"/>
          </w:tcPr>
          <w:p w:rsidR="00B81531" w:rsidRDefault="00B81531" w:rsidP="006A6204">
            <w:r>
              <w:t>69</w:t>
            </w:r>
          </w:p>
        </w:tc>
        <w:tc>
          <w:tcPr>
            <w:tcW w:w="905" w:type="dxa"/>
          </w:tcPr>
          <w:p w:rsidR="00B81531" w:rsidRDefault="00B81531" w:rsidP="006A6204">
            <w:r>
              <w:t>32</w:t>
            </w:r>
          </w:p>
        </w:tc>
        <w:tc>
          <w:tcPr>
            <w:tcW w:w="3386" w:type="dxa"/>
          </w:tcPr>
          <w:p w:rsidR="00B81531" w:rsidRDefault="00B81531" w:rsidP="009D361B">
            <w:r>
              <w:t>57</w:t>
            </w:r>
          </w:p>
        </w:tc>
      </w:tr>
      <w:tr w:rsidR="00B81531" w:rsidTr="00F2607C">
        <w:tc>
          <w:tcPr>
            <w:tcW w:w="3189" w:type="dxa"/>
          </w:tcPr>
          <w:p w:rsidR="00B81531" w:rsidRDefault="00B81531" w:rsidP="006A6204">
            <w:r>
              <w:t>10</w:t>
            </w:r>
            <w:r>
              <w:rPr>
                <w:vertAlign w:val="superscript"/>
              </w:rPr>
              <w:t>-7</w:t>
            </w:r>
          </w:p>
        </w:tc>
        <w:tc>
          <w:tcPr>
            <w:tcW w:w="904" w:type="dxa"/>
          </w:tcPr>
          <w:p w:rsidR="00B81531" w:rsidRDefault="00B81531" w:rsidP="00B81531">
            <w:r>
              <w:t>5</w:t>
            </w:r>
          </w:p>
        </w:tc>
        <w:tc>
          <w:tcPr>
            <w:tcW w:w="904" w:type="dxa"/>
          </w:tcPr>
          <w:p w:rsidR="00B81531" w:rsidRDefault="00B81531" w:rsidP="006A6204">
            <w:r>
              <w:t>3</w:t>
            </w:r>
          </w:p>
        </w:tc>
        <w:tc>
          <w:tcPr>
            <w:tcW w:w="905" w:type="dxa"/>
          </w:tcPr>
          <w:p w:rsidR="00B81531" w:rsidRDefault="00B81531" w:rsidP="006A6204">
            <w:r>
              <w:t>1</w:t>
            </w:r>
          </w:p>
        </w:tc>
        <w:tc>
          <w:tcPr>
            <w:tcW w:w="3386" w:type="dxa"/>
          </w:tcPr>
          <w:p w:rsidR="00B81531" w:rsidRDefault="00B81531" w:rsidP="009D361B">
            <w:r>
              <w:t>3</w:t>
            </w:r>
          </w:p>
        </w:tc>
      </w:tr>
      <w:tr w:rsidR="00B81531" w:rsidTr="00F2607C">
        <w:tc>
          <w:tcPr>
            <w:tcW w:w="3189" w:type="dxa"/>
          </w:tcPr>
          <w:p w:rsidR="00B81531" w:rsidRDefault="00B81531" w:rsidP="006A6204">
            <w:r>
              <w:t>10</w:t>
            </w:r>
            <w:r>
              <w:rPr>
                <w:vertAlign w:val="superscript"/>
              </w:rPr>
              <w:t>-8</w:t>
            </w:r>
          </w:p>
        </w:tc>
        <w:tc>
          <w:tcPr>
            <w:tcW w:w="904" w:type="dxa"/>
          </w:tcPr>
          <w:p w:rsidR="00B81531" w:rsidRDefault="00B81531" w:rsidP="00B81531">
            <w:r>
              <w:t>0</w:t>
            </w:r>
          </w:p>
        </w:tc>
        <w:tc>
          <w:tcPr>
            <w:tcW w:w="904" w:type="dxa"/>
          </w:tcPr>
          <w:p w:rsidR="00B81531" w:rsidRDefault="00B81531" w:rsidP="006A6204">
            <w:r>
              <w:t>0</w:t>
            </w:r>
          </w:p>
        </w:tc>
        <w:tc>
          <w:tcPr>
            <w:tcW w:w="905" w:type="dxa"/>
          </w:tcPr>
          <w:p w:rsidR="00B81531" w:rsidRDefault="00B81531" w:rsidP="006A6204">
            <w:r>
              <w:t>0</w:t>
            </w:r>
          </w:p>
        </w:tc>
        <w:tc>
          <w:tcPr>
            <w:tcW w:w="3386" w:type="dxa"/>
          </w:tcPr>
          <w:p w:rsidR="00B81531" w:rsidRDefault="00B81531" w:rsidP="006A6204">
            <w:r>
              <w:t>0</w:t>
            </w:r>
          </w:p>
        </w:tc>
      </w:tr>
    </w:tbl>
    <w:p w:rsidR="00E82777" w:rsidRDefault="00E82777" w:rsidP="006A6204"/>
    <w:p w:rsidR="009D2009" w:rsidRDefault="00EE277F" w:rsidP="006A6204">
      <w:r>
        <w:t>Aus diesen Mittelwerten ergeben sich Zellkonzentrationen zwischen 1,9*10</w:t>
      </w:r>
      <w:r>
        <w:rPr>
          <w:vertAlign w:val="superscript"/>
        </w:rPr>
        <w:t>8</w:t>
      </w:r>
      <w:r>
        <w:t xml:space="preserve"> und 5,7*10</w:t>
      </w:r>
      <w:r>
        <w:rPr>
          <w:vertAlign w:val="superscript"/>
        </w:rPr>
        <w:t>8</w:t>
      </w:r>
      <w:r>
        <w:t xml:space="preserve"> KBE/ml für die Suspension der chemisch transformierten Zellen. Im Mittelwert befinden sich demzufolge etwa 3,8*10</w:t>
      </w:r>
      <w:r>
        <w:rPr>
          <w:vertAlign w:val="superscript"/>
        </w:rPr>
        <w:t>8</w:t>
      </w:r>
      <w:r w:rsidR="007D6B6A">
        <w:t xml:space="preserve"> KBE in einem ml der unverdünnten Zellsuspension</w:t>
      </w:r>
      <w:r>
        <w:t>. Die Verdünnungsstufen 10</w:t>
      </w:r>
      <w:r>
        <w:rPr>
          <w:vertAlign w:val="superscript"/>
        </w:rPr>
        <w:t>-7</w:t>
      </w:r>
      <w:r>
        <w:t>und 10</w:t>
      </w:r>
      <w:r>
        <w:rPr>
          <w:vertAlign w:val="superscript"/>
        </w:rPr>
        <w:t>-8</w:t>
      </w:r>
      <w:r>
        <w:t xml:space="preserve"> wurden aufgrund der niedrigen Kolo</w:t>
      </w:r>
      <w:r w:rsidR="009D361B">
        <w:t>niezahlen für diese Berechnung</w:t>
      </w:r>
      <w:r>
        <w:t xml:space="preserve"> nicht genutzt.</w:t>
      </w:r>
    </w:p>
    <w:p w:rsidR="009D361B" w:rsidRDefault="009D361B" w:rsidP="006A6204">
      <w:r>
        <w:t xml:space="preserve">Andere Verdünnungsstufen wurden auf Platten mit LB-Medium, </w:t>
      </w:r>
      <w:proofErr w:type="spellStart"/>
      <w:r>
        <w:t>Ampicillin</w:t>
      </w:r>
      <w:proofErr w:type="spellEnd"/>
      <w:r>
        <w:t xml:space="preserve"> und </w:t>
      </w:r>
      <w:proofErr w:type="spellStart"/>
      <w:r>
        <w:t>Arabinose</w:t>
      </w:r>
      <w:proofErr w:type="spellEnd"/>
      <w:r>
        <w:t xml:space="preserve"> ausgebracht. Es wurde für jede Verdünnung ein Mittelwert der gezählten Kolonien pro Platte gebildet und in </w:t>
      </w:r>
      <w:r w:rsidR="0084345D">
        <w:fldChar w:fldCharType="begin"/>
      </w:r>
      <w:r w:rsidR="0084345D">
        <w:instrText xml:space="preserve"> REF _Ref512101892 \h </w:instrText>
      </w:r>
      <w:r w:rsidR="0084345D">
        <w:fldChar w:fldCharType="separate"/>
      </w:r>
      <w:r w:rsidR="0084345D">
        <w:t xml:space="preserve">Tabelle </w:t>
      </w:r>
      <w:r w:rsidR="0084345D">
        <w:rPr>
          <w:noProof/>
        </w:rPr>
        <w:t>3</w:t>
      </w:r>
      <w:r w:rsidR="0084345D">
        <w:fldChar w:fldCharType="end"/>
      </w:r>
      <w:r>
        <w:t xml:space="preserve"> zusammengefasst.</w:t>
      </w:r>
    </w:p>
    <w:p w:rsidR="0084345D" w:rsidRDefault="0084345D" w:rsidP="0084345D">
      <w:pPr>
        <w:pStyle w:val="Beschriftung"/>
        <w:keepNext/>
      </w:pPr>
      <w:bookmarkStart w:id="0" w:name="_Ref512101892"/>
      <w:r>
        <w:t xml:space="preserve">Tabelle </w:t>
      </w:r>
      <w:r w:rsidR="00B81531">
        <w:fldChar w:fldCharType="begin"/>
      </w:r>
      <w:r w:rsidR="00B81531">
        <w:instrText xml:space="preserve"> SEQ Tabelle \* ARABIC </w:instrText>
      </w:r>
      <w:r w:rsidR="00B81531">
        <w:fldChar w:fldCharType="separate"/>
      </w:r>
      <w:r w:rsidR="00EA0C1B">
        <w:rPr>
          <w:noProof/>
        </w:rPr>
        <w:t>3</w:t>
      </w:r>
      <w:r w:rsidR="00B81531">
        <w:rPr>
          <w:noProof/>
        </w:rPr>
        <w:fldChar w:fldCharType="end"/>
      </w:r>
      <w:bookmarkEnd w:id="0"/>
      <w:r>
        <w:t xml:space="preserve">: Durchschnittliche KBE in 100 µl der chemisch transformierten Zellen auf LB-Agar mit </w:t>
      </w:r>
      <w:proofErr w:type="spellStart"/>
      <w:r>
        <w:t>Ampicillin</w:t>
      </w:r>
      <w:proofErr w:type="spellEnd"/>
      <w:r>
        <w:t xml:space="preserve"> und </w:t>
      </w:r>
      <w:proofErr w:type="spellStart"/>
      <w:r>
        <w:t>Arabinose</w:t>
      </w:r>
      <w:proofErr w:type="spellEnd"/>
    </w:p>
    <w:tbl>
      <w:tblPr>
        <w:tblStyle w:val="Tabellenraster"/>
        <w:tblW w:w="0" w:type="auto"/>
        <w:tblLook w:val="04A0" w:firstRow="1" w:lastRow="0" w:firstColumn="1" w:lastColumn="0" w:noHBand="0" w:noVBand="1"/>
      </w:tblPr>
      <w:tblGrid>
        <w:gridCol w:w="3189"/>
        <w:gridCol w:w="904"/>
        <w:gridCol w:w="904"/>
        <w:gridCol w:w="905"/>
        <w:gridCol w:w="3386"/>
      </w:tblGrid>
      <w:tr w:rsidR="007B5A67" w:rsidTr="007B5A67">
        <w:tc>
          <w:tcPr>
            <w:tcW w:w="3189" w:type="dxa"/>
          </w:tcPr>
          <w:p w:rsidR="007B5A67" w:rsidRDefault="007B5A67" w:rsidP="00F74F48">
            <w:r>
              <w:t>Verdünnung</w:t>
            </w:r>
          </w:p>
        </w:tc>
        <w:tc>
          <w:tcPr>
            <w:tcW w:w="2713" w:type="dxa"/>
            <w:gridSpan w:val="3"/>
          </w:tcPr>
          <w:p w:rsidR="007B5A67" w:rsidRDefault="007B5A67" w:rsidP="000C2307">
            <w:r>
              <w:t>Gezählte Kolonien</w:t>
            </w:r>
          </w:p>
        </w:tc>
        <w:tc>
          <w:tcPr>
            <w:tcW w:w="3386" w:type="dxa"/>
          </w:tcPr>
          <w:p w:rsidR="007B5A67" w:rsidRDefault="007B5A67" w:rsidP="00F74F48">
            <w:r>
              <w:t>Durchschnittliche KBE pro Platte</w:t>
            </w:r>
          </w:p>
        </w:tc>
      </w:tr>
      <w:tr w:rsidR="00B81531" w:rsidTr="00705735">
        <w:tc>
          <w:tcPr>
            <w:tcW w:w="3189" w:type="dxa"/>
          </w:tcPr>
          <w:p w:rsidR="00B81531" w:rsidRPr="00E36B0A" w:rsidRDefault="00B81531" w:rsidP="00F74F48">
            <w:pPr>
              <w:rPr>
                <w:vertAlign w:val="superscript"/>
              </w:rPr>
            </w:pPr>
            <w:r>
              <w:t>10</w:t>
            </w:r>
            <w:r>
              <w:rPr>
                <w:vertAlign w:val="superscript"/>
              </w:rPr>
              <w:t>-2</w:t>
            </w:r>
          </w:p>
        </w:tc>
        <w:tc>
          <w:tcPr>
            <w:tcW w:w="904" w:type="dxa"/>
          </w:tcPr>
          <w:p w:rsidR="00B81531" w:rsidRDefault="00B81531" w:rsidP="00B81531">
            <w:r>
              <w:t>13</w:t>
            </w:r>
          </w:p>
        </w:tc>
        <w:tc>
          <w:tcPr>
            <w:tcW w:w="904" w:type="dxa"/>
          </w:tcPr>
          <w:p w:rsidR="00B81531" w:rsidRDefault="00B81531" w:rsidP="0084345D">
            <w:pPr>
              <w:tabs>
                <w:tab w:val="left" w:pos="795"/>
              </w:tabs>
            </w:pPr>
            <w:r>
              <w:t>2</w:t>
            </w:r>
          </w:p>
        </w:tc>
        <w:tc>
          <w:tcPr>
            <w:tcW w:w="905" w:type="dxa"/>
          </w:tcPr>
          <w:p w:rsidR="00B81531" w:rsidRDefault="00B81531" w:rsidP="00F74F48">
            <w:r>
              <w:t>1</w:t>
            </w:r>
          </w:p>
        </w:tc>
        <w:tc>
          <w:tcPr>
            <w:tcW w:w="3386" w:type="dxa"/>
          </w:tcPr>
          <w:p w:rsidR="00B81531" w:rsidRDefault="00B81531" w:rsidP="00F74F48">
            <w:r>
              <w:t>5,3</w:t>
            </w:r>
          </w:p>
        </w:tc>
      </w:tr>
      <w:tr w:rsidR="00B81531" w:rsidTr="00705735">
        <w:tc>
          <w:tcPr>
            <w:tcW w:w="3189" w:type="dxa"/>
          </w:tcPr>
          <w:p w:rsidR="00B81531" w:rsidRPr="00E36B0A" w:rsidRDefault="00B81531" w:rsidP="00F74F48">
            <w:pPr>
              <w:rPr>
                <w:vertAlign w:val="superscript"/>
              </w:rPr>
            </w:pPr>
            <w:r>
              <w:t>10</w:t>
            </w:r>
            <w:r>
              <w:rPr>
                <w:vertAlign w:val="superscript"/>
              </w:rPr>
              <w:t>-3</w:t>
            </w:r>
          </w:p>
        </w:tc>
        <w:tc>
          <w:tcPr>
            <w:tcW w:w="904" w:type="dxa"/>
          </w:tcPr>
          <w:p w:rsidR="00B81531" w:rsidRDefault="00B81531" w:rsidP="00F74F48">
            <w:r>
              <w:t>1</w:t>
            </w:r>
          </w:p>
        </w:tc>
        <w:tc>
          <w:tcPr>
            <w:tcW w:w="904" w:type="dxa"/>
          </w:tcPr>
          <w:p w:rsidR="00B81531" w:rsidRDefault="00B81531" w:rsidP="00F74F48">
            <w:r>
              <w:t>0</w:t>
            </w:r>
          </w:p>
        </w:tc>
        <w:tc>
          <w:tcPr>
            <w:tcW w:w="905" w:type="dxa"/>
          </w:tcPr>
          <w:p w:rsidR="00B81531" w:rsidRDefault="00B81531" w:rsidP="00F74F48">
            <w:r>
              <w:t>0</w:t>
            </w:r>
          </w:p>
        </w:tc>
        <w:tc>
          <w:tcPr>
            <w:tcW w:w="3386" w:type="dxa"/>
          </w:tcPr>
          <w:p w:rsidR="00B81531" w:rsidRDefault="00B81531" w:rsidP="0084345D">
            <w:pPr>
              <w:tabs>
                <w:tab w:val="left" w:pos="795"/>
              </w:tabs>
            </w:pPr>
            <w:r>
              <w:t>0,3</w:t>
            </w:r>
          </w:p>
        </w:tc>
      </w:tr>
      <w:tr w:rsidR="00B81531" w:rsidTr="00705735">
        <w:tc>
          <w:tcPr>
            <w:tcW w:w="3189" w:type="dxa"/>
          </w:tcPr>
          <w:p w:rsidR="00B81531" w:rsidRDefault="00B81531" w:rsidP="00F74F48">
            <w:r>
              <w:t>10</w:t>
            </w:r>
            <w:r>
              <w:rPr>
                <w:vertAlign w:val="superscript"/>
              </w:rPr>
              <w:t>-4</w:t>
            </w:r>
          </w:p>
        </w:tc>
        <w:tc>
          <w:tcPr>
            <w:tcW w:w="904" w:type="dxa"/>
          </w:tcPr>
          <w:p w:rsidR="00B81531" w:rsidRDefault="00B81531" w:rsidP="00F74F48">
            <w:r>
              <w:t>0</w:t>
            </w:r>
          </w:p>
        </w:tc>
        <w:tc>
          <w:tcPr>
            <w:tcW w:w="904" w:type="dxa"/>
          </w:tcPr>
          <w:p w:rsidR="00B81531" w:rsidRDefault="00B81531" w:rsidP="00F74F48">
            <w:r>
              <w:t>0</w:t>
            </w:r>
          </w:p>
        </w:tc>
        <w:tc>
          <w:tcPr>
            <w:tcW w:w="905" w:type="dxa"/>
          </w:tcPr>
          <w:p w:rsidR="00B81531" w:rsidRDefault="00B81531" w:rsidP="00B81531">
            <w:r>
              <w:t>0</w:t>
            </w:r>
          </w:p>
        </w:tc>
        <w:tc>
          <w:tcPr>
            <w:tcW w:w="3386" w:type="dxa"/>
          </w:tcPr>
          <w:p w:rsidR="00B81531" w:rsidRDefault="00B81531" w:rsidP="00F74F48">
            <w:r>
              <w:t>0</w:t>
            </w:r>
          </w:p>
        </w:tc>
      </w:tr>
    </w:tbl>
    <w:p w:rsidR="009D361B" w:rsidRDefault="009D361B" w:rsidP="006A6204"/>
    <w:p w:rsidR="0084345D" w:rsidRDefault="00613AB8" w:rsidP="006A6204">
      <w:r>
        <w:lastRenderedPageBreak/>
        <w:t>In 10</w:t>
      </w:r>
      <w:r w:rsidR="00ED3499">
        <w:t>0</w:t>
      </w:r>
      <w:r>
        <w:t xml:space="preserve"> µl der 10</w:t>
      </w:r>
      <w:r>
        <w:rPr>
          <w:vertAlign w:val="superscript"/>
        </w:rPr>
        <w:t>-2</w:t>
      </w:r>
      <w:r>
        <w:t xml:space="preserve"> verdünnten Suspension wurden durchschnittlich 5,3 Kolonien gebildet</w:t>
      </w:r>
      <w:r w:rsidR="00ED3499">
        <w:t>. Daraus ergibt sich eine Konzentration von etwa 5,3*10</w:t>
      </w:r>
      <w:r w:rsidR="00ED3499">
        <w:rPr>
          <w:vertAlign w:val="superscript"/>
        </w:rPr>
        <w:t>3</w:t>
      </w:r>
      <w:r w:rsidR="00ED3499">
        <w:t xml:space="preserve"> </w:t>
      </w:r>
      <w:r w:rsidR="007A5BBB">
        <w:t>Transformanden</w:t>
      </w:r>
      <w:r w:rsidR="00ED3499">
        <w:t xml:space="preserve"> pro ml der ursprünglichen Zellsuspension vor der Verdünnung.</w:t>
      </w:r>
    </w:p>
    <w:p w:rsidR="00451E54" w:rsidRDefault="00451E54" w:rsidP="006A6204">
      <w:r>
        <w:t>Die Platten der Verdünnungsstufe 10</w:t>
      </w:r>
      <w:r>
        <w:rPr>
          <w:vertAlign w:val="superscript"/>
        </w:rPr>
        <w:t>-2</w:t>
      </w:r>
      <w:r>
        <w:t xml:space="preserve"> sowie eine Platte der Verdünnung 10</w:t>
      </w:r>
      <w:r>
        <w:rPr>
          <w:vertAlign w:val="superscript"/>
        </w:rPr>
        <w:t>-3</w:t>
      </w:r>
      <w:r>
        <w:t xml:space="preserve"> wurden unter UV-Licht betrachtet und fotografiert, um die Bildung des GFP-Proteins zu bestätigen. Die Platten sind in </w:t>
      </w:r>
      <w:r w:rsidR="004B355A">
        <w:fldChar w:fldCharType="begin"/>
      </w:r>
      <w:r w:rsidR="004B355A">
        <w:instrText xml:space="preserve"> REF _Ref512161897 \h </w:instrText>
      </w:r>
      <w:r w:rsidR="004B355A">
        <w:fldChar w:fldCharType="separate"/>
      </w:r>
      <w:r w:rsidR="004B355A">
        <w:t xml:space="preserve">Abbildung </w:t>
      </w:r>
      <w:r w:rsidR="004B355A">
        <w:rPr>
          <w:noProof/>
        </w:rPr>
        <w:t>1</w:t>
      </w:r>
      <w:r w:rsidR="004B355A">
        <w:fldChar w:fldCharType="end"/>
      </w:r>
      <w:r>
        <w:t xml:space="preserve"> zu sehen.</w:t>
      </w:r>
    </w:p>
    <w:p w:rsidR="00451E54" w:rsidRDefault="00451E54" w:rsidP="00451E54">
      <w:pPr>
        <w:keepNext/>
      </w:pPr>
      <w:r>
        <w:rPr>
          <w:noProof/>
          <w:lang w:eastAsia="de-DE"/>
        </w:rPr>
        <w:drawing>
          <wp:inline distT="0" distB="0" distL="0" distR="0" wp14:anchorId="0304F756" wp14:editId="70914919">
            <wp:extent cx="5760720" cy="5276553"/>
            <wp:effectExtent l="0" t="0" r="0" b="635"/>
            <wp:docPr id="4" name="Grafik 4" descr="C:\Users\Martin\Desktop\Mikrobiologie\chem_tran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tin\Desktop\Mikrobiologie\chem_transf.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5276553"/>
                    </a:xfrm>
                    <a:prstGeom prst="rect">
                      <a:avLst/>
                    </a:prstGeom>
                    <a:noFill/>
                    <a:ln>
                      <a:noFill/>
                    </a:ln>
                  </pic:spPr>
                </pic:pic>
              </a:graphicData>
            </a:graphic>
          </wp:inline>
        </w:drawing>
      </w:r>
    </w:p>
    <w:p w:rsidR="00451E54" w:rsidRDefault="00451E54" w:rsidP="00451E54">
      <w:pPr>
        <w:pStyle w:val="Beschriftung"/>
        <w:rPr>
          <w:noProof/>
        </w:rPr>
      </w:pPr>
      <w:bookmarkStart w:id="1" w:name="_Ref512161897"/>
      <w:r>
        <w:t xml:space="preserve">Abbildung </w:t>
      </w:r>
      <w:fldSimple w:instr=" SEQ Abbildung \* ARABIC ">
        <w:r w:rsidR="004B355A">
          <w:rPr>
            <w:noProof/>
          </w:rPr>
          <w:t>1</w:t>
        </w:r>
      </w:fldSimple>
      <w:bookmarkEnd w:id="1"/>
      <w:r>
        <w:t>: Chemisch</w:t>
      </w:r>
      <w:r w:rsidRPr="00CF68BA">
        <w:t xml:space="preserve"> Transformierte E. coli K12</w:t>
      </w:r>
      <w:r w:rsidR="004B355A">
        <w:t xml:space="preserve"> auf Agar mit </w:t>
      </w:r>
      <w:proofErr w:type="spellStart"/>
      <w:r w:rsidR="004B355A">
        <w:t>Arabinose</w:t>
      </w:r>
      <w:proofErr w:type="spellEnd"/>
      <w:r w:rsidR="004B355A">
        <w:t xml:space="preserve"> und </w:t>
      </w:r>
      <w:proofErr w:type="spellStart"/>
      <w:r w:rsidR="004B355A">
        <w:t>Ampicillin</w:t>
      </w:r>
      <w:proofErr w:type="spellEnd"/>
      <w:r w:rsidRPr="00CF68BA">
        <w:t xml:space="preserve"> unter UV-Licht</w:t>
      </w:r>
      <w:r>
        <w:t>, in verschiedenen Verdünnungen</w:t>
      </w:r>
      <w:r w:rsidRPr="00CF68BA">
        <w:t>; (1-3): 10</w:t>
      </w:r>
      <w:r>
        <w:rPr>
          <w:vertAlign w:val="superscript"/>
        </w:rPr>
        <w:t>-2</w:t>
      </w:r>
      <w:r w:rsidRPr="00CF68BA">
        <w:t xml:space="preserve"> verdünnt</w:t>
      </w:r>
      <w:r>
        <w:t>; (4) 10</w:t>
      </w:r>
      <w:r>
        <w:rPr>
          <w:vertAlign w:val="superscript"/>
        </w:rPr>
        <w:t>-3</w:t>
      </w:r>
      <w:r>
        <w:rPr>
          <w:noProof/>
        </w:rPr>
        <w:t xml:space="preserve"> verdünnt</w:t>
      </w:r>
    </w:p>
    <w:p w:rsidR="004B355A" w:rsidRPr="004B355A" w:rsidRDefault="004B355A" w:rsidP="004B355A">
      <w:r>
        <w:t>Bei allen Kolonien auf den Platten konnte die charakteristische grüne Fluoreszenz des GFP-Proteins festgestellt werden.</w:t>
      </w:r>
    </w:p>
    <w:p w:rsidR="004B355A" w:rsidRDefault="009D361B" w:rsidP="006A6204">
      <w:r>
        <w:t>Die unverdünnten transformierten Zellen wurden</w:t>
      </w:r>
      <w:r w:rsidR="00ED3499">
        <w:t xml:space="preserve"> </w:t>
      </w:r>
      <w:r w:rsidR="004B355A">
        <w:t>weiterhin</w:t>
      </w:r>
      <w:r>
        <w:t xml:space="preserve"> auf zwei Platten mit </w:t>
      </w:r>
      <w:proofErr w:type="spellStart"/>
      <w:r>
        <w:t>Ampicillin</w:t>
      </w:r>
      <w:proofErr w:type="spellEnd"/>
      <w:r>
        <w:t xml:space="preserve"> ausgebracht. Nach der Inkubation konnte auf beiden Platten das Wachstum von Kolonien beobachtet werden.</w:t>
      </w:r>
      <w:r w:rsidR="004B355A">
        <w:t xml:space="preserve"> Ein Foto der Platte unter UV-Licht ist in </w:t>
      </w:r>
      <w:r w:rsidR="00D3164D">
        <w:fldChar w:fldCharType="begin"/>
      </w:r>
      <w:r w:rsidR="00D3164D">
        <w:instrText xml:space="preserve"> REF _Ref512162573 \h </w:instrText>
      </w:r>
      <w:r w:rsidR="00D3164D">
        <w:fldChar w:fldCharType="separate"/>
      </w:r>
      <w:r w:rsidR="00D3164D">
        <w:t xml:space="preserve">Abbildung </w:t>
      </w:r>
      <w:r w:rsidR="00D3164D">
        <w:rPr>
          <w:noProof/>
        </w:rPr>
        <w:t>2</w:t>
      </w:r>
      <w:r w:rsidR="00D3164D">
        <w:fldChar w:fldCharType="end"/>
      </w:r>
      <w:r w:rsidR="004B355A">
        <w:t xml:space="preserve"> gezeigt. Es konnte keine Fluoreszenz festgestellt werden.</w:t>
      </w:r>
    </w:p>
    <w:p w:rsidR="004B355A" w:rsidRDefault="004B355A" w:rsidP="004B355A">
      <w:pPr>
        <w:keepNext/>
      </w:pPr>
      <w:r>
        <w:rPr>
          <w:noProof/>
          <w:lang w:eastAsia="de-DE"/>
        </w:rPr>
        <w:lastRenderedPageBreak/>
        <w:drawing>
          <wp:inline distT="0" distB="0" distL="0" distR="0" wp14:anchorId="525BE0B6" wp14:editId="29C882CE">
            <wp:extent cx="2790825" cy="2790825"/>
            <wp:effectExtent l="0" t="0" r="9525" b="9525"/>
            <wp:docPr id="5" name="Grafik 5" descr="C:\Users\Martin\Desktop\Mikrobiologie\chem_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tin\Desktop\Mikrobiologie\chem_Amp.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9902" cy="2789902"/>
                    </a:xfrm>
                    <a:prstGeom prst="rect">
                      <a:avLst/>
                    </a:prstGeom>
                    <a:noFill/>
                    <a:ln>
                      <a:noFill/>
                    </a:ln>
                  </pic:spPr>
                </pic:pic>
              </a:graphicData>
            </a:graphic>
          </wp:inline>
        </w:drawing>
      </w:r>
    </w:p>
    <w:p w:rsidR="004B355A" w:rsidRDefault="004B355A" w:rsidP="004B355A">
      <w:pPr>
        <w:pStyle w:val="Beschriftung"/>
      </w:pPr>
      <w:bookmarkStart w:id="2" w:name="_Ref512162573"/>
      <w:r>
        <w:t xml:space="preserve">Abbildung </w:t>
      </w:r>
      <w:fldSimple w:instr=" SEQ Abbildung \* ARABIC ">
        <w:r>
          <w:rPr>
            <w:noProof/>
          </w:rPr>
          <w:t>2</w:t>
        </w:r>
      </w:fldSimple>
      <w:bookmarkEnd w:id="2"/>
      <w:r>
        <w:t xml:space="preserve">: </w:t>
      </w:r>
      <w:r w:rsidRPr="00E718F3">
        <w:t xml:space="preserve">Chemisch Transformierte E. coli K12 auf Agar </w:t>
      </w:r>
      <w:r>
        <w:t xml:space="preserve">ohne </w:t>
      </w:r>
      <w:proofErr w:type="spellStart"/>
      <w:r>
        <w:t>Arabinose</w:t>
      </w:r>
      <w:proofErr w:type="spellEnd"/>
      <w:r>
        <w:t>,</w:t>
      </w:r>
      <w:r w:rsidRPr="00E718F3">
        <w:t xml:space="preserve"> unter UV-Licht</w:t>
      </w:r>
    </w:p>
    <w:p w:rsidR="00744A99" w:rsidRDefault="004B355A" w:rsidP="006A6204">
      <w:r>
        <w:t xml:space="preserve"> </w:t>
      </w:r>
      <w:r w:rsidR="00744A99">
        <w:t xml:space="preserve">Die Negativkontrolle wurde unverdünnt auf alle </w:t>
      </w:r>
      <w:r w:rsidR="00C00E23">
        <w:t>Medien ausgebracht und qualitativ ausgewertet. Auf</w:t>
      </w:r>
      <w:r w:rsidR="00334FE0">
        <w:t xml:space="preserve"> LB-Medium konnte ein Wachstum der Zellen festgestellt werden, auf LB-Medium mit </w:t>
      </w:r>
      <w:proofErr w:type="spellStart"/>
      <w:r w:rsidR="00334FE0">
        <w:t>Ampicillin</w:t>
      </w:r>
      <w:proofErr w:type="spellEnd"/>
      <w:r w:rsidR="00334FE0">
        <w:t xml:space="preserve"> und </w:t>
      </w:r>
      <w:proofErr w:type="spellStart"/>
      <w:r w:rsidR="00334FE0">
        <w:t>Arabinose</w:t>
      </w:r>
      <w:proofErr w:type="spellEnd"/>
      <w:r w:rsidR="00334FE0">
        <w:t xml:space="preserve"> wurden keine Kolonien </w:t>
      </w:r>
      <w:r w:rsidR="00D3164D">
        <w:t>gebildet</w:t>
      </w:r>
      <w:r w:rsidR="00334FE0">
        <w:t>.</w:t>
      </w:r>
    </w:p>
    <w:p w:rsidR="0041239B" w:rsidRDefault="0041239B" w:rsidP="0041239B">
      <w:r>
        <w:t xml:space="preserve">Die Transformationseffizienz der chemischen Transformation ergibt sich aus der Anzahl der Transformanden im Verhältnis zur eingesetzten Menge DNA. Die Transformationseffizienz wird nach </w:t>
      </w:r>
      <w:r w:rsidR="00FF15CC">
        <w:fldChar w:fldCharType="begin"/>
      </w:r>
      <w:r w:rsidR="00FF15CC">
        <w:instrText xml:space="preserve"> REF _Ref512281476 \h </w:instrText>
      </w:r>
      <w:r w:rsidR="00FF15CC">
        <w:fldChar w:fldCharType="separate"/>
      </w:r>
      <w:r w:rsidR="00FF15CC">
        <w:t xml:space="preserve">Formel </w:t>
      </w:r>
      <w:r w:rsidR="00FF15CC">
        <w:rPr>
          <w:noProof/>
        </w:rPr>
        <w:t>1</w:t>
      </w:r>
      <w:r w:rsidR="00FF15CC">
        <w:fldChar w:fldCharType="end"/>
      </w:r>
      <w:r>
        <w:t xml:space="preserve"> berechnet.</w:t>
      </w:r>
    </w:p>
    <w:p w:rsidR="009311B1" w:rsidRDefault="009311B1" w:rsidP="009311B1">
      <w:pPr>
        <w:pStyle w:val="Beschriftung"/>
        <w:keepNext/>
      </w:pPr>
      <w:bookmarkStart w:id="3" w:name="_Ref512281476"/>
      <w:r>
        <w:t xml:space="preserve">Formel </w:t>
      </w:r>
      <w:r w:rsidR="00B81531">
        <w:fldChar w:fldCharType="begin"/>
      </w:r>
      <w:r w:rsidR="00B81531">
        <w:instrText xml:space="preserve"> SEQ Formel \* ARABIC </w:instrText>
      </w:r>
      <w:r w:rsidR="00B81531">
        <w:fldChar w:fldCharType="separate"/>
      </w:r>
      <w:r w:rsidR="00991703">
        <w:rPr>
          <w:noProof/>
        </w:rPr>
        <w:t>1</w:t>
      </w:r>
      <w:r w:rsidR="00B81531">
        <w:rPr>
          <w:noProof/>
        </w:rPr>
        <w:fldChar w:fldCharType="end"/>
      </w:r>
      <w:bookmarkEnd w:id="3"/>
      <w:r>
        <w:t>: Allgemeine Formel der Transformationseffizienz</w:t>
      </w:r>
    </w:p>
    <w:p w:rsidR="009311B1" w:rsidRDefault="009311B1" w:rsidP="0041239B">
      <w:pPr>
        <w:rPr>
          <w:rFonts w:eastAsiaTheme="minorEastAsia"/>
        </w:rPr>
      </w:pPr>
      <m:oMath>
        <m:r>
          <w:rPr>
            <w:rFonts w:ascii="Cambria Math" w:hAnsi="Cambria Math"/>
          </w:rPr>
          <m:t>Transformationseffizienz=</m:t>
        </m:r>
        <m:f>
          <m:fPr>
            <m:ctrlPr>
              <w:rPr>
                <w:rFonts w:ascii="Cambria Math" w:hAnsi="Cambria Math"/>
                <w:i/>
              </w:rPr>
            </m:ctrlPr>
          </m:fPr>
          <m:num>
            <m:r>
              <w:rPr>
                <w:rFonts w:ascii="Cambria Math" w:hAnsi="Cambria Math"/>
              </w:rPr>
              <m:t>Anzahl der Transformanden</m:t>
            </m:r>
          </m:num>
          <m:den>
            <m:r>
              <w:rPr>
                <w:rFonts w:ascii="Cambria Math" w:hAnsi="Cambria Math"/>
              </w:rPr>
              <m:t>Menge eingesetzter DNA [µg]</m:t>
            </m:r>
          </m:den>
        </m:f>
      </m:oMath>
      <w:r>
        <w:rPr>
          <w:rFonts w:eastAsiaTheme="minorEastAsia"/>
        </w:rPr>
        <w:t xml:space="preserve"> </w:t>
      </w:r>
    </w:p>
    <w:p w:rsidR="009311B1" w:rsidRDefault="009311B1" w:rsidP="0041239B">
      <w:pPr>
        <w:rPr>
          <w:rFonts w:eastAsiaTheme="minorEastAsia"/>
        </w:rPr>
      </w:pPr>
      <w:r>
        <w:rPr>
          <w:rFonts w:eastAsiaTheme="minorEastAsia"/>
        </w:rPr>
        <w:t>In diesem Versuch wurden</w:t>
      </w:r>
      <w:r w:rsidR="007A5BBB">
        <w:rPr>
          <w:rFonts w:eastAsiaTheme="minorEastAsia"/>
        </w:rPr>
        <w:t xml:space="preserve"> unter Zugabe von 50 </w:t>
      </w:r>
      <w:proofErr w:type="spellStart"/>
      <w:r w:rsidR="007A5BBB">
        <w:rPr>
          <w:rFonts w:eastAsiaTheme="minorEastAsia"/>
        </w:rPr>
        <w:t>ng</w:t>
      </w:r>
      <w:proofErr w:type="spellEnd"/>
      <w:r w:rsidR="007A5BBB">
        <w:rPr>
          <w:rFonts w:eastAsiaTheme="minorEastAsia"/>
        </w:rPr>
        <w:t xml:space="preserve"> DNA </w:t>
      </w:r>
      <w:r w:rsidR="0077085D">
        <w:rPr>
          <w:rFonts w:eastAsiaTheme="minorEastAsia"/>
        </w:rPr>
        <w:t>etwa 5,3*10</w:t>
      </w:r>
      <w:r w:rsidR="0077085D">
        <w:rPr>
          <w:rFonts w:eastAsiaTheme="minorEastAsia"/>
          <w:vertAlign w:val="superscript"/>
        </w:rPr>
        <w:t>3</w:t>
      </w:r>
      <w:r w:rsidR="0077085D">
        <w:rPr>
          <w:rFonts w:eastAsiaTheme="minorEastAsia"/>
        </w:rPr>
        <w:t xml:space="preserve"> Transformanden/ml in der Zellsuspension erreicht. Die Transformationseffizienz</w:t>
      </w:r>
      <w:r w:rsidR="007D6B6A">
        <w:rPr>
          <w:rFonts w:eastAsiaTheme="minorEastAsia"/>
        </w:rPr>
        <w:t xml:space="preserve"> wurde wie folgt berechnet</w:t>
      </w:r>
      <w:r w:rsidR="0077085D">
        <w:rPr>
          <w:rFonts w:eastAsiaTheme="minorEastAsia"/>
        </w:rPr>
        <w:t>:</w:t>
      </w:r>
    </w:p>
    <w:p w:rsidR="00FF15CC" w:rsidRDefault="00FF15CC" w:rsidP="00FF15CC">
      <w:pPr>
        <w:pStyle w:val="Beschriftung"/>
        <w:keepNext/>
      </w:pPr>
      <w:r>
        <w:t xml:space="preserve">Formel </w:t>
      </w:r>
      <w:r w:rsidR="00B81531">
        <w:fldChar w:fldCharType="begin"/>
      </w:r>
      <w:r w:rsidR="00B81531">
        <w:instrText xml:space="preserve"> SEQ Formel \* ARABIC </w:instrText>
      </w:r>
      <w:r w:rsidR="00B81531">
        <w:fldChar w:fldCharType="separate"/>
      </w:r>
      <w:r w:rsidR="00991703">
        <w:rPr>
          <w:noProof/>
        </w:rPr>
        <w:t>2</w:t>
      </w:r>
      <w:r w:rsidR="00B81531">
        <w:rPr>
          <w:noProof/>
        </w:rPr>
        <w:fldChar w:fldCharType="end"/>
      </w:r>
      <w:r>
        <w:t>: Transformationseffizienz der chemischen Transformation</w:t>
      </w:r>
    </w:p>
    <w:p w:rsidR="0041239B" w:rsidRPr="007D6B6A" w:rsidRDefault="00B81531" w:rsidP="00FF15CC">
      <w:pPr>
        <w:rPr>
          <w:rFonts w:eastAsiaTheme="minorEastAsia"/>
          <w:vertAlign w:val="superscript"/>
        </w:rPr>
      </w:pPr>
      <m:oMath>
        <m:sSub>
          <m:sSubPr>
            <m:ctrlPr>
              <w:rPr>
                <w:rFonts w:ascii="Cambria Math" w:hAnsi="Cambria Math"/>
                <w:i/>
              </w:rPr>
            </m:ctrlPr>
          </m:sSubPr>
          <m:e>
            <m:r>
              <w:rPr>
                <w:rFonts w:ascii="Cambria Math" w:hAnsi="Cambria Math"/>
              </w:rPr>
              <m:t>Transformationseffizienz</m:t>
            </m:r>
          </m:e>
          <m:sub>
            <m:r>
              <w:rPr>
                <w:rFonts w:ascii="Cambria Math" w:hAnsi="Cambria Math"/>
              </w:rPr>
              <m:t>chem.</m:t>
            </m:r>
          </m:sub>
        </m:sSub>
        <m:r>
          <w:rPr>
            <w:rFonts w:ascii="Cambria Math" w:hAnsi="Cambria Math"/>
          </w:rPr>
          <m:t>=</m:t>
        </m:r>
        <m:f>
          <m:fPr>
            <m:ctrlPr>
              <w:rPr>
                <w:rFonts w:ascii="Cambria Math" w:hAnsi="Cambria Math"/>
                <w:i/>
              </w:rPr>
            </m:ctrlPr>
          </m:fPr>
          <m:num>
            <m:r>
              <w:rPr>
                <w:rFonts w:ascii="Cambria Math" w:hAnsi="Cambria Math"/>
              </w:rPr>
              <m:t xml:space="preserve">5,3* </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r>
                  <w:rPr>
                    <w:rFonts w:ascii="Cambria Math" w:hAnsi="Cambria Math"/>
                  </w:rPr>
                  <m:t>KBE</m:t>
                </m:r>
              </m:num>
              <m:den>
                <m:r>
                  <w:rPr>
                    <w:rFonts w:ascii="Cambria Math" w:hAnsi="Cambria Math"/>
                  </w:rPr>
                  <m:t>ml</m:t>
                </m:r>
              </m:den>
            </m:f>
            <m:r>
              <w:rPr>
                <w:rFonts w:ascii="Cambria Math" w:hAnsi="Cambria Math"/>
              </w:rPr>
              <m:t>*0,6 ml</m:t>
            </m:r>
          </m:num>
          <m:den>
            <m:r>
              <w:rPr>
                <w:rFonts w:ascii="Cambria Math" w:hAnsi="Cambria Math"/>
              </w:rPr>
              <m:t>3,8 µl* 0,0131 µg/µl</m:t>
            </m:r>
          </m:den>
        </m:f>
        <m:r>
          <w:rPr>
            <w:rFonts w:ascii="Cambria Math" w:hAnsi="Cambria Math"/>
          </w:rPr>
          <m:t>=</m:t>
        </m:r>
        <m:r>
          <w:rPr>
            <w:rFonts w:ascii="Cambria Math" w:eastAsiaTheme="minorEastAsia" w:hAnsi="Cambria Math"/>
          </w:rPr>
          <m:t>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f>
          <m:fPr>
            <m:ctrlPr>
              <w:rPr>
                <w:rFonts w:ascii="Cambria Math" w:eastAsiaTheme="minorEastAsia" w:hAnsi="Cambria Math"/>
                <w:i/>
              </w:rPr>
            </m:ctrlPr>
          </m:fPr>
          <m:num>
            <m:r>
              <w:rPr>
                <w:rFonts w:ascii="Cambria Math" w:eastAsiaTheme="minorEastAsia" w:hAnsi="Cambria Math"/>
              </w:rPr>
              <m:t>KBE</m:t>
            </m:r>
          </m:num>
          <m:den>
            <m:r>
              <w:rPr>
                <w:rFonts w:ascii="Cambria Math" w:eastAsiaTheme="minorEastAsia" w:hAnsi="Cambria Math"/>
              </w:rPr>
              <m:t>µg</m:t>
            </m:r>
          </m:den>
        </m:f>
      </m:oMath>
      <w:r w:rsidR="00FF15CC">
        <w:rPr>
          <w:rFonts w:eastAsiaTheme="minorEastAsia"/>
        </w:rPr>
        <w:t xml:space="preserve"> </w:t>
      </w:r>
    </w:p>
    <w:p w:rsidR="00FF15CC" w:rsidRDefault="00FF15CC" w:rsidP="00FF15CC">
      <w:pPr>
        <w:rPr>
          <w:rFonts w:eastAsiaTheme="minorEastAsia"/>
        </w:rPr>
      </w:pPr>
      <w:r>
        <w:rPr>
          <w:rFonts w:eastAsiaTheme="minorEastAsia"/>
        </w:rPr>
        <w:t xml:space="preserve">Die Sterberate ergibt sich aus dem Verhältnis der Lebendzellzahl der kompetenten Zellen vor der Transformation und der Lebendzellzahl nach der Transformation. Berechnet wird die Sterberate nach </w:t>
      </w:r>
      <w:r w:rsidR="007D6B6A">
        <w:rPr>
          <w:rFonts w:eastAsiaTheme="minorEastAsia"/>
        </w:rPr>
        <w:fldChar w:fldCharType="begin"/>
      </w:r>
      <w:r w:rsidR="007D6B6A">
        <w:rPr>
          <w:rFonts w:eastAsiaTheme="minorEastAsia"/>
        </w:rPr>
        <w:instrText xml:space="preserve"> REF _Ref512282006 \h </w:instrText>
      </w:r>
      <w:r w:rsidR="007D6B6A">
        <w:rPr>
          <w:rFonts w:eastAsiaTheme="minorEastAsia"/>
        </w:rPr>
      </w:r>
      <w:r w:rsidR="007D6B6A">
        <w:rPr>
          <w:rFonts w:eastAsiaTheme="minorEastAsia"/>
        </w:rPr>
        <w:fldChar w:fldCharType="separate"/>
      </w:r>
      <w:r w:rsidR="007D6B6A">
        <w:t xml:space="preserve">Formel </w:t>
      </w:r>
      <w:r w:rsidR="007D6B6A">
        <w:rPr>
          <w:noProof/>
        </w:rPr>
        <w:t>3</w:t>
      </w:r>
      <w:r w:rsidR="007D6B6A">
        <w:rPr>
          <w:rFonts w:eastAsiaTheme="minorEastAsia"/>
        </w:rPr>
        <w:fldChar w:fldCharType="end"/>
      </w:r>
      <w:r>
        <w:rPr>
          <w:rFonts w:eastAsiaTheme="minorEastAsia"/>
        </w:rPr>
        <w:t>.</w:t>
      </w:r>
    </w:p>
    <w:p w:rsidR="007D6B6A" w:rsidRDefault="007D6B6A" w:rsidP="007D6B6A">
      <w:pPr>
        <w:pStyle w:val="Beschriftung"/>
        <w:keepNext/>
      </w:pPr>
      <w:bookmarkStart w:id="4" w:name="_Ref512282006"/>
      <w:r>
        <w:t xml:space="preserve">Formel </w:t>
      </w:r>
      <w:r w:rsidR="00B81531">
        <w:fldChar w:fldCharType="begin"/>
      </w:r>
      <w:r w:rsidR="00B81531">
        <w:instrText xml:space="preserve"> SEQ Formel \* ARABIC </w:instrText>
      </w:r>
      <w:r w:rsidR="00B81531">
        <w:fldChar w:fldCharType="separate"/>
      </w:r>
      <w:r w:rsidR="00991703">
        <w:rPr>
          <w:noProof/>
        </w:rPr>
        <w:t>3</w:t>
      </w:r>
      <w:r w:rsidR="00B81531">
        <w:rPr>
          <w:noProof/>
        </w:rPr>
        <w:fldChar w:fldCharType="end"/>
      </w:r>
      <w:bookmarkEnd w:id="4"/>
      <w:r>
        <w:t>: Allgemeine Formel der Sterberate</w:t>
      </w:r>
    </w:p>
    <w:p w:rsidR="00FF15CC" w:rsidRDefault="00FF15CC" w:rsidP="00FF15CC">
      <w:pPr>
        <w:rPr>
          <w:rFonts w:eastAsiaTheme="minorEastAsia"/>
        </w:rPr>
      </w:pPr>
      <m:oMath>
        <m:r>
          <w:rPr>
            <w:rFonts w:ascii="Cambria Math" w:hAnsi="Cambria Math"/>
          </w:rPr>
          <m:t>Sterberate=</m:t>
        </m:r>
        <m:f>
          <m:fPr>
            <m:ctrlPr>
              <w:rPr>
                <w:rFonts w:ascii="Cambria Math" w:hAnsi="Cambria Math"/>
                <w:i/>
              </w:rPr>
            </m:ctrlPr>
          </m:fPr>
          <m:num>
            <m:r>
              <w:rPr>
                <w:rFonts w:ascii="Cambria Math" w:hAnsi="Cambria Math"/>
              </w:rPr>
              <m:t>Lebendzellzahl kompetenter Zellen - Lebendzellzahl nach Transformatio</m:t>
            </m:r>
            <m:r>
              <w:rPr>
                <w:rFonts w:ascii="Cambria Math" w:hAnsi="Cambria Math"/>
              </w:rPr>
              <m:t>n</m:t>
            </m:r>
          </m:num>
          <m:den>
            <m:r>
              <w:rPr>
                <w:rFonts w:ascii="Cambria Math" w:hAnsi="Cambria Math"/>
              </w:rPr>
              <m:t>Lebendzellzahl kompetenter Zellen</m:t>
            </m:r>
          </m:den>
        </m:f>
        <m:r>
          <w:rPr>
            <w:rFonts w:ascii="Cambria Math" w:hAnsi="Cambria Math"/>
          </w:rPr>
          <m:t>*100 %</m:t>
        </m:r>
      </m:oMath>
      <w:r w:rsidR="007D6B6A">
        <w:rPr>
          <w:rFonts w:eastAsiaTheme="minorEastAsia"/>
        </w:rPr>
        <w:t xml:space="preserve"> </w:t>
      </w:r>
    </w:p>
    <w:p w:rsidR="007D6B6A" w:rsidRDefault="007D6B6A" w:rsidP="00FF15CC">
      <w:pPr>
        <w:rPr>
          <w:rFonts w:eastAsiaTheme="minorEastAsia"/>
        </w:rPr>
      </w:pPr>
      <w:r>
        <w:rPr>
          <w:rFonts w:eastAsiaTheme="minorEastAsia"/>
        </w:rPr>
        <w:t>Die Sterberate der chemischen Transformation wird dementsprechende wie folgt berechnet:</w:t>
      </w:r>
    </w:p>
    <w:p w:rsidR="009C77CA" w:rsidRDefault="009C77CA" w:rsidP="009C77CA">
      <w:pPr>
        <w:pStyle w:val="Beschriftung"/>
        <w:keepNext/>
      </w:pPr>
      <w:r>
        <w:t xml:space="preserve">Formel </w:t>
      </w:r>
      <w:r w:rsidR="00B81531">
        <w:fldChar w:fldCharType="begin"/>
      </w:r>
      <w:r w:rsidR="00B81531">
        <w:instrText xml:space="preserve"> SEQ Formel \* ARABIC </w:instrText>
      </w:r>
      <w:r w:rsidR="00B81531">
        <w:fldChar w:fldCharType="separate"/>
      </w:r>
      <w:r w:rsidR="00991703">
        <w:rPr>
          <w:noProof/>
        </w:rPr>
        <w:t>4</w:t>
      </w:r>
      <w:r w:rsidR="00B81531">
        <w:rPr>
          <w:noProof/>
        </w:rPr>
        <w:fldChar w:fldCharType="end"/>
      </w:r>
      <w:r>
        <w:t>: Sterberate der chemischen Transformation</w:t>
      </w:r>
    </w:p>
    <w:p w:rsidR="007D6B6A" w:rsidRDefault="00B81531" w:rsidP="00FF15CC">
      <w:pPr>
        <w:rPr>
          <w:rFonts w:eastAsiaTheme="minorEastAsia"/>
        </w:rPr>
      </w:pPr>
      <m:oMath>
        <m:sSub>
          <m:sSubPr>
            <m:ctrlPr>
              <w:rPr>
                <w:rFonts w:ascii="Cambria Math" w:hAnsi="Cambria Math"/>
                <w:i/>
              </w:rPr>
            </m:ctrlPr>
          </m:sSubPr>
          <m:e>
            <m:r>
              <w:rPr>
                <w:rFonts w:ascii="Cambria Math" w:hAnsi="Cambria Math"/>
              </w:rPr>
              <m:t>Sterberate</m:t>
            </m:r>
          </m:e>
          <m:sub>
            <m:r>
              <w:rPr>
                <w:rFonts w:ascii="Cambria Math" w:hAnsi="Cambria Math"/>
              </w:rPr>
              <m:t>chem.</m:t>
            </m:r>
          </m:sub>
        </m:sSub>
        <m:r>
          <w:rPr>
            <w:rFonts w:ascii="Cambria Math" w:hAnsi="Cambria Math"/>
          </w:rPr>
          <m:t>=</m:t>
        </m:r>
        <m:f>
          <m:fPr>
            <m:ctrlPr>
              <w:rPr>
                <w:rFonts w:ascii="Cambria Math" w:hAnsi="Cambria Math"/>
                <w:i/>
              </w:rPr>
            </m:ctrlPr>
          </m:fPr>
          <m:num>
            <m:r>
              <w:rPr>
                <w:rFonts w:ascii="Cambria Math" w:hAnsi="Cambria Math"/>
              </w:rPr>
              <m:t xml:space="preserve">8,3* </m:t>
            </m:r>
            <m:sSup>
              <m:sSupPr>
                <m:ctrlPr>
                  <w:rPr>
                    <w:rFonts w:ascii="Cambria Math" w:hAnsi="Cambria Math"/>
                    <w:i/>
                  </w:rPr>
                </m:ctrlPr>
              </m:sSupPr>
              <m:e>
                <m:r>
                  <w:rPr>
                    <w:rFonts w:ascii="Cambria Math" w:hAnsi="Cambria Math"/>
                  </w:rPr>
                  <m:t>10</m:t>
                </m:r>
              </m:e>
              <m:sup>
                <m:r>
                  <w:rPr>
                    <w:rFonts w:ascii="Cambria Math" w:hAnsi="Cambria Math"/>
                  </w:rPr>
                  <m:t>8</m:t>
                </m:r>
              </m:sup>
            </m:sSup>
            <m:f>
              <m:fPr>
                <m:ctrlPr>
                  <w:rPr>
                    <w:rFonts w:ascii="Cambria Math" w:hAnsi="Cambria Math"/>
                    <w:i/>
                  </w:rPr>
                </m:ctrlPr>
              </m:fPr>
              <m:num>
                <m:r>
                  <w:rPr>
                    <w:rFonts w:ascii="Cambria Math" w:hAnsi="Cambria Math"/>
                  </w:rPr>
                  <m:t>KBE</m:t>
                </m:r>
              </m:num>
              <m:den>
                <m:r>
                  <w:rPr>
                    <w:rFonts w:ascii="Cambria Math" w:hAnsi="Cambria Math"/>
                  </w:rPr>
                  <m:t>ml</m:t>
                </m:r>
              </m:den>
            </m:f>
            <m:r>
              <w:rPr>
                <w:rFonts w:ascii="Cambria Math" w:hAnsi="Cambria Math"/>
              </w:rPr>
              <m:t xml:space="preserve"> - 3,8* </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f>
              <m:fPr>
                <m:ctrlPr>
                  <w:rPr>
                    <w:rFonts w:ascii="Cambria Math" w:hAnsi="Cambria Math"/>
                    <w:i/>
                  </w:rPr>
                </m:ctrlPr>
              </m:fPr>
              <m:num>
                <m:r>
                  <w:rPr>
                    <w:rFonts w:ascii="Cambria Math" w:hAnsi="Cambria Math"/>
                  </w:rPr>
                  <m:t>KBE</m:t>
                </m:r>
              </m:num>
              <m:den>
                <m:r>
                  <w:rPr>
                    <w:rFonts w:ascii="Cambria Math" w:hAnsi="Cambria Math"/>
                  </w:rPr>
                  <m:t>ml</m:t>
                </m:r>
              </m:den>
            </m:f>
          </m:num>
          <m:den>
            <m:r>
              <w:rPr>
                <w:rFonts w:ascii="Cambria Math" w:hAnsi="Cambria Math"/>
              </w:rPr>
              <m:t xml:space="preserve">8,3* </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KBE/ml</m:t>
            </m:r>
          </m:den>
        </m:f>
        <m:r>
          <w:rPr>
            <w:rFonts w:ascii="Cambria Math" w:hAnsi="Cambria Math"/>
          </w:rPr>
          <m:t>*100 %=54,2%</m:t>
        </m:r>
      </m:oMath>
      <w:r w:rsidR="009C77CA">
        <w:rPr>
          <w:rFonts w:eastAsiaTheme="minorEastAsia"/>
        </w:rPr>
        <w:t xml:space="preserve"> </w:t>
      </w:r>
    </w:p>
    <w:p w:rsidR="009C77CA" w:rsidRDefault="009C77CA" w:rsidP="00FF15CC">
      <w:pPr>
        <w:rPr>
          <w:rFonts w:eastAsiaTheme="minorEastAsia"/>
        </w:rPr>
      </w:pPr>
      <w:r>
        <w:rPr>
          <w:rFonts w:eastAsiaTheme="minorEastAsia"/>
        </w:rPr>
        <w:lastRenderedPageBreak/>
        <w:t xml:space="preserve">Die Transformationsausbeute ist der Anteil der Transformanden an der Lebendzellzahl der transformierten Kultur. Die Formel </w:t>
      </w:r>
      <w:r w:rsidR="00352010">
        <w:rPr>
          <w:rFonts w:eastAsiaTheme="minorEastAsia"/>
        </w:rPr>
        <w:t>lautet</w:t>
      </w:r>
      <w:r>
        <w:rPr>
          <w:rFonts w:eastAsiaTheme="minorEastAsia"/>
        </w:rPr>
        <w:t xml:space="preserve"> wie folgt:</w:t>
      </w:r>
    </w:p>
    <w:p w:rsidR="009C77CA" w:rsidRDefault="009C77CA" w:rsidP="009C77CA">
      <w:pPr>
        <w:pStyle w:val="Beschriftung"/>
        <w:keepNext/>
      </w:pPr>
      <w:r>
        <w:t xml:space="preserve">Formel </w:t>
      </w:r>
      <w:r w:rsidR="00B81531">
        <w:fldChar w:fldCharType="begin"/>
      </w:r>
      <w:r w:rsidR="00B81531">
        <w:instrText xml:space="preserve"> SEQ Formel \* ARABIC </w:instrText>
      </w:r>
      <w:r w:rsidR="00B81531">
        <w:fldChar w:fldCharType="separate"/>
      </w:r>
      <w:r w:rsidR="00991703">
        <w:rPr>
          <w:noProof/>
        </w:rPr>
        <w:t>5</w:t>
      </w:r>
      <w:r w:rsidR="00B81531">
        <w:rPr>
          <w:noProof/>
        </w:rPr>
        <w:fldChar w:fldCharType="end"/>
      </w:r>
      <w:r>
        <w:t>: Allgemeine Formel der Transformationsausbeute</w:t>
      </w:r>
      <w:r w:rsidR="00352010">
        <w:t xml:space="preserve"> und Transformationsausbeute der chemischen Transformation</w:t>
      </w:r>
    </w:p>
    <w:p w:rsidR="009C77CA" w:rsidRDefault="009C77CA" w:rsidP="00FF15CC">
      <w:pPr>
        <w:rPr>
          <w:rFonts w:eastAsiaTheme="minorEastAsia"/>
        </w:rPr>
      </w:pPr>
      <m:oMath>
        <m:r>
          <w:rPr>
            <w:rFonts w:ascii="Cambria Math" w:hAnsi="Cambria Math"/>
          </w:rPr>
          <m:t>Transformationsausbeute=</m:t>
        </m:r>
        <m:f>
          <m:fPr>
            <m:ctrlPr>
              <w:rPr>
                <w:rFonts w:ascii="Cambria Math" w:hAnsi="Cambria Math"/>
                <w:i/>
              </w:rPr>
            </m:ctrlPr>
          </m:fPr>
          <m:num>
            <m:r>
              <w:rPr>
                <w:rFonts w:ascii="Cambria Math" w:hAnsi="Cambria Math"/>
              </w:rPr>
              <m:t>Anzahl der Transformanden</m:t>
            </m:r>
          </m:num>
          <m:den>
            <m:r>
              <w:rPr>
                <w:rFonts w:ascii="Cambria Math" w:hAnsi="Cambria Math"/>
              </w:rPr>
              <m:t>Lebendzellzahl</m:t>
            </m:r>
          </m:den>
        </m:f>
        <m:r>
          <w:rPr>
            <w:rFonts w:ascii="Cambria Math" w:hAnsi="Cambria Math"/>
          </w:rPr>
          <m:t>*100 %</m:t>
        </m:r>
      </m:oMath>
      <w:r>
        <w:rPr>
          <w:rFonts w:eastAsiaTheme="minorEastAsia"/>
        </w:rPr>
        <w:t xml:space="preserve"> </w:t>
      </w:r>
    </w:p>
    <w:p w:rsidR="009C77CA" w:rsidRDefault="00B81531" w:rsidP="00FF15CC">
      <w:pPr>
        <w:rPr>
          <w:rFonts w:eastAsiaTheme="minorEastAsia"/>
        </w:rPr>
      </w:pPr>
      <m:oMath>
        <m:sSub>
          <m:sSubPr>
            <m:ctrlPr>
              <w:rPr>
                <w:rFonts w:ascii="Cambria Math" w:hAnsi="Cambria Math"/>
                <w:i/>
              </w:rPr>
            </m:ctrlPr>
          </m:sSubPr>
          <m:e>
            <m:r>
              <w:rPr>
                <w:rFonts w:ascii="Cambria Math" w:hAnsi="Cambria Math"/>
              </w:rPr>
              <m:t>Transformationsausbeute</m:t>
            </m:r>
          </m:e>
          <m:sub>
            <m:r>
              <w:rPr>
                <w:rFonts w:ascii="Cambria Math" w:hAnsi="Cambria Math"/>
              </w:rPr>
              <m:t>chem.</m:t>
            </m:r>
          </m:sub>
        </m:sSub>
        <m:r>
          <w:rPr>
            <w:rFonts w:ascii="Cambria Math" w:hAnsi="Cambria Math"/>
          </w:rPr>
          <m:t>=</m:t>
        </m:r>
        <m:f>
          <m:fPr>
            <m:ctrlPr>
              <w:rPr>
                <w:rFonts w:ascii="Cambria Math" w:hAnsi="Cambria Math"/>
                <w:i/>
              </w:rPr>
            </m:ctrlPr>
          </m:fPr>
          <m:num>
            <m:r>
              <w:rPr>
                <w:rFonts w:ascii="Cambria Math" w:hAnsi="Cambria Math"/>
              </w:rPr>
              <m:t xml:space="preserve">5,3* </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 xml:space="preserve">3,8* </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*100 %=</m:t>
        </m:r>
        <m:r>
          <w:rPr>
            <w:rFonts w:ascii="Cambria Math" w:eastAsiaTheme="minorEastAsia" w:hAnsi="Cambria Math"/>
          </w:rPr>
          <m:t>0,0014 %</m:t>
        </m:r>
      </m:oMath>
      <w:r w:rsidR="00352010">
        <w:rPr>
          <w:rFonts w:eastAsiaTheme="minorEastAsia"/>
        </w:rPr>
        <w:t xml:space="preserve"> </w:t>
      </w:r>
    </w:p>
    <w:p w:rsidR="00991703" w:rsidRPr="00991703" w:rsidRDefault="00991703" w:rsidP="00FF15CC">
      <w:r>
        <w:rPr>
          <w:rFonts w:eastAsiaTheme="minorEastAsia"/>
        </w:rPr>
        <w:t>Mit der chemischen Transformation wurde eine Transformationsausbeute von 6,4 * 10</w:t>
      </w:r>
      <w:r>
        <w:rPr>
          <w:rFonts w:eastAsiaTheme="minorEastAsia"/>
          <w:vertAlign w:val="superscript"/>
        </w:rPr>
        <w:t>4</w:t>
      </w:r>
      <w:r>
        <w:rPr>
          <w:rFonts w:eastAsiaTheme="minorEastAsia"/>
        </w:rPr>
        <w:t xml:space="preserve"> KBE/µl erreicht, die Transformationsausbeute betrug etwa 0,0014 %. Es wurde eine Sterberate von etwa 54,2 % festgestellt.</w:t>
      </w:r>
    </w:p>
    <w:p w:rsidR="00CD0B15" w:rsidRDefault="00296BEA" w:rsidP="00ED3499">
      <w:pPr>
        <w:pStyle w:val="berschrift3"/>
      </w:pPr>
      <w:r>
        <w:t>3.3 Elektrisch kompetente Zellen</w:t>
      </w:r>
    </w:p>
    <w:p w:rsidR="007004D8" w:rsidRDefault="000F7A7C" w:rsidP="006A6204">
      <w:r>
        <w:t xml:space="preserve">Die Kultur wurde wie unter 2.2 beschrieben </w:t>
      </w:r>
      <w:proofErr w:type="spellStart"/>
      <w:r>
        <w:t>angeimpft</w:t>
      </w:r>
      <w:proofErr w:type="spellEnd"/>
      <w:r>
        <w:t xml:space="preserve"> und inkubiert. Nach 76 Minuten Inkubation wurde eine OD</w:t>
      </w:r>
      <w:r>
        <w:rPr>
          <w:vertAlign w:val="subscript"/>
        </w:rPr>
        <w:t>630</w:t>
      </w:r>
      <w:r>
        <w:t xml:space="preserve"> von 0,593 gemessen und die Inkubation beendet. Aufgrund der begrenzten Kapazität der Kühlzentrifuge wurden die Zellen anstelle der 15 Minuten für 25 Minuten auf Eis gelagert, bevor die Zellen mit eiskaltem Wasser gewaschen werden konnten. Mit der verwendeten Zentrifuge konnten weiterhin keine 5000 g erreicht werden, weshalb die Zellen </w:t>
      </w:r>
      <w:r w:rsidR="00D1384C">
        <w:t>mit</w:t>
      </w:r>
      <w:r>
        <w:t xml:space="preserve"> 2500</w:t>
      </w:r>
      <w:r w:rsidR="00D1384C">
        <w:t xml:space="preserve"> g zentrifugiert wurden. Nach dem Waschen wurden die Zellen</w:t>
      </w:r>
      <w:r w:rsidR="00DB7A04">
        <w:t xml:space="preserve"> in 100 µl Wasser </w:t>
      </w:r>
      <w:proofErr w:type="spellStart"/>
      <w:r w:rsidR="00DB7A04">
        <w:t>resuspendiert</w:t>
      </w:r>
      <w:proofErr w:type="spellEnd"/>
      <w:r w:rsidR="00DB7A04">
        <w:t xml:space="preserve">, </w:t>
      </w:r>
      <w:r w:rsidR="00D1384C">
        <w:t>sukzessiv mit steriler Saline verdünnt</w:t>
      </w:r>
      <w:r w:rsidR="00DB7A04">
        <w:t xml:space="preserve"> und zu 100 µl je Platte auf LB-Agar </w:t>
      </w:r>
      <w:proofErr w:type="spellStart"/>
      <w:r w:rsidR="00DB7A04">
        <w:t>ausplatiert</w:t>
      </w:r>
      <w:proofErr w:type="spellEnd"/>
      <w:r w:rsidR="00D1384C">
        <w:t xml:space="preserve">. </w:t>
      </w:r>
      <w:r w:rsidR="00361CB3">
        <w:t xml:space="preserve">Die ausgezählten KBE dieser Platten sind in </w:t>
      </w:r>
      <w:r w:rsidR="00DB7A04">
        <w:fldChar w:fldCharType="begin"/>
      </w:r>
      <w:r w:rsidR="00DB7A04">
        <w:instrText xml:space="preserve"> REF _Ref512028610 \h </w:instrText>
      </w:r>
      <w:r w:rsidR="00DB7A04">
        <w:fldChar w:fldCharType="separate"/>
      </w:r>
      <w:r w:rsidR="00065FB7">
        <w:t xml:space="preserve">Tabelle </w:t>
      </w:r>
      <w:r w:rsidR="00065FB7">
        <w:rPr>
          <w:noProof/>
        </w:rPr>
        <w:t>4</w:t>
      </w:r>
      <w:r w:rsidR="00DB7A04">
        <w:fldChar w:fldCharType="end"/>
      </w:r>
      <w:r w:rsidR="00361CB3">
        <w:t xml:space="preserve"> zusammengefasst.</w:t>
      </w:r>
    </w:p>
    <w:p w:rsidR="00DB7A04" w:rsidRDefault="00DB7A04" w:rsidP="00DB7A04">
      <w:pPr>
        <w:pStyle w:val="Beschriftung"/>
        <w:keepNext/>
      </w:pPr>
      <w:bookmarkStart w:id="5" w:name="_Ref512028610"/>
      <w:r>
        <w:t xml:space="preserve">Tabelle </w:t>
      </w:r>
      <w:r w:rsidR="00B81531">
        <w:fldChar w:fldCharType="begin"/>
      </w:r>
      <w:r w:rsidR="00B81531">
        <w:instrText xml:space="preserve"> SEQ Tabelle \* ARABIC </w:instrText>
      </w:r>
      <w:r w:rsidR="00B81531">
        <w:fldChar w:fldCharType="separate"/>
      </w:r>
      <w:r w:rsidR="00EA0C1B">
        <w:rPr>
          <w:noProof/>
        </w:rPr>
        <w:t>4</w:t>
      </w:r>
      <w:r w:rsidR="00B81531">
        <w:rPr>
          <w:noProof/>
        </w:rPr>
        <w:fldChar w:fldCharType="end"/>
      </w:r>
      <w:bookmarkEnd w:id="5"/>
      <w:r>
        <w:t xml:space="preserve">: Gezählte KBE </w:t>
      </w:r>
      <w:r w:rsidR="009D2009">
        <w:t xml:space="preserve">in 100 µl </w:t>
      </w:r>
      <w:r>
        <w:t>der elektrisch kompetenten Zellen auf LB-</w:t>
      </w:r>
      <w:proofErr w:type="spellStart"/>
      <w:r>
        <w:t>Agarplatten</w:t>
      </w:r>
      <w:proofErr w:type="spellEnd"/>
    </w:p>
    <w:tbl>
      <w:tblPr>
        <w:tblStyle w:val="Tabellenraster"/>
        <w:tblW w:w="0" w:type="auto"/>
        <w:tblLook w:val="04A0" w:firstRow="1" w:lastRow="0" w:firstColumn="1" w:lastColumn="0" w:noHBand="0" w:noVBand="1"/>
      </w:tblPr>
      <w:tblGrid>
        <w:gridCol w:w="3494"/>
        <w:gridCol w:w="2829"/>
        <w:gridCol w:w="2965"/>
      </w:tblGrid>
      <w:tr w:rsidR="003D1135" w:rsidTr="003D1135">
        <w:tc>
          <w:tcPr>
            <w:tcW w:w="3494" w:type="dxa"/>
          </w:tcPr>
          <w:p w:rsidR="003D1135" w:rsidRDefault="00F05E38" w:rsidP="00F05E38">
            <w:r>
              <w:t>Verdünnung</w:t>
            </w:r>
          </w:p>
        </w:tc>
        <w:tc>
          <w:tcPr>
            <w:tcW w:w="2829" w:type="dxa"/>
          </w:tcPr>
          <w:p w:rsidR="003D1135" w:rsidRDefault="003D1135" w:rsidP="003D1135">
            <w:r>
              <w:t>KBE auf Platte 1</w:t>
            </w:r>
          </w:p>
        </w:tc>
        <w:tc>
          <w:tcPr>
            <w:tcW w:w="2965" w:type="dxa"/>
          </w:tcPr>
          <w:p w:rsidR="003D1135" w:rsidRDefault="003D1135" w:rsidP="006A6204">
            <w:r>
              <w:t>KBE auf Platte 2</w:t>
            </w:r>
          </w:p>
        </w:tc>
      </w:tr>
      <w:tr w:rsidR="003D1135" w:rsidTr="003D1135">
        <w:tc>
          <w:tcPr>
            <w:tcW w:w="3494" w:type="dxa"/>
          </w:tcPr>
          <w:p w:rsidR="003D1135" w:rsidRPr="00361CB3" w:rsidRDefault="003D1135" w:rsidP="00361CB3">
            <w:pPr>
              <w:rPr>
                <w:vertAlign w:val="superscript"/>
              </w:rPr>
            </w:pPr>
            <w:r>
              <w:t>10</w:t>
            </w:r>
            <w:r>
              <w:rPr>
                <w:vertAlign w:val="superscript"/>
              </w:rPr>
              <w:t>-8</w:t>
            </w:r>
          </w:p>
        </w:tc>
        <w:tc>
          <w:tcPr>
            <w:tcW w:w="2829" w:type="dxa"/>
          </w:tcPr>
          <w:p w:rsidR="003D1135" w:rsidRDefault="003D1135" w:rsidP="006A6204">
            <w:r>
              <w:t>4</w:t>
            </w:r>
          </w:p>
        </w:tc>
        <w:tc>
          <w:tcPr>
            <w:tcW w:w="2965" w:type="dxa"/>
          </w:tcPr>
          <w:p w:rsidR="003D1135" w:rsidRDefault="003D1135" w:rsidP="006A6204">
            <w:r>
              <w:t>3</w:t>
            </w:r>
          </w:p>
        </w:tc>
      </w:tr>
      <w:tr w:rsidR="003D1135" w:rsidTr="003D1135">
        <w:tc>
          <w:tcPr>
            <w:tcW w:w="3494" w:type="dxa"/>
          </w:tcPr>
          <w:p w:rsidR="003D1135" w:rsidRPr="00361CB3" w:rsidRDefault="003D1135" w:rsidP="00361CB3">
            <w:pPr>
              <w:rPr>
                <w:vertAlign w:val="superscript"/>
              </w:rPr>
            </w:pPr>
            <w:r>
              <w:t>10</w:t>
            </w:r>
            <w:r>
              <w:rPr>
                <w:vertAlign w:val="superscript"/>
              </w:rPr>
              <w:t>-9</w:t>
            </w:r>
          </w:p>
        </w:tc>
        <w:tc>
          <w:tcPr>
            <w:tcW w:w="2829" w:type="dxa"/>
          </w:tcPr>
          <w:p w:rsidR="003D1135" w:rsidRDefault="003D1135" w:rsidP="006A6204">
            <w:r>
              <w:t>0</w:t>
            </w:r>
          </w:p>
        </w:tc>
        <w:tc>
          <w:tcPr>
            <w:tcW w:w="2965" w:type="dxa"/>
          </w:tcPr>
          <w:p w:rsidR="003D1135" w:rsidRDefault="003D1135" w:rsidP="006A6204">
            <w:r>
              <w:t>0</w:t>
            </w:r>
          </w:p>
        </w:tc>
      </w:tr>
      <w:tr w:rsidR="003D1135" w:rsidTr="003D1135">
        <w:tc>
          <w:tcPr>
            <w:tcW w:w="3494" w:type="dxa"/>
          </w:tcPr>
          <w:p w:rsidR="003D1135" w:rsidRPr="00361CB3" w:rsidRDefault="003D1135" w:rsidP="006A6204">
            <w:pPr>
              <w:rPr>
                <w:vertAlign w:val="superscript"/>
              </w:rPr>
            </w:pPr>
            <w:r>
              <w:t>10</w:t>
            </w:r>
            <w:r>
              <w:rPr>
                <w:vertAlign w:val="superscript"/>
              </w:rPr>
              <w:t>-10</w:t>
            </w:r>
          </w:p>
        </w:tc>
        <w:tc>
          <w:tcPr>
            <w:tcW w:w="2829" w:type="dxa"/>
          </w:tcPr>
          <w:p w:rsidR="003D1135" w:rsidRDefault="003D1135" w:rsidP="006A6204">
            <w:r>
              <w:t>0</w:t>
            </w:r>
          </w:p>
        </w:tc>
        <w:tc>
          <w:tcPr>
            <w:tcW w:w="2965" w:type="dxa"/>
          </w:tcPr>
          <w:p w:rsidR="003D1135" w:rsidRDefault="003D1135" w:rsidP="006A6204">
            <w:r>
              <w:t>0</w:t>
            </w:r>
          </w:p>
        </w:tc>
      </w:tr>
    </w:tbl>
    <w:p w:rsidR="00361CB3" w:rsidRDefault="00361CB3" w:rsidP="006A6204"/>
    <w:p w:rsidR="00DB7A04" w:rsidRPr="000E1C2B" w:rsidRDefault="00E9704E" w:rsidP="006A6204">
      <w:r>
        <w:t>Es konnten</w:t>
      </w:r>
      <w:r w:rsidR="00E6430F">
        <w:t xml:space="preserve"> durchschnittlich 3,5 KBE in 100 µl der 10</w:t>
      </w:r>
      <w:r w:rsidR="00E6430F">
        <w:rPr>
          <w:vertAlign w:val="superscript"/>
        </w:rPr>
        <w:t>-8</w:t>
      </w:r>
      <w:r w:rsidR="00E6430F">
        <w:t xml:space="preserve">-verdünnten Zellsuspension gezählt werden. </w:t>
      </w:r>
      <w:r w:rsidR="00D932E8">
        <w:t xml:space="preserve">Die </w:t>
      </w:r>
      <w:r w:rsidR="005F7B3B">
        <w:t>Lebendzellzahl</w:t>
      </w:r>
      <w:r w:rsidR="00D932E8">
        <w:t xml:space="preserve"> der ursprünglichen Suspension muss demnach etwa </w:t>
      </w:r>
      <w:r w:rsidR="000E1C2B">
        <w:t>3,5 * 10</w:t>
      </w:r>
      <w:r w:rsidR="000E1C2B">
        <w:rPr>
          <w:vertAlign w:val="superscript"/>
        </w:rPr>
        <w:t>9</w:t>
      </w:r>
      <w:r w:rsidR="000E1C2B">
        <w:t xml:space="preserve"> KBE/ml betragen.</w:t>
      </w:r>
      <w:r w:rsidR="00F05E38">
        <w:t xml:space="preserve"> Von den </w:t>
      </w:r>
      <w:r w:rsidR="00EA0C1B">
        <w:t xml:space="preserve">weiter </w:t>
      </w:r>
      <w:r w:rsidR="00F05E38">
        <w:t>verdünnten Suspensionen wurden keine erkennbaren Kolonien gebildet.</w:t>
      </w:r>
    </w:p>
    <w:p w:rsidR="00296BEA" w:rsidRDefault="00296BEA" w:rsidP="00ED3499">
      <w:pPr>
        <w:pStyle w:val="berschrift3"/>
      </w:pPr>
      <w:r>
        <w:t xml:space="preserve">3.4 </w:t>
      </w:r>
      <w:proofErr w:type="spellStart"/>
      <w:r>
        <w:t>Elektroporation</w:t>
      </w:r>
      <w:proofErr w:type="spellEnd"/>
    </w:p>
    <w:p w:rsidR="00ED3499" w:rsidRDefault="00ED3499" w:rsidP="00ED3499">
      <w:r>
        <w:t xml:space="preserve">Zu 40 µl der elektrisch kompetenten wurden 2 µl der 1:10 verdünnten DNA-Lösung gegeben, die insgesamt etwa 26 </w:t>
      </w:r>
      <w:proofErr w:type="spellStart"/>
      <w:r>
        <w:t>ng</w:t>
      </w:r>
      <w:proofErr w:type="spellEnd"/>
      <w:r>
        <w:t xml:space="preserve"> Plasmid-DNA enthielten. Die Küvette mit der Zellsuspension wurde in den </w:t>
      </w:r>
      <w:proofErr w:type="spellStart"/>
      <w:r>
        <w:t>Elektroporator</w:t>
      </w:r>
      <w:proofErr w:type="spellEnd"/>
      <w:r>
        <w:t xml:space="preserve"> eingesetzt und bei 1640 V für 5,5 </w:t>
      </w:r>
      <w:proofErr w:type="spellStart"/>
      <w:r>
        <w:t>ms</w:t>
      </w:r>
      <w:proofErr w:type="spellEnd"/>
      <w:r>
        <w:t xml:space="preserve"> behandelt.</w:t>
      </w:r>
      <w:r w:rsidR="00744A99">
        <w:t xml:space="preserve"> Nach der anschließenden Inkubation gemäß </w:t>
      </w:r>
      <w:r w:rsidR="00744A99" w:rsidRPr="00744A99">
        <w:rPr>
          <w:highlight w:val="yellow"/>
        </w:rPr>
        <w:t>2.4</w:t>
      </w:r>
      <w:r w:rsidR="00744A99">
        <w:t xml:space="preserve"> wurden die elektrisch transformierten Zellen verdünnt und ausgestrichen.</w:t>
      </w:r>
    </w:p>
    <w:p w:rsidR="00065FB7" w:rsidRPr="009143EB" w:rsidRDefault="00065FB7" w:rsidP="00ED3499">
      <w:r>
        <w:t>Auf den Platten mit LB-Agar konnte nur auf einer der drei Platten der 10</w:t>
      </w:r>
      <w:r>
        <w:rPr>
          <w:vertAlign w:val="superscript"/>
        </w:rPr>
        <w:t>-5</w:t>
      </w:r>
      <w:r>
        <w:rPr>
          <w:vertAlign w:val="superscript"/>
        </w:rPr>
        <w:softHyphen/>
      </w:r>
      <w:r>
        <w:t xml:space="preserve"> verdünnten Suspension eine Kolonie beobachtet werden. Für alle weiteren Berechnungen wurde daher von einer durchschnittlichen Zellkonzentration von etwa 3,3 KBE in einem Milliliter dieser Verdünnung ausgegangen.</w:t>
      </w:r>
      <w:r w:rsidR="00EA0C1B">
        <w:t xml:space="preserve"> </w:t>
      </w:r>
      <w:r w:rsidR="009143EB">
        <w:t xml:space="preserve">Entsprechend wurde die Konzentration der lebenden Zellen nach der </w:t>
      </w:r>
      <w:proofErr w:type="spellStart"/>
      <w:r w:rsidR="009143EB">
        <w:t>Elektroporation</w:t>
      </w:r>
      <w:proofErr w:type="spellEnd"/>
      <w:r w:rsidR="009143EB">
        <w:t xml:space="preserve"> mit etwa 3,3*10</w:t>
      </w:r>
      <w:r w:rsidR="009143EB">
        <w:rPr>
          <w:vertAlign w:val="superscript"/>
        </w:rPr>
        <w:t>5</w:t>
      </w:r>
      <w:r w:rsidR="009143EB">
        <w:t xml:space="preserve"> KBE/ml bestimmt.</w:t>
      </w:r>
    </w:p>
    <w:p w:rsidR="00065FB7" w:rsidRDefault="00065FB7" w:rsidP="00ED3499">
      <w:r>
        <w:t xml:space="preserve">Auf der Platte mit LB-Agar und </w:t>
      </w:r>
      <w:proofErr w:type="spellStart"/>
      <w:r>
        <w:t>Ampicillin</w:t>
      </w:r>
      <w:proofErr w:type="spellEnd"/>
      <w:r>
        <w:t>, auf der die transformierten Zellen unverdünnt aufgetragen wurden, konnte ein Wachstum der Zellen festgestellt werden</w:t>
      </w:r>
      <w:r w:rsidR="00EA0C1B">
        <w:t>.</w:t>
      </w:r>
    </w:p>
    <w:p w:rsidR="00EA0C1B" w:rsidRDefault="00EA0C1B" w:rsidP="00ED3499">
      <w:r>
        <w:lastRenderedPageBreak/>
        <w:t xml:space="preserve">Auf den Platten mit Medium, </w:t>
      </w:r>
      <w:proofErr w:type="spellStart"/>
      <w:r>
        <w:t>Ampicillin</w:t>
      </w:r>
      <w:proofErr w:type="spellEnd"/>
      <w:r>
        <w:t xml:space="preserve"> und </w:t>
      </w:r>
      <w:proofErr w:type="spellStart"/>
      <w:r>
        <w:t>Arabinose</w:t>
      </w:r>
      <w:proofErr w:type="spellEnd"/>
      <w:r>
        <w:t xml:space="preserve"> wurden die Kolonien jeder  Verdünnungsstufe gezählt und ein Mittelwert der KBE pro Platte gebildet. Diese Werte wurden in </w:t>
      </w:r>
      <w:r>
        <w:fldChar w:fldCharType="begin"/>
      </w:r>
      <w:r>
        <w:instrText xml:space="preserve"> REF _Ref512158775 \h </w:instrText>
      </w:r>
      <w:r>
        <w:fldChar w:fldCharType="separate"/>
      </w:r>
      <w:r>
        <w:t xml:space="preserve">Tabelle </w:t>
      </w:r>
      <w:r>
        <w:rPr>
          <w:noProof/>
        </w:rPr>
        <w:t>5</w:t>
      </w:r>
      <w:r>
        <w:fldChar w:fldCharType="end"/>
      </w:r>
      <w:r>
        <w:t xml:space="preserve"> zusammengefasst.</w:t>
      </w:r>
    </w:p>
    <w:p w:rsidR="00EA0C1B" w:rsidRDefault="00EA0C1B" w:rsidP="00EA0C1B">
      <w:pPr>
        <w:pStyle w:val="Beschriftung"/>
        <w:keepNext/>
      </w:pPr>
      <w:bookmarkStart w:id="6" w:name="_Ref512158775"/>
      <w:r>
        <w:t xml:space="preserve">Tabelle </w:t>
      </w:r>
      <w:fldSimple w:instr=" SEQ Tabelle \* ARABIC ">
        <w:r>
          <w:rPr>
            <w:noProof/>
          </w:rPr>
          <w:t>5</w:t>
        </w:r>
      </w:fldSimple>
      <w:bookmarkEnd w:id="6"/>
      <w:r>
        <w:t xml:space="preserve">: </w:t>
      </w:r>
      <w:r w:rsidRPr="00187E41">
        <w:t xml:space="preserve">Durchschnittliche KBE in 100 µl der </w:t>
      </w:r>
      <w:r>
        <w:t>elektrisch</w:t>
      </w:r>
      <w:r w:rsidRPr="00187E41">
        <w:t xml:space="preserve"> transformierten Zellen auf LB-Agar mit </w:t>
      </w:r>
      <w:proofErr w:type="spellStart"/>
      <w:r w:rsidRPr="00187E41">
        <w:t>Ampicillin</w:t>
      </w:r>
      <w:proofErr w:type="spellEnd"/>
      <w:r w:rsidRPr="00187E41">
        <w:t xml:space="preserve"> und </w:t>
      </w:r>
      <w:proofErr w:type="spellStart"/>
      <w:r w:rsidRPr="00187E41">
        <w:t>Arabinose</w:t>
      </w:r>
      <w:proofErr w:type="spellEnd"/>
    </w:p>
    <w:tbl>
      <w:tblPr>
        <w:tblStyle w:val="Tabellenraster"/>
        <w:tblW w:w="0" w:type="auto"/>
        <w:tblLook w:val="04A0" w:firstRow="1" w:lastRow="0" w:firstColumn="1" w:lastColumn="0" w:noHBand="0" w:noVBand="1"/>
      </w:tblPr>
      <w:tblGrid>
        <w:gridCol w:w="3189"/>
        <w:gridCol w:w="904"/>
        <w:gridCol w:w="904"/>
        <w:gridCol w:w="905"/>
        <w:gridCol w:w="3386"/>
      </w:tblGrid>
      <w:tr w:rsidR="007B5A67" w:rsidTr="007B5A67">
        <w:tc>
          <w:tcPr>
            <w:tcW w:w="3189" w:type="dxa"/>
          </w:tcPr>
          <w:p w:rsidR="007B5A67" w:rsidRDefault="007B5A67" w:rsidP="000C2307">
            <w:r>
              <w:t>Verdünnung</w:t>
            </w:r>
          </w:p>
        </w:tc>
        <w:tc>
          <w:tcPr>
            <w:tcW w:w="2713" w:type="dxa"/>
            <w:gridSpan w:val="3"/>
          </w:tcPr>
          <w:p w:rsidR="007B5A67" w:rsidRDefault="007B5A67" w:rsidP="000C2307">
            <w:r>
              <w:t>Gezählte Kolonien</w:t>
            </w:r>
          </w:p>
        </w:tc>
        <w:tc>
          <w:tcPr>
            <w:tcW w:w="3386" w:type="dxa"/>
          </w:tcPr>
          <w:p w:rsidR="007B5A67" w:rsidRDefault="007B5A67" w:rsidP="000C2307">
            <w:r>
              <w:t>Durchschnittliche KBE pro Platte</w:t>
            </w:r>
          </w:p>
        </w:tc>
      </w:tr>
      <w:tr w:rsidR="00B81531" w:rsidTr="00BD5787">
        <w:tc>
          <w:tcPr>
            <w:tcW w:w="3189" w:type="dxa"/>
          </w:tcPr>
          <w:p w:rsidR="00B81531" w:rsidRPr="00E36B0A" w:rsidRDefault="00B81531" w:rsidP="000C2307">
            <w:pPr>
              <w:rPr>
                <w:vertAlign w:val="superscript"/>
              </w:rPr>
            </w:pPr>
            <w:r>
              <w:t>10</w:t>
            </w:r>
            <w:r>
              <w:rPr>
                <w:vertAlign w:val="superscript"/>
              </w:rPr>
              <w:t>-2</w:t>
            </w:r>
          </w:p>
        </w:tc>
        <w:tc>
          <w:tcPr>
            <w:tcW w:w="904" w:type="dxa"/>
          </w:tcPr>
          <w:p w:rsidR="00B81531" w:rsidRDefault="00B81531" w:rsidP="00B81531">
            <w:r>
              <w:t>158</w:t>
            </w:r>
            <w:bookmarkStart w:id="7" w:name="_GoBack"/>
            <w:bookmarkEnd w:id="7"/>
          </w:p>
        </w:tc>
        <w:tc>
          <w:tcPr>
            <w:tcW w:w="904" w:type="dxa"/>
          </w:tcPr>
          <w:p w:rsidR="00B81531" w:rsidRDefault="00B81531" w:rsidP="000C2307">
            <w:pPr>
              <w:tabs>
                <w:tab w:val="left" w:pos="795"/>
              </w:tabs>
            </w:pPr>
            <w:r>
              <w:t>140</w:t>
            </w:r>
          </w:p>
        </w:tc>
        <w:tc>
          <w:tcPr>
            <w:tcW w:w="905" w:type="dxa"/>
          </w:tcPr>
          <w:p w:rsidR="00B81531" w:rsidRDefault="00B81531" w:rsidP="000C2307">
            <w:r>
              <w:t>86</w:t>
            </w:r>
          </w:p>
        </w:tc>
        <w:tc>
          <w:tcPr>
            <w:tcW w:w="3386" w:type="dxa"/>
          </w:tcPr>
          <w:p w:rsidR="00B81531" w:rsidRDefault="00B81531" w:rsidP="00501BC1">
            <w:r>
              <w:t>128</w:t>
            </w:r>
          </w:p>
        </w:tc>
      </w:tr>
      <w:tr w:rsidR="00B81531" w:rsidTr="00BD5787">
        <w:tc>
          <w:tcPr>
            <w:tcW w:w="3189" w:type="dxa"/>
          </w:tcPr>
          <w:p w:rsidR="00B81531" w:rsidRPr="00E36B0A" w:rsidRDefault="00B81531" w:rsidP="000C2307">
            <w:pPr>
              <w:rPr>
                <w:vertAlign w:val="superscript"/>
              </w:rPr>
            </w:pPr>
            <w:r>
              <w:t>10</w:t>
            </w:r>
            <w:r>
              <w:rPr>
                <w:vertAlign w:val="superscript"/>
              </w:rPr>
              <w:t>-3</w:t>
            </w:r>
          </w:p>
        </w:tc>
        <w:tc>
          <w:tcPr>
            <w:tcW w:w="904" w:type="dxa"/>
          </w:tcPr>
          <w:p w:rsidR="00B81531" w:rsidRDefault="00B81531" w:rsidP="000C2307">
            <w:r>
              <w:t>12</w:t>
            </w:r>
          </w:p>
        </w:tc>
        <w:tc>
          <w:tcPr>
            <w:tcW w:w="904" w:type="dxa"/>
          </w:tcPr>
          <w:p w:rsidR="00B81531" w:rsidRDefault="00B81531" w:rsidP="000C2307">
            <w:r>
              <w:t>11</w:t>
            </w:r>
          </w:p>
        </w:tc>
        <w:tc>
          <w:tcPr>
            <w:tcW w:w="905" w:type="dxa"/>
          </w:tcPr>
          <w:p w:rsidR="00B81531" w:rsidRDefault="00B81531" w:rsidP="000C2307">
            <w:r>
              <w:t>6</w:t>
            </w:r>
          </w:p>
        </w:tc>
        <w:tc>
          <w:tcPr>
            <w:tcW w:w="3386" w:type="dxa"/>
          </w:tcPr>
          <w:p w:rsidR="00B81531" w:rsidRDefault="00B81531" w:rsidP="000C2307">
            <w:pPr>
              <w:tabs>
                <w:tab w:val="left" w:pos="795"/>
              </w:tabs>
            </w:pPr>
            <w:r>
              <w:t>10</w:t>
            </w:r>
          </w:p>
        </w:tc>
      </w:tr>
      <w:tr w:rsidR="00B81531" w:rsidTr="00BD5787">
        <w:tc>
          <w:tcPr>
            <w:tcW w:w="3189" w:type="dxa"/>
          </w:tcPr>
          <w:p w:rsidR="00B81531" w:rsidRDefault="00B81531" w:rsidP="000C2307">
            <w:r>
              <w:t>10</w:t>
            </w:r>
            <w:r>
              <w:rPr>
                <w:vertAlign w:val="superscript"/>
              </w:rPr>
              <w:t>-4</w:t>
            </w:r>
          </w:p>
        </w:tc>
        <w:tc>
          <w:tcPr>
            <w:tcW w:w="904" w:type="dxa"/>
          </w:tcPr>
          <w:p w:rsidR="00B81531" w:rsidRDefault="00B81531" w:rsidP="000C2307">
            <w:r>
              <w:t>0</w:t>
            </w:r>
          </w:p>
        </w:tc>
        <w:tc>
          <w:tcPr>
            <w:tcW w:w="904" w:type="dxa"/>
          </w:tcPr>
          <w:p w:rsidR="00B81531" w:rsidRDefault="00B81531" w:rsidP="000C2307">
            <w:r>
              <w:t>0</w:t>
            </w:r>
          </w:p>
        </w:tc>
        <w:tc>
          <w:tcPr>
            <w:tcW w:w="905" w:type="dxa"/>
          </w:tcPr>
          <w:p w:rsidR="00B81531" w:rsidRDefault="00B81531" w:rsidP="000C2307">
            <w:r>
              <w:t>0</w:t>
            </w:r>
          </w:p>
        </w:tc>
        <w:tc>
          <w:tcPr>
            <w:tcW w:w="3386" w:type="dxa"/>
          </w:tcPr>
          <w:p w:rsidR="00B81531" w:rsidRDefault="00B81531" w:rsidP="000C2307">
            <w:r>
              <w:t>0</w:t>
            </w:r>
          </w:p>
        </w:tc>
      </w:tr>
    </w:tbl>
    <w:p w:rsidR="00EA0C1B" w:rsidRDefault="00EA0C1B" w:rsidP="00ED3499"/>
    <w:p w:rsidR="00EA0C1B" w:rsidRDefault="00501BC1" w:rsidP="00ED3499">
      <w:r>
        <w:t xml:space="preserve">Anhand der Mittelwerte der ersten beiden Verdünnungsstufen wurde die Zellkonzentration der </w:t>
      </w:r>
      <w:r w:rsidR="00352010">
        <w:t>Transformanden</w:t>
      </w:r>
      <w:r>
        <w:t xml:space="preserve"> nach der </w:t>
      </w:r>
      <w:proofErr w:type="spellStart"/>
      <w:r>
        <w:t>Elektroporation</w:t>
      </w:r>
      <w:proofErr w:type="spellEnd"/>
      <w:r>
        <w:t xml:space="preserve"> mit etwa 1,1*10</w:t>
      </w:r>
      <w:r>
        <w:rPr>
          <w:vertAlign w:val="superscript"/>
        </w:rPr>
        <w:t>5</w:t>
      </w:r>
      <w:r>
        <w:t xml:space="preserve"> KBE/ml bestimmt. </w:t>
      </w:r>
      <w:r w:rsidR="007B5A67">
        <w:t>D</w:t>
      </w:r>
      <w:r>
        <w:t>ie Platten</w:t>
      </w:r>
      <w:r w:rsidR="007B5A67">
        <w:t xml:space="preserve"> der 10</w:t>
      </w:r>
      <w:r w:rsidR="007B5A67">
        <w:rPr>
          <w:vertAlign w:val="superscript"/>
        </w:rPr>
        <w:t>-3</w:t>
      </w:r>
      <w:r w:rsidR="007B5A67">
        <w:t xml:space="preserve">-Verdünnung  sowie die Platte der unverdünnten Suspension auf </w:t>
      </w:r>
      <w:proofErr w:type="spellStart"/>
      <w:r w:rsidR="007B5A67">
        <w:t>Selektionsmdium</w:t>
      </w:r>
      <w:proofErr w:type="spellEnd"/>
      <w:r w:rsidR="007B5A67">
        <w:t xml:space="preserve"> ohne </w:t>
      </w:r>
      <w:proofErr w:type="spellStart"/>
      <w:r w:rsidR="007B5A67">
        <w:t>Arabinose</w:t>
      </w:r>
      <w:proofErr w:type="spellEnd"/>
      <w:r w:rsidR="007B5A67">
        <w:t xml:space="preserve"> wurden anschließend </w:t>
      </w:r>
      <w:r>
        <w:t>unter UV-Lic</w:t>
      </w:r>
      <w:r w:rsidR="00D3164D">
        <w:t xml:space="preserve">ht betrachtet und </w:t>
      </w:r>
      <w:r>
        <w:t xml:space="preserve">fotografiert. Die resultierende Ansicht ist in </w:t>
      </w:r>
      <w:r w:rsidR="0017481F">
        <w:fldChar w:fldCharType="begin"/>
      </w:r>
      <w:r w:rsidR="0017481F">
        <w:instrText xml:space="preserve"> REF _Ref512160527 \h </w:instrText>
      </w:r>
      <w:r w:rsidR="0017481F">
        <w:fldChar w:fldCharType="separate"/>
      </w:r>
      <w:r w:rsidR="0017481F">
        <w:t xml:space="preserve">Abbildung </w:t>
      </w:r>
      <w:r w:rsidR="0017481F">
        <w:rPr>
          <w:noProof/>
        </w:rPr>
        <w:t>1</w:t>
      </w:r>
      <w:r w:rsidR="0017481F">
        <w:fldChar w:fldCharType="end"/>
      </w:r>
      <w:r>
        <w:t xml:space="preserve"> dargestellt.</w:t>
      </w:r>
    </w:p>
    <w:p w:rsidR="0017481F" w:rsidRDefault="0017481F" w:rsidP="0017481F">
      <w:pPr>
        <w:keepNext/>
      </w:pPr>
      <w:r>
        <w:rPr>
          <w:noProof/>
          <w:lang w:eastAsia="de-DE"/>
        </w:rPr>
        <w:drawing>
          <wp:inline distT="0" distB="0" distL="0" distR="0" wp14:anchorId="6E048D37" wp14:editId="3FAA75FC">
            <wp:extent cx="5760720" cy="5403466"/>
            <wp:effectExtent l="0" t="0" r="0" b="6985"/>
            <wp:docPr id="2" name="Grafik 2" descr="C:\Users\Martin\Desktop\Mikrobiologie\Elek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Mikrobiologie\Elektr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5403466"/>
                    </a:xfrm>
                    <a:prstGeom prst="rect">
                      <a:avLst/>
                    </a:prstGeom>
                    <a:noFill/>
                    <a:ln>
                      <a:noFill/>
                    </a:ln>
                  </pic:spPr>
                </pic:pic>
              </a:graphicData>
            </a:graphic>
          </wp:inline>
        </w:drawing>
      </w:r>
    </w:p>
    <w:p w:rsidR="00501BC1" w:rsidRDefault="0017481F" w:rsidP="0017481F">
      <w:pPr>
        <w:pStyle w:val="Beschriftung"/>
      </w:pPr>
      <w:bookmarkStart w:id="8" w:name="_Ref512160527"/>
      <w:r>
        <w:t xml:space="preserve">Abbildung </w:t>
      </w:r>
      <w:fldSimple w:instr=" SEQ Abbildung \* ARABIC ">
        <w:r w:rsidR="004B355A">
          <w:rPr>
            <w:noProof/>
          </w:rPr>
          <w:t>3</w:t>
        </w:r>
      </w:fldSimple>
      <w:bookmarkEnd w:id="8"/>
      <w:r>
        <w:t>: Elektrisch Transformierte E. coli K12 unter UV-Licht; (1-3): 10</w:t>
      </w:r>
      <w:r>
        <w:rPr>
          <w:vertAlign w:val="superscript"/>
        </w:rPr>
        <w:t>-3</w:t>
      </w:r>
      <w:r>
        <w:t xml:space="preserve"> verdünnt, auf Agar mit </w:t>
      </w:r>
      <w:proofErr w:type="spellStart"/>
      <w:r>
        <w:t>Arabinose</w:t>
      </w:r>
      <w:proofErr w:type="spellEnd"/>
      <w:r>
        <w:t xml:space="preserve">; (4) unverdünnt, auf Agar ohne </w:t>
      </w:r>
      <w:proofErr w:type="spellStart"/>
      <w:r>
        <w:t>Arabinose</w:t>
      </w:r>
      <w:proofErr w:type="spellEnd"/>
    </w:p>
    <w:p w:rsidR="00352010" w:rsidRDefault="0017481F" w:rsidP="0017481F">
      <w:r>
        <w:lastRenderedPageBreak/>
        <w:t xml:space="preserve">In Platte 1 bis 3 wurde die 1:1000-verdünnte Suspension der elektrisch transformierten Zellen auf einem Agar mit </w:t>
      </w:r>
      <w:proofErr w:type="spellStart"/>
      <w:r>
        <w:t>Arabinose</w:t>
      </w:r>
      <w:proofErr w:type="spellEnd"/>
      <w:r>
        <w:t xml:space="preserve"> und </w:t>
      </w:r>
      <w:proofErr w:type="spellStart"/>
      <w:r>
        <w:t>Ampicillin</w:t>
      </w:r>
      <w:proofErr w:type="spellEnd"/>
      <w:r>
        <w:t xml:space="preserve"> aufgetragen. In allen sichtbaren Kolonien konnte die charakteristische grüne Fluoreszenz festgestellt werden. </w:t>
      </w:r>
      <w:r w:rsidR="00451E54">
        <w:t xml:space="preserve">Vergleichend </w:t>
      </w:r>
      <w:r>
        <w:t xml:space="preserve">wurde auf Platte 4 die Zellsuspension unverdünnt auf einen Agar mit </w:t>
      </w:r>
      <w:proofErr w:type="spellStart"/>
      <w:r>
        <w:t>Ampicillin</w:t>
      </w:r>
      <w:proofErr w:type="spellEnd"/>
      <w:r w:rsidR="007B5A67">
        <w:t xml:space="preserve"> und</w:t>
      </w:r>
      <w:r>
        <w:t xml:space="preserve"> ohne </w:t>
      </w:r>
      <w:proofErr w:type="spellStart"/>
      <w:r>
        <w:t>Arabinose</w:t>
      </w:r>
      <w:proofErr w:type="spellEnd"/>
      <w:r>
        <w:t xml:space="preserve"> aufgetragen, </w:t>
      </w:r>
      <w:r w:rsidR="00451E54">
        <w:t>es konnte keine Fluoreszenz festgestellt werden.</w:t>
      </w:r>
    </w:p>
    <w:p w:rsidR="00352010" w:rsidRDefault="00352010" w:rsidP="0017481F">
      <w:r>
        <w:t xml:space="preserve">Die Transformationseffizienz, Sterberate und Transformationsausbeute der chemischen Transformation sind in </w:t>
      </w:r>
      <w:r w:rsidR="00991703">
        <w:fldChar w:fldCharType="begin"/>
      </w:r>
      <w:r w:rsidR="00991703">
        <w:instrText xml:space="preserve"> REF _Ref512284508 \h </w:instrText>
      </w:r>
      <w:r w:rsidR="00991703">
        <w:fldChar w:fldCharType="separate"/>
      </w:r>
      <w:r w:rsidR="00991703">
        <w:t xml:space="preserve">Formel </w:t>
      </w:r>
      <w:r w:rsidR="00991703">
        <w:rPr>
          <w:noProof/>
        </w:rPr>
        <w:t>6</w:t>
      </w:r>
      <w:r w:rsidR="00991703">
        <w:fldChar w:fldCharType="end"/>
      </w:r>
      <w:r>
        <w:t xml:space="preserve"> bis </w:t>
      </w:r>
      <w:r w:rsidR="00991703">
        <w:fldChar w:fldCharType="begin"/>
      </w:r>
      <w:r w:rsidR="00991703">
        <w:instrText xml:space="preserve"> REF _Ref512284514 \h </w:instrText>
      </w:r>
      <w:r w:rsidR="00991703">
        <w:fldChar w:fldCharType="separate"/>
      </w:r>
      <w:r w:rsidR="00991703">
        <w:t xml:space="preserve">Formel </w:t>
      </w:r>
      <w:r w:rsidR="00991703">
        <w:rPr>
          <w:noProof/>
        </w:rPr>
        <w:t>8</w:t>
      </w:r>
      <w:r w:rsidR="00991703">
        <w:fldChar w:fldCharType="end"/>
      </w:r>
      <w:r>
        <w:t xml:space="preserve"> gezeigt.</w:t>
      </w:r>
    </w:p>
    <w:p w:rsidR="00991703" w:rsidRDefault="00991703" w:rsidP="00991703">
      <w:pPr>
        <w:pStyle w:val="Beschriftung"/>
        <w:keepNext/>
      </w:pPr>
      <w:bookmarkStart w:id="9" w:name="_Ref512284508"/>
      <w:r>
        <w:t xml:space="preserve">Formel </w:t>
      </w:r>
      <w:r w:rsidR="00B81531">
        <w:fldChar w:fldCharType="begin"/>
      </w:r>
      <w:r w:rsidR="00B81531">
        <w:instrText xml:space="preserve"> SEQ Formel \* ARABIC </w:instrText>
      </w:r>
      <w:r w:rsidR="00B81531">
        <w:fldChar w:fldCharType="separate"/>
      </w:r>
      <w:r>
        <w:rPr>
          <w:noProof/>
        </w:rPr>
        <w:t>6</w:t>
      </w:r>
      <w:r w:rsidR="00B81531">
        <w:rPr>
          <w:noProof/>
        </w:rPr>
        <w:fldChar w:fldCharType="end"/>
      </w:r>
      <w:bookmarkEnd w:id="9"/>
      <w:r>
        <w:t xml:space="preserve">: Transformationsrate der </w:t>
      </w:r>
      <w:proofErr w:type="spellStart"/>
      <w:r>
        <w:t>Elektroporation</w:t>
      </w:r>
      <w:proofErr w:type="spellEnd"/>
    </w:p>
    <w:p w:rsidR="00352010" w:rsidRDefault="00B81531" w:rsidP="0017481F">
      <w:pPr>
        <w:rPr>
          <w:rFonts w:eastAsiaTheme="minorEastAsia"/>
        </w:rPr>
      </w:pPr>
      <m:oMath>
        <m:sSub>
          <m:sSubPr>
            <m:ctrlPr>
              <w:rPr>
                <w:rFonts w:ascii="Cambria Math" w:hAnsi="Cambria Math"/>
                <w:i/>
              </w:rPr>
            </m:ctrlPr>
          </m:sSubPr>
          <m:e>
            <m:r>
              <w:rPr>
                <w:rFonts w:ascii="Cambria Math" w:hAnsi="Cambria Math"/>
              </w:rPr>
              <m:t>Transformationseffizienz</m:t>
            </m:r>
          </m:e>
          <m:sub>
            <m:r>
              <w:rPr>
                <w:rFonts w:ascii="Cambria Math" w:hAnsi="Cambria Math"/>
              </w:rPr>
              <m:t>elektr.</m:t>
            </m:r>
          </m:sub>
        </m:sSub>
        <m:r>
          <w:rPr>
            <w:rFonts w:ascii="Cambria Math" w:hAnsi="Cambria Math"/>
          </w:rPr>
          <m:t>=</m:t>
        </m:r>
        <m:f>
          <m:fPr>
            <m:ctrlPr>
              <w:rPr>
                <w:rFonts w:ascii="Cambria Math" w:hAnsi="Cambria Math"/>
                <w:i/>
              </w:rPr>
            </m:ctrlPr>
          </m:fPr>
          <m:num>
            <m:r>
              <w:rPr>
                <w:rFonts w:ascii="Cambria Math" w:hAnsi="Cambria Math"/>
              </w:rPr>
              <m:t xml:space="preserve">1,1* </m:t>
            </m:r>
            <m:sSup>
              <m:sSupPr>
                <m:ctrlPr>
                  <w:rPr>
                    <w:rFonts w:ascii="Cambria Math" w:hAnsi="Cambria Math"/>
                    <w:i/>
                  </w:rPr>
                </m:ctrlPr>
              </m:sSupPr>
              <m:e>
                <m:r>
                  <w:rPr>
                    <w:rFonts w:ascii="Cambria Math" w:hAnsi="Cambria Math"/>
                  </w:rPr>
                  <m:t>10</m:t>
                </m:r>
              </m:e>
              <m:sup>
                <m:r>
                  <w:rPr>
                    <w:rFonts w:ascii="Cambria Math" w:hAnsi="Cambria Math"/>
                  </w:rPr>
                  <m:t>5</m:t>
                </m:r>
              </m:sup>
            </m:sSup>
            <m:f>
              <m:fPr>
                <m:ctrlPr>
                  <w:rPr>
                    <w:rFonts w:ascii="Cambria Math" w:hAnsi="Cambria Math"/>
                    <w:i/>
                  </w:rPr>
                </m:ctrlPr>
              </m:fPr>
              <m:num>
                <m:r>
                  <w:rPr>
                    <w:rFonts w:ascii="Cambria Math" w:hAnsi="Cambria Math"/>
                  </w:rPr>
                  <m:t>KBE</m:t>
                </m:r>
              </m:num>
              <m:den>
                <m:r>
                  <w:rPr>
                    <w:rFonts w:ascii="Cambria Math" w:hAnsi="Cambria Math"/>
                  </w:rPr>
                  <m:t>ml</m:t>
                </m:r>
              </m:den>
            </m:f>
            <m:r>
              <w:rPr>
                <w:rFonts w:ascii="Cambria Math" w:hAnsi="Cambria Math"/>
              </w:rPr>
              <m:t xml:space="preserve">*1,04 ml </m:t>
            </m:r>
          </m:num>
          <m:den>
            <m:r>
              <w:rPr>
                <w:rFonts w:ascii="Cambria Math" w:hAnsi="Cambria Math"/>
              </w:rPr>
              <m:t>2 µl*0,013 µg/µl</m:t>
            </m:r>
          </m:den>
        </m:f>
        <m:r>
          <w:rPr>
            <w:rFonts w:ascii="Cambria Math" w:hAnsi="Cambria Math"/>
          </w:rPr>
          <m:t>=4,4*</m:t>
        </m:r>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r>
              <w:rPr>
                <w:rFonts w:ascii="Cambria Math" w:hAnsi="Cambria Math"/>
              </w:rPr>
              <m:t>K</m:t>
            </m:r>
            <m:r>
              <w:rPr>
                <w:rFonts w:ascii="Cambria Math" w:hAnsi="Cambria Math"/>
              </w:rPr>
              <m:t>BE</m:t>
            </m:r>
          </m:num>
          <m:den>
            <m:r>
              <w:rPr>
                <w:rFonts w:ascii="Cambria Math" w:hAnsi="Cambria Math"/>
              </w:rPr>
              <m:t>µg</m:t>
            </m:r>
          </m:den>
        </m:f>
      </m:oMath>
      <w:r w:rsidR="005F7B3B">
        <w:rPr>
          <w:rFonts w:eastAsiaTheme="minorEastAsia"/>
        </w:rPr>
        <w:t xml:space="preserve"> </w:t>
      </w:r>
    </w:p>
    <w:p w:rsidR="00991703" w:rsidRDefault="00991703" w:rsidP="00991703">
      <w:pPr>
        <w:pStyle w:val="Beschriftung"/>
        <w:keepNext/>
      </w:pPr>
      <w:r>
        <w:t xml:space="preserve">Formel </w:t>
      </w:r>
      <w:r w:rsidR="00B81531">
        <w:fldChar w:fldCharType="begin"/>
      </w:r>
      <w:r w:rsidR="00B81531">
        <w:instrText xml:space="preserve"> SEQ Formel \* ARABIC </w:instrText>
      </w:r>
      <w:r w:rsidR="00B81531">
        <w:fldChar w:fldCharType="separate"/>
      </w:r>
      <w:r>
        <w:rPr>
          <w:noProof/>
        </w:rPr>
        <w:t>7</w:t>
      </w:r>
      <w:r w:rsidR="00B81531">
        <w:rPr>
          <w:noProof/>
        </w:rPr>
        <w:fldChar w:fldCharType="end"/>
      </w:r>
      <w:r>
        <w:t xml:space="preserve">: Sterberate der </w:t>
      </w:r>
      <w:proofErr w:type="spellStart"/>
      <w:r>
        <w:t>Elektroporation</w:t>
      </w:r>
      <w:proofErr w:type="spellEnd"/>
    </w:p>
    <w:p w:rsidR="005F7B3B" w:rsidRDefault="00B81531" w:rsidP="0017481F">
      <w:pPr>
        <w:rPr>
          <w:rFonts w:eastAsiaTheme="minorEastAsia"/>
        </w:rPr>
      </w:pPr>
      <m:oMath>
        <m:sSub>
          <m:sSubPr>
            <m:ctrlPr>
              <w:rPr>
                <w:rFonts w:ascii="Cambria Math" w:hAnsi="Cambria Math"/>
                <w:i/>
              </w:rPr>
            </m:ctrlPr>
          </m:sSubPr>
          <m:e>
            <m:r>
              <w:rPr>
                <w:rFonts w:ascii="Cambria Math" w:hAnsi="Cambria Math"/>
              </w:rPr>
              <m:t>Sterberate</m:t>
            </m:r>
          </m:e>
          <m:sub>
            <m:r>
              <w:rPr>
                <w:rFonts w:ascii="Cambria Math" w:hAnsi="Cambria Math"/>
              </w:rPr>
              <m:t>elektr.</m:t>
            </m:r>
          </m:sub>
        </m:sSub>
        <m:r>
          <w:rPr>
            <w:rFonts w:ascii="Cambria Math" w:hAnsi="Cambria Math"/>
          </w:rPr>
          <m:t>=</m:t>
        </m:r>
        <m:f>
          <m:fPr>
            <m:ctrlPr>
              <w:rPr>
                <w:rFonts w:ascii="Cambria Math" w:hAnsi="Cambria Math"/>
                <w:i/>
              </w:rPr>
            </m:ctrlPr>
          </m:fPr>
          <m:num>
            <m:r>
              <w:rPr>
                <w:rFonts w:ascii="Cambria Math" w:hAnsi="Cambria Math"/>
              </w:rPr>
              <m:t xml:space="preserve">3,5* </m:t>
            </m:r>
            <m:sSup>
              <m:sSupPr>
                <m:ctrlPr>
                  <w:rPr>
                    <w:rFonts w:ascii="Cambria Math" w:hAnsi="Cambria Math"/>
                    <w:i/>
                  </w:rPr>
                </m:ctrlPr>
              </m:sSupPr>
              <m:e>
                <m:r>
                  <w:rPr>
                    <w:rFonts w:ascii="Cambria Math" w:hAnsi="Cambria Math"/>
                  </w:rPr>
                  <m:t>10</m:t>
                </m:r>
              </m:e>
              <m:sup>
                <m:r>
                  <w:rPr>
                    <w:rFonts w:ascii="Cambria Math" w:hAnsi="Cambria Math"/>
                  </w:rPr>
                  <m:t>9</m:t>
                </m:r>
              </m:sup>
            </m:sSup>
            <m:f>
              <m:fPr>
                <m:ctrlPr>
                  <w:rPr>
                    <w:rFonts w:ascii="Cambria Math" w:hAnsi="Cambria Math"/>
                    <w:i/>
                  </w:rPr>
                </m:ctrlPr>
              </m:fPr>
              <m:num>
                <m:r>
                  <w:rPr>
                    <w:rFonts w:ascii="Cambria Math" w:hAnsi="Cambria Math"/>
                  </w:rPr>
                  <m:t>KBE</m:t>
                </m:r>
              </m:num>
              <m:den>
                <m:r>
                  <w:rPr>
                    <w:rFonts w:ascii="Cambria Math" w:hAnsi="Cambria Math"/>
                  </w:rPr>
                  <m:t>ml</m:t>
                </m:r>
              </m:den>
            </m:f>
            <m:r>
              <w:rPr>
                <w:rFonts w:ascii="Cambria Math" w:hAnsi="Cambria Math"/>
              </w:rPr>
              <m:t xml:space="preserve"> - 3,3*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f>
              <m:fPr>
                <m:ctrlPr>
                  <w:rPr>
                    <w:rFonts w:ascii="Cambria Math" w:hAnsi="Cambria Math"/>
                    <w:i/>
                  </w:rPr>
                </m:ctrlPr>
              </m:fPr>
              <m:num>
                <m:r>
                  <w:rPr>
                    <w:rFonts w:ascii="Cambria Math" w:hAnsi="Cambria Math"/>
                  </w:rPr>
                  <m:t>KBE</m:t>
                </m:r>
              </m:num>
              <m:den>
                <m:r>
                  <w:rPr>
                    <w:rFonts w:ascii="Cambria Math" w:hAnsi="Cambria Math"/>
                  </w:rPr>
                  <m:t>ml</m:t>
                </m:r>
              </m:den>
            </m:f>
          </m:num>
          <m:den>
            <m:r>
              <w:rPr>
                <w:rFonts w:ascii="Cambria Math" w:hAnsi="Cambria Math"/>
              </w:rPr>
              <m:t xml:space="preserve">3,5* </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f>
              <m:fPr>
                <m:ctrlPr>
                  <w:rPr>
                    <w:rFonts w:ascii="Cambria Math" w:hAnsi="Cambria Math"/>
                    <w:i/>
                  </w:rPr>
                </m:ctrlPr>
              </m:fPr>
              <m:num>
                <m:r>
                  <w:rPr>
                    <w:rFonts w:ascii="Cambria Math" w:hAnsi="Cambria Math"/>
                  </w:rPr>
                  <m:t>KBE</m:t>
                </m:r>
              </m:num>
              <m:den>
                <m:r>
                  <w:rPr>
                    <w:rFonts w:ascii="Cambria Math" w:hAnsi="Cambria Math"/>
                  </w:rPr>
                  <m:t>ml</m:t>
                </m:r>
              </m:den>
            </m:f>
          </m:den>
        </m:f>
        <m:r>
          <w:rPr>
            <w:rFonts w:ascii="Cambria Math" w:hAnsi="Cambria Math"/>
          </w:rPr>
          <m:t>*100 %=99,9 %</m:t>
        </m:r>
      </m:oMath>
      <w:r w:rsidR="005F7B3B">
        <w:rPr>
          <w:rFonts w:eastAsiaTheme="minorEastAsia"/>
        </w:rPr>
        <w:t xml:space="preserve"> </w:t>
      </w:r>
    </w:p>
    <w:p w:rsidR="00991703" w:rsidRDefault="00991703" w:rsidP="00991703">
      <w:pPr>
        <w:pStyle w:val="Beschriftung"/>
        <w:keepNext/>
      </w:pPr>
      <w:bookmarkStart w:id="10" w:name="_Ref512284514"/>
      <w:r>
        <w:t xml:space="preserve">Formel </w:t>
      </w:r>
      <w:r w:rsidR="00B81531">
        <w:fldChar w:fldCharType="begin"/>
      </w:r>
      <w:r w:rsidR="00B81531">
        <w:instrText xml:space="preserve"> SEQ Formel \* ARABIC </w:instrText>
      </w:r>
      <w:r w:rsidR="00B81531">
        <w:fldChar w:fldCharType="separate"/>
      </w:r>
      <w:r>
        <w:rPr>
          <w:noProof/>
        </w:rPr>
        <w:t>8</w:t>
      </w:r>
      <w:r w:rsidR="00B81531">
        <w:rPr>
          <w:noProof/>
        </w:rPr>
        <w:fldChar w:fldCharType="end"/>
      </w:r>
      <w:bookmarkEnd w:id="10"/>
      <w:r>
        <w:t xml:space="preserve">: Transformationsausbeute der </w:t>
      </w:r>
      <w:proofErr w:type="spellStart"/>
      <w:r>
        <w:t>Elektroporation</w:t>
      </w:r>
      <w:proofErr w:type="spellEnd"/>
    </w:p>
    <w:p w:rsidR="005F7B3B" w:rsidRDefault="00B81531" w:rsidP="0017481F">
      <w:pPr>
        <w:rPr>
          <w:rFonts w:eastAsiaTheme="minorEastAsia"/>
        </w:rPr>
      </w:pPr>
      <m:oMath>
        <m:sSub>
          <m:sSubPr>
            <m:ctrlPr>
              <w:rPr>
                <w:rFonts w:ascii="Cambria Math" w:hAnsi="Cambria Math"/>
                <w:i/>
              </w:rPr>
            </m:ctrlPr>
          </m:sSubPr>
          <m:e>
            <m:r>
              <w:rPr>
                <w:rFonts w:ascii="Cambria Math" w:hAnsi="Cambria Math"/>
              </w:rPr>
              <m:t>Transformationsausbeute</m:t>
            </m:r>
          </m:e>
          <m:sub>
            <m:r>
              <w:rPr>
                <w:rFonts w:ascii="Cambria Math" w:hAnsi="Cambria Math"/>
              </w:rPr>
              <m:t>elektr.</m:t>
            </m:r>
          </m:sub>
        </m:sSub>
        <m:r>
          <w:rPr>
            <w:rFonts w:ascii="Cambria Math" w:hAnsi="Cambria Math"/>
          </w:rPr>
          <m:t>=</m:t>
        </m:r>
        <m:f>
          <m:fPr>
            <m:ctrlPr>
              <w:rPr>
                <w:rFonts w:ascii="Cambria Math" w:hAnsi="Cambria Math"/>
                <w:i/>
              </w:rPr>
            </m:ctrlPr>
          </m:fPr>
          <m:num>
            <m:r>
              <w:rPr>
                <w:rFonts w:ascii="Cambria Math" w:hAnsi="Cambria Math"/>
              </w:rPr>
              <m:t xml:space="preserve">1,1*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f>
              <m:fPr>
                <m:ctrlPr>
                  <w:rPr>
                    <w:rFonts w:ascii="Cambria Math" w:hAnsi="Cambria Math"/>
                    <w:i/>
                  </w:rPr>
                </m:ctrlPr>
              </m:fPr>
              <m:num>
                <m:r>
                  <w:rPr>
                    <w:rFonts w:ascii="Cambria Math" w:hAnsi="Cambria Math"/>
                  </w:rPr>
                  <m:t>KBE</m:t>
                </m:r>
              </m:num>
              <m:den>
                <m:r>
                  <w:rPr>
                    <w:rFonts w:ascii="Cambria Math" w:hAnsi="Cambria Math"/>
                  </w:rPr>
                  <m:t>ml</m:t>
                </m:r>
              </m:den>
            </m:f>
          </m:num>
          <m:den>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f>
              <m:fPr>
                <m:ctrlPr>
                  <w:rPr>
                    <w:rFonts w:ascii="Cambria Math" w:hAnsi="Cambria Math"/>
                    <w:i/>
                  </w:rPr>
                </m:ctrlPr>
              </m:fPr>
              <m:num>
                <m:r>
                  <w:rPr>
                    <w:rFonts w:ascii="Cambria Math" w:hAnsi="Cambria Math"/>
                  </w:rPr>
                  <m:t>KBE</m:t>
                </m:r>
              </m:num>
              <m:den>
                <m:r>
                  <w:rPr>
                    <w:rFonts w:ascii="Cambria Math" w:hAnsi="Cambria Math"/>
                  </w:rPr>
                  <m:t>ml</m:t>
                </m:r>
              </m:den>
            </m:f>
          </m:den>
        </m:f>
        <m:r>
          <w:rPr>
            <w:rFonts w:ascii="Cambria Math" w:eastAsiaTheme="minorEastAsia" w:hAnsi="Cambria Math"/>
          </w:rPr>
          <m:t>*100 %=33,3 %</m:t>
        </m:r>
      </m:oMath>
      <w:r w:rsidR="00991703">
        <w:rPr>
          <w:rFonts w:eastAsiaTheme="minorEastAsia"/>
        </w:rPr>
        <w:t xml:space="preserve"> </w:t>
      </w:r>
    </w:p>
    <w:p w:rsidR="00991703" w:rsidRPr="00991703" w:rsidRDefault="00991703" w:rsidP="0017481F">
      <w:r>
        <w:rPr>
          <w:rFonts w:eastAsiaTheme="minorEastAsia"/>
        </w:rPr>
        <w:t xml:space="preserve">Mit der </w:t>
      </w:r>
      <w:proofErr w:type="spellStart"/>
      <w:r>
        <w:rPr>
          <w:rFonts w:eastAsiaTheme="minorEastAsia"/>
        </w:rPr>
        <w:t>Elektroporation</w:t>
      </w:r>
      <w:proofErr w:type="spellEnd"/>
      <w:r>
        <w:rPr>
          <w:rFonts w:eastAsiaTheme="minorEastAsia"/>
        </w:rPr>
        <w:t xml:space="preserve"> konnte eine Transformationsrate von 4,4 * 10</w:t>
      </w:r>
      <w:r>
        <w:rPr>
          <w:rFonts w:eastAsiaTheme="minorEastAsia"/>
          <w:vertAlign w:val="superscript"/>
        </w:rPr>
        <w:t>6</w:t>
      </w:r>
      <w:r>
        <w:rPr>
          <w:rFonts w:eastAsiaTheme="minorEastAsia"/>
        </w:rPr>
        <w:t xml:space="preserve"> KBE/µl erreicht werden. Die Sterberate dieser Methode betrug über 99,9 %. Die Transformationsausbeute lag bei 33,3 %.</w:t>
      </w:r>
    </w:p>
    <w:sectPr w:rsidR="00991703" w:rsidRPr="009917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204"/>
    <w:rsid w:val="00065FB7"/>
    <w:rsid w:val="000E1C2B"/>
    <w:rsid w:val="000F7A7C"/>
    <w:rsid w:val="0017481F"/>
    <w:rsid w:val="001F4C56"/>
    <w:rsid w:val="00296BEA"/>
    <w:rsid w:val="002E3DDC"/>
    <w:rsid w:val="00334FE0"/>
    <w:rsid w:val="00352010"/>
    <w:rsid w:val="00361CB3"/>
    <w:rsid w:val="003D1135"/>
    <w:rsid w:val="0041239B"/>
    <w:rsid w:val="00451E54"/>
    <w:rsid w:val="004B355A"/>
    <w:rsid w:val="00501BC1"/>
    <w:rsid w:val="005D6CB2"/>
    <w:rsid w:val="005F7B3B"/>
    <w:rsid w:val="00613AB8"/>
    <w:rsid w:val="006A6204"/>
    <w:rsid w:val="007004D8"/>
    <w:rsid w:val="00744A99"/>
    <w:rsid w:val="0077085D"/>
    <w:rsid w:val="007A5BBB"/>
    <w:rsid w:val="007B5A67"/>
    <w:rsid w:val="007D6B6A"/>
    <w:rsid w:val="0083397D"/>
    <w:rsid w:val="0084345D"/>
    <w:rsid w:val="00860707"/>
    <w:rsid w:val="009143EB"/>
    <w:rsid w:val="009311B1"/>
    <w:rsid w:val="00991703"/>
    <w:rsid w:val="009C77CA"/>
    <w:rsid w:val="009D2009"/>
    <w:rsid w:val="009D361B"/>
    <w:rsid w:val="00B81531"/>
    <w:rsid w:val="00BD36E6"/>
    <w:rsid w:val="00C00E23"/>
    <w:rsid w:val="00CD0B15"/>
    <w:rsid w:val="00D1384C"/>
    <w:rsid w:val="00D3164D"/>
    <w:rsid w:val="00D932E8"/>
    <w:rsid w:val="00DB7A04"/>
    <w:rsid w:val="00E36B0A"/>
    <w:rsid w:val="00E6430F"/>
    <w:rsid w:val="00E82777"/>
    <w:rsid w:val="00E9704E"/>
    <w:rsid w:val="00EA0C1B"/>
    <w:rsid w:val="00ED3499"/>
    <w:rsid w:val="00EE277F"/>
    <w:rsid w:val="00F05E38"/>
    <w:rsid w:val="00F54218"/>
    <w:rsid w:val="00F6626A"/>
    <w:rsid w:val="00FE39EF"/>
    <w:rsid w:val="00FF15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A62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D34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D34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6204"/>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361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B7A04"/>
    <w:pPr>
      <w:spacing w:line="240" w:lineRule="auto"/>
    </w:pPr>
    <w:rPr>
      <w:b/>
      <w:bCs/>
      <w:sz w:val="18"/>
      <w:szCs w:val="18"/>
    </w:rPr>
  </w:style>
  <w:style w:type="character" w:customStyle="1" w:styleId="berschrift2Zchn">
    <w:name w:val="Überschrift 2 Zchn"/>
    <w:basedOn w:val="Absatz-Standardschriftart"/>
    <w:link w:val="berschrift2"/>
    <w:uiPriority w:val="9"/>
    <w:rsid w:val="00ED349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D3499"/>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501B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1BC1"/>
    <w:rPr>
      <w:rFonts w:ascii="Tahoma" w:hAnsi="Tahoma" w:cs="Tahoma"/>
      <w:sz w:val="16"/>
      <w:szCs w:val="16"/>
    </w:rPr>
  </w:style>
  <w:style w:type="character" w:styleId="Platzhaltertext">
    <w:name w:val="Placeholder Text"/>
    <w:basedOn w:val="Absatz-Standardschriftart"/>
    <w:uiPriority w:val="99"/>
    <w:semiHidden/>
    <w:rsid w:val="009311B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A62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D34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D34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6204"/>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361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B7A04"/>
    <w:pPr>
      <w:spacing w:line="240" w:lineRule="auto"/>
    </w:pPr>
    <w:rPr>
      <w:b/>
      <w:bCs/>
      <w:sz w:val="18"/>
      <w:szCs w:val="18"/>
    </w:rPr>
  </w:style>
  <w:style w:type="character" w:customStyle="1" w:styleId="berschrift2Zchn">
    <w:name w:val="Überschrift 2 Zchn"/>
    <w:basedOn w:val="Absatz-Standardschriftart"/>
    <w:link w:val="berschrift2"/>
    <w:uiPriority w:val="9"/>
    <w:rsid w:val="00ED349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D3499"/>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501B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1BC1"/>
    <w:rPr>
      <w:rFonts w:ascii="Tahoma" w:hAnsi="Tahoma" w:cs="Tahoma"/>
      <w:sz w:val="16"/>
      <w:szCs w:val="16"/>
    </w:rPr>
  </w:style>
  <w:style w:type="character" w:styleId="Platzhaltertext">
    <w:name w:val="Placeholder Text"/>
    <w:basedOn w:val="Absatz-Standardschriftart"/>
    <w:uiPriority w:val="99"/>
    <w:semiHidden/>
    <w:rsid w:val="009311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FCA8A-6D64-4E99-8A1E-AEE8811F3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1433</Words>
  <Characters>9028</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 Schneider</cp:lastModifiedBy>
  <cp:revision>7</cp:revision>
  <dcterms:created xsi:type="dcterms:W3CDTF">2018-04-20T18:22:00Z</dcterms:created>
  <dcterms:modified xsi:type="dcterms:W3CDTF">2018-04-23T20:22:00Z</dcterms:modified>
</cp:coreProperties>
</file>