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B4BB6" w:rsidRPr="000361B0" w:rsidRDefault="00DB4BB6" w:rsidP="00DB4BB6">
      <w:pPr>
        <w:rPr>
          <w:rFonts w:cs="Times New Roman"/>
        </w:rPr>
      </w:pPr>
    </w:p>
    <w:p w:rsidR="00DB4BB6" w:rsidRPr="000361B0" w:rsidRDefault="00DB4BB6" w:rsidP="00DB4BB6">
      <w:pPr>
        <w:rPr>
          <w:rFonts w:cs="Times New Roman"/>
        </w:rPr>
      </w:pPr>
    </w:p>
    <w:p w:rsidR="00DB4BB6" w:rsidRPr="000361B0" w:rsidRDefault="00DB4BB6" w:rsidP="00DB4BB6">
      <w:pPr>
        <w:rPr>
          <w:rFonts w:cs="Times New Roman"/>
        </w:rPr>
      </w:pPr>
    </w:p>
    <w:p w:rsidR="00DB4BB6" w:rsidRPr="000361B0" w:rsidRDefault="00DB4BB6" w:rsidP="00DB4BB6">
      <w:pPr>
        <w:rPr>
          <w:rFonts w:cs="Times New Roman"/>
        </w:rPr>
      </w:pPr>
    </w:p>
    <w:p w:rsidR="00DB4BB6" w:rsidRPr="000361B0" w:rsidRDefault="00DB4BB6" w:rsidP="00DB4BB6">
      <w:pPr>
        <w:rPr>
          <w:rFonts w:cs="Times New Roman"/>
        </w:rPr>
      </w:pPr>
    </w:p>
    <w:p w:rsidR="00DB4BB6" w:rsidRPr="000F476C" w:rsidRDefault="00DA540B" w:rsidP="00DB4BB6">
      <w:pPr>
        <w:spacing w:after="360"/>
        <w:jc w:val="center"/>
        <w:rPr>
          <w:rFonts w:cs="Times New Roman"/>
          <w:b/>
          <w:sz w:val="36"/>
          <w:szCs w:val="36"/>
        </w:rPr>
      </w:pPr>
      <w:r>
        <w:rPr>
          <w:rFonts w:cs="Times New Roman"/>
          <w:b/>
          <w:sz w:val="36"/>
          <w:szCs w:val="36"/>
        </w:rPr>
        <w:t>Studienarbeit</w:t>
      </w:r>
    </w:p>
    <w:p w:rsidR="00DB4BB6" w:rsidRPr="000F476C" w:rsidRDefault="00DB4BB6" w:rsidP="00DB4BB6">
      <w:pPr>
        <w:spacing w:after="360"/>
        <w:jc w:val="center"/>
        <w:rPr>
          <w:rFonts w:cs="Times New Roman"/>
        </w:rPr>
      </w:pPr>
      <w:r w:rsidRPr="000F476C">
        <w:rPr>
          <w:rFonts w:cs="Times New Roman"/>
        </w:rPr>
        <w:t>an der</w:t>
      </w:r>
    </w:p>
    <w:p w:rsidR="00DB4BB6" w:rsidRPr="000F476C" w:rsidRDefault="00DB4BB6" w:rsidP="00DB4BB6">
      <w:pPr>
        <w:spacing w:after="0"/>
        <w:jc w:val="center"/>
        <w:rPr>
          <w:rFonts w:cs="Times New Roman"/>
          <w:szCs w:val="24"/>
        </w:rPr>
      </w:pPr>
      <w:r w:rsidRPr="000F476C">
        <w:rPr>
          <w:rFonts w:cs="Times New Roman"/>
          <w:szCs w:val="24"/>
        </w:rPr>
        <w:t>Berufsakademie Sachsen</w:t>
      </w:r>
    </w:p>
    <w:p w:rsidR="00DB4BB6" w:rsidRPr="000F476C" w:rsidRDefault="00DB4BB6" w:rsidP="00DB4BB6">
      <w:pPr>
        <w:spacing w:after="0"/>
        <w:jc w:val="center"/>
        <w:rPr>
          <w:rFonts w:cs="Times New Roman"/>
          <w:szCs w:val="24"/>
        </w:rPr>
      </w:pPr>
      <w:r w:rsidRPr="000F476C">
        <w:rPr>
          <w:rFonts w:cs="Times New Roman"/>
          <w:szCs w:val="24"/>
        </w:rPr>
        <w:t>Staatliche Studienakademie Riesa</w:t>
      </w:r>
    </w:p>
    <w:p w:rsidR="00DB4BB6" w:rsidRPr="000F476C" w:rsidRDefault="00DB4BB6" w:rsidP="00DB4BB6">
      <w:pPr>
        <w:spacing w:after="0"/>
        <w:jc w:val="center"/>
        <w:rPr>
          <w:rFonts w:cs="Times New Roman"/>
          <w:szCs w:val="24"/>
        </w:rPr>
      </w:pPr>
      <w:r w:rsidRPr="000F476C">
        <w:rPr>
          <w:rFonts w:cs="Times New Roman"/>
          <w:szCs w:val="24"/>
        </w:rPr>
        <w:t>Studiengang Labor- und Verfahrenstechnik</w:t>
      </w:r>
    </w:p>
    <w:p w:rsidR="00DB4BB6" w:rsidRPr="000F476C" w:rsidRDefault="00DB4BB6" w:rsidP="00DB4BB6">
      <w:pPr>
        <w:spacing w:after="0"/>
        <w:jc w:val="center"/>
        <w:rPr>
          <w:rFonts w:cs="Times New Roman"/>
          <w:szCs w:val="24"/>
        </w:rPr>
      </w:pPr>
    </w:p>
    <w:p w:rsidR="00DB4BB6" w:rsidRPr="000F476C" w:rsidRDefault="00DB4BB6" w:rsidP="00DB4BB6">
      <w:pPr>
        <w:jc w:val="center"/>
        <w:rPr>
          <w:rFonts w:cs="Times New Roman"/>
        </w:rPr>
      </w:pPr>
    </w:p>
    <w:p w:rsidR="00DB4BB6" w:rsidRPr="000361B0" w:rsidRDefault="00DB4BB6" w:rsidP="00DB4BB6">
      <w:pPr>
        <w:spacing w:after="360"/>
        <w:rPr>
          <w:rFonts w:cs="Times New Roman"/>
        </w:rPr>
      </w:pPr>
      <w:r w:rsidRPr="000361B0">
        <w:rPr>
          <w:rFonts w:cs="Times New Roman"/>
        </w:rPr>
        <w:t>Kurs: 14BT-1</w:t>
      </w:r>
      <w:r w:rsidRPr="000361B0">
        <w:rPr>
          <w:rFonts w:cs="Times New Roman"/>
        </w:rPr>
        <w:tab/>
      </w:r>
      <w:r w:rsidRPr="000361B0">
        <w:rPr>
          <w:rFonts w:cs="Times New Roman"/>
        </w:rPr>
        <w:tab/>
      </w:r>
      <w:r w:rsidRPr="000361B0">
        <w:rPr>
          <w:rFonts w:cs="Times New Roman"/>
        </w:rPr>
        <w:tab/>
        <w:t>Studienrichtung: Biotechnologie</w:t>
      </w:r>
    </w:p>
    <w:p w:rsidR="00DB4BB6" w:rsidRPr="00DF454D" w:rsidRDefault="00DB4BB6" w:rsidP="00537F2B">
      <w:pPr>
        <w:spacing w:after="360"/>
        <w:ind w:left="1410" w:hanging="1410"/>
        <w:rPr>
          <w:rFonts w:cs="Times New Roman"/>
          <w:color w:val="76923C" w:themeColor="accent3" w:themeShade="BF"/>
        </w:rPr>
      </w:pPr>
      <w:r w:rsidRPr="007B3A30">
        <w:rPr>
          <w:rFonts w:cs="Times New Roman"/>
        </w:rPr>
        <w:t>Thema:</w:t>
      </w:r>
      <w:r w:rsidR="00537F2B" w:rsidRPr="007B3A30">
        <w:rPr>
          <w:rFonts w:cs="Times New Roman"/>
        </w:rPr>
        <w:t xml:space="preserve"> </w:t>
      </w:r>
      <w:r w:rsidR="00537F2B" w:rsidRPr="007B3A30">
        <w:rPr>
          <w:rFonts w:cs="Times New Roman"/>
        </w:rPr>
        <w:tab/>
      </w:r>
      <w:r w:rsidR="007B3A30" w:rsidRPr="007B3A30">
        <w:rPr>
          <w:rFonts w:cs="Times New Roman"/>
        </w:rPr>
        <w:t>Konzeptionelle Integration</w:t>
      </w:r>
      <w:r w:rsidR="007B3A30">
        <w:rPr>
          <w:rFonts w:cs="Times New Roman"/>
        </w:rPr>
        <w:t xml:space="preserve"> eines Fluoreszenzdetektionsmoduls in ein automatisiertes </w:t>
      </w:r>
      <w:proofErr w:type="spellStart"/>
      <w:r w:rsidR="007B3A30">
        <w:rPr>
          <w:rFonts w:cs="Times New Roman"/>
        </w:rPr>
        <w:t>Pipettiersystem</w:t>
      </w:r>
      <w:proofErr w:type="spellEnd"/>
      <w:r w:rsidR="007B3A30">
        <w:rPr>
          <w:rFonts w:cs="Times New Roman"/>
        </w:rPr>
        <w:t xml:space="preserve"> zur Detektion fluoreszierender Biomoleküle</w:t>
      </w:r>
    </w:p>
    <w:p w:rsidR="00DB4BB6" w:rsidRPr="000361B0" w:rsidRDefault="00DB4BB6" w:rsidP="00DB4BB6">
      <w:pPr>
        <w:spacing w:after="360"/>
        <w:rPr>
          <w:rFonts w:cs="Times New Roman"/>
        </w:rPr>
      </w:pPr>
    </w:p>
    <w:p w:rsidR="00DB4BB6" w:rsidRPr="000F476C" w:rsidRDefault="00DB4BB6" w:rsidP="00DB4BB6">
      <w:pPr>
        <w:spacing w:after="360"/>
        <w:rPr>
          <w:rFonts w:cs="Times New Roman"/>
          <w:b/>
          <w:szCs w:val="24"/>
        </w:rPr>
      </w:pPr>
      <w:r w:rsidRPr="000361B0">
        <w:rPr>
          <w:rFonts w:cs="Times New Roman"/>
          <w:b/>
          <w:szCs w:val="24"/>
        </w:rPr>
        <w:t>Eingereicht von:</w:t>
      </w:r>
      <w:r w:rsidRPr="000361B0">
        <w:rPr>
          <w:rFonts w:cs="Times New Roman"/>
          <w:b/>
          <w:szCs w:val="24"/>
        </w:rPr>
        <w:tab/>
      </w:r>
      <w:r w:rsidRPr="000361B0">
        <w:rPr>
          <w:rFonts w:cs="Times New Roman"/>
          <w:b/>
          <w:szCs w:val="24"/>
        </w:rPr>
        <w:tab/>
      </w:r>
      <w:r w:rsidRPr="000361B0">
        <w:rPr>
          <w:rFonts w:cs="Times New Roman"/>
          <w:b/>
          <w:szCs w:val="24"/>
        </w:rPr>
        <w:tab/>
      </w:r>
      <w:r w:rsidRPr="000361B0">
        <w:rPr>
          <w:rFonts w:cs="Times New Roman"/>
          <w:b/>
          <w:szCs w:val="24"/>
        </w:rPr>
        <w:tab/>
      </w:r>
      <w:r w:rsidRPr="000361B0">
        <w:rPr>
          <w:rFonts w:cs="Times New Roman"/>
          <w:b/>
          <w:szCs w:val="24"/>
        </w:rPr>
        <w:tab/>
      </w:r>
      <w:r w:rsidRPr="000361B0">
        <w:rPr>
          <w:rFonts w:cs="Times New Roman"/>
          <w:b/>
          <w:szCs w:val="24"/>
        </w:rPr>
        <w:tab/>
        <w:t>Firma:</w:t>
      </w:r>
    </w:p>
    <w:p w:rsidR="00DB4BB6" w:rsidRPr="000F476C" w:rsidRDefault="00DB4BB6" w:rsidP="00DB4BB6">
      <w:pPr>
        <w:spacing w:after="120"/>
        <w:rPr>
          <w:rFonts w:cs="Times New Roman"/>
        </w:rPr>
      </w:pPr>
      <w:r w:rsidRPr="000F476C">
        <w:rPr>
          <w:rFonts w:cs="Times New Roman"/>
        </w:rPr>
        <w:t>Martin Schneider</w:t>
      </w:r>
      <w:r w:rsidRPr="000F476C">
        <w:rPr>
          <w:rFonts w:cs="Times New Roman"/>
        </w:rPr>
        <w:tab/>
      </w:r>
      <w:r w:rsidRPr="000F476C">
        <w:rPr>
          <w:rFonts w:cs="Times New Roman"/>
        </w:rPr>
        <w:tab/>
      </w:r>
      <w:r w:rsidRPr="000F476C">
        <w:rPr>
          <w:rFonts w:cs="Times New Roman"/>
        </w:rPr>
        <w:tab/>
      </w:r>
      <w:r w:rsidRPr="000F476C">
        <w:rPr>
          <w:rFonts w:cs="Times New Roman"/>
        </w:rPr>
        <w:tab/>
      </w:r>
      <w:r w:rsidRPr="000F476C">
        <w:rPr>
          <w:rFonts w:cs="Times New Roman"/>
        </w:rPr>
        <w:tab/>
      </w:r>
      <w:r w:rsidRPr="000F476C">
        <w:rPr>
          <w:rFonts w:cs="Times New Roman"/>
        </w:rPr>
        <w:tab/>
      </w:r>
      <w:proofErr w:type="spellStart"/>
      <w:r w:rsidRPr="000F476C">
        <w:rPr>
          <w:rFonts w:cs="Times New Roman"/>
        </w:rPr>
        <w:t>QuoData</w:t>
      </w:r>
      <w:proofErr w:type="spellEnd"/>
      <w:r w:rsidRPr="000F476C">
        <w:rPr>
          <w:rFonts w:cs="Times New Roman"/>
        </w:rPr>
        <w:t xml:space="preserve"> GmbH</w:t>
      </w:r>
    </w:p>
    <w:p w:rsidR="00DB4BB6" w:rsidRPr="000F476C" w:rsidRDefault="00DB4BB6" w:rsidP="00DB4BB6">
      <w:pPr>
        <w:spacing w:after="120"/>
        <w:rPr>
          <w:rFonts w:cs="Times New Roman"/>
        </w:rPr>
      </w:pPr>
      <w:r w:rsidRPr="000F476C">
        <w:rPr>
          <w:rFonts w:cs="Times New Roman"/>
        </w:rPr>
        <w:t>Am Graben 2</w:t>
      </w:r>
      <w:r w:rsidRPr="000F476C">
        <w:rPr>
          <w:rFonts w:cs="Times New Roman"/>
        </w:rPr>
        <w:tab/>
      </w:r>
      <w:r w:rsidRPr="000F476C">
        <w:rPr>
          <w:rFonts w:cs="Times New Roman"/>
        </w:rPr>
        <w:tab/>
      </w:r>
      <w:r w:rsidRPr="000F476C">
        <w:rPr>
          <w:rFonts w:cs="Times New Roman"/>
        </w:rPr>
        <w:tab/>
      </w:r>
      <w:r w:rsidRPr="000F476C">
        <w:rPr>
          <w:rFonts w:cs="Times New Roman"/>
        </w:rPr>
        <w:tab/>
      </w:r>
      <w:r w:rsidRPr="000F476C">
        <w:rPr>
          <w:rFonts w:cs="Times New Roman"/>
        </w:rPr>
        <w:tab/>
      </w:r>
      <w:r w:rsidRPr="000F476C">
        <w:rPr>
          <w:rFonts w:cs="Times New Roman"/>
        </w:rPr>
        <w:tab/>
      </w:r>
      <w:r w:rsidRPr="000F476C">
        <w:rPr>
          <w:rFonts w:cs="Times New Roman"/>
        </w:rPr>
        <w:tab/>
      </w:r>
      <w:proofErr w:type="spellStart"/>
      <w:r w:rsidRPr="000F476C">
        <w:rPr>
          <w:rFonts w:cs="Times New Roman"/>
        </w:rPr>
        <w:t>Prellerstraße</w:t>
      </w:r>
      <w:proofErr w:type="spellEnd"/>
      <w:r w:rsidRPr="000F476C">
        <w:rPr>
          <w:rFonts w:cs="Times New Roman"/>
        </w:rPr>
        <w:t xml:space="preserve"> 14</w:t>
      </w:r>
    </w:p>
    <w:p w:rsidR="00DB4BB6" w:rsidRPr="000F476C" w:rsidRDefault="00DB4BB6" w:rsidP="00DB4BB6">
      <w:pPr>
        <w:spacing w:after="120"/>
        <w:rPr>
          <w:rFonts w:cs="Times New Roman"/>
        </w:rPr>
      </w:pPr>
      <w:r w:rsidRPr="000F476C">
        <w:rPr>
          <w:rFonts w:cs="Times New Roman"/>
        </w:rPr>
        <w:t xml:space="preserve">01809 </w:t>
      </w:r>
      <w:proofErr w:type="spellStart"/>
      <w:r w:rsidRPr="000F476C">
        <w:rPr>
          <w:rFonts w:cs="Times New Roman"/>
        </w:rPr>
        <w:t>Dohna</w:t>
      </w:r>
      <w:proofErr w:type="spellEnd"/>
      <w:r w:rsidRPr="000F476C">
        <w:rPr>
          <w:rFonts w:cs="Times New Roman"/>
        </w:rPr>
        <w:tab/>
      </w:r>
      <w:r w:rsidRPr="000F476C">
        <w:rPr>
          <w:rFonts w:cs="Times New Roman"/>
        </w:rPr>
        <w:tab/>
      </w:r>
      <w:r w:rsidRPr="000F476C">
        <w:rPr>
          <w:rFonts w:cs="Times New Roman"/>
        </w:rPr>
        <w:tab/>
      </w:r>
      <w:r w:rsidRPr="000F476C">
        <w:rPr>
          <w:rFonts w:cs="Times New Roman"/>
        </w:rPr>
        <w:tab/>
      </w:r>
      <w:r w:rsidRPr="000F476C">
        <w:rPr>
          <w:rFonts w:cs="Times New Roman"/>
        </w:rPr>
        <w:tab/>
      </w:r>
      <w:r w:rsidRPr="000F476C">
        <w:rPr>
          <w:rFonts w:cs="Times New Roman"/>
        </w:rPr>
        <w:tab/>
      </w:r>
      <w:r w:rsidRPr="000F476C">
        <w:rPr>
          <w:rFonts w:cs="Times New Roman"/>
        </w:rPr>
        <w:tab/>
        <w:t>01309 Dresden</w:t>
      </w:r>
    </w:p>
    <w:p w:rsidR="00DB4BB6" w:rsidRPr="000F476C" w:rsidRDefault="00DB4BB6" w:rsidP="00DB4BB6">
      <w:pPr>
        <w:spacing w:after="360"/>
        <w:rPr>
          <w:rFonts w:cs="Times New Roman"/>
        </w:rPr>
      </w:pPr>
    </w:p>
    <w:p w:rsidR="00DB4BB6" w:rsidRPr="000F476C" w:rsidRDefault="00DB4BB6" w:rsidP="00DB4BB6">
      <w:pPr>
        <w:spacing w:after="360"/>
        <w:rPr>
          <w:rFonts w:cs="Times New Roman"/>
        </w:rPr>
      </w:pPr>
      <w:r w:rsidRPr="000F476C">
        <w:rPr>
          <w:rFonts w:cs="Times New Roman"/>
          <w:b/>
        </w:rPr>
        <w:t>Betrieblicher Betreuer:</w:t>
      </w:r>
      <w:r w:rsidRPr="000F476C">
        <w:rPr>
          <w:rFonts w:cs="Times New Roman"/>
        </w:rPr>
        <w:t xml:space="preserve"> M. Sc. Martin Jähne</w:t>
      </w:r>
    </w:p>
    <w:p w:rsidR="00DB4BB6" w:rsidRPr="000F476C" w:rsidRDefault="00DB4BB6" w:rsidP="00DB4BB6">
      <w:pPr>
        <w:rPr>
          <w:rFonts w:cs="Times New Roman"/>
        </w:rPr>
      </w:pPr>
      <w:r w:rsidRPr="000F476C">
        <w:rPr>
          <w:rFonts w:cs="Times New Roman"/>
        </w:rPr>
        <w:br w:type="page"/>
      </w:r>
    </w:p>
    <w:p w:rsidR="00DB4BB6" w:rsidRPr="000F476C" w:rsidRDefault="00DB4BB6" w:rsidP="00DB4BB6">
      <w:pPr>
        <w:spacing w:after="360"/>
        <w:ind w:left="708" w:hanging="708"/>
        <w:rPr>
          <w:rStyle w:val="Fett"/>
          <w:rFonts w:cs="Times New Roman"/>
          <w:sz w:val="36"/>
          <w:szCs w:val="36"/>
        </w:rPr>
      </w:pPr>
      <w:r w:rsidRPr="000F476C">
        <w:rPr>
          <w:rStyle w:val="Fett"/>
          <w:rFonts w:cs="Times New Roman"/>
          <w:sz w:val="36"/>
          <w:szCs w:val="36"/>
        </w:rPr>
        <w:lastRenderedPageBreak/>
        <w:t>Eidesstaatliche Erklärung</w:t>
      </w:r>
    </w:p>
    <w:p w:rsidR="00DB4BB6" w:rsidRPr="000F476C" w:rsidRDefault="00DB4BB6" w:rsidP="00DB4BB6">
      <w:r w:rsidRPr="000F476C">
        <w:t>Hiermit versichere ich, dass ich die vorliegende Arbeit selbstständig und ohne fremde Hilfe angefertigt und keine anderen als die angegebenen Quellen und Hilfsmittel verwendet habe. Die eingereichte schriftliche Fassung der Arbeit entspricht der auf dem elektronischen Speichermedium. Weiterhin versichere ich, dass die vorliegende Arbeit noch nicht als Abschlussarbeit an anderer Stelle eingereicht wurde.</w:t>
      </w:r>
    </w:p>
    <w:p w:rsidR="00DB4BB6" w:rsidRPr="000F476C" w:rsidRDefault="00DB4BB6" w:rsidP="00DB4BB6">
      <w:pPr>
        <w:rPr>
          <w:rFonts w:cs="Times New Roman"/>
          <w:spacing w:val="20"/>
        </w:rPr>
      </w:pPr>
    </w:p>
    <w:p w:rsidR="00DB4BB6" w:rsidRPr="000F476C" w:rsidRDefault="00DB4BB6" w:rsidP="00DB4BB6">
      <w:pPr>
        <w:pBdr>
          <w:bottom w:val="single" w:sz="12" w:space="1" w:color="auto"/>
        </w:pBdr>
        <w:rPr>
          <w:rFonts w:cs="Times New Roman"/>
          <w:spacing w:val="20"/>
        </w:rPr>
      </w:pPr>
    </w:p>
    <w:p w:rsidR="00DB4BB6" w:rsidRPr="000F476C" w:rsidRDefault="00DB4BB6" w:rsidP="00DB4BB6">
      <w:pPr>
        <w:rPr>
          <w:rStyle w:val="Fett"/>
          <w:rFonts w:cs="Times New Roman"/>
          <w:b w:val="0"/>
          <w:bCs w:val="0"/>
          <w:spacing w:val="20"/>
          <w:sz w:val="22"/>
        </w:rPr>
      </w:pPr>
      <w:r w:rsidRPr="000F476C">
        <w:t>Ort, Datum</w:t>
      </w:r>
      <w:r w:rsidRPr="000F476C">
        <w:tab/>
      </w:r>
      <w:r w:rsidRPr="000F476C">
        <w:tab/>
      </w:r>
      <w:r w:rsidRPr="000F476C">
        <w:tab/>
      </w:r>
      <w:r w:rsidRPr="000F476C">
        <w:tab/>
      </w:r>
      <w:r w:rsidRPr="000F476C">
        <w:tab/>
      </w:r>
      <w:r w:rsidRPr="000F476C">
        <w:tab/>
      </w:r>
      <w:r w:rsidRPr="000F476C">
        <w:tab/>
      </w:r>
      <w:r w:rsidRPr="000F476C">
        <w:tab/>
      </w:r>
      <w:r w:rsidRPr="000F476C">
        <w:tab/>
        <w:t>Unterschrift</w:t>
      </w:r>
    </w:p>
    <w:p w:rsidR="00ED06F8" w:rsidRDefault="00DB4BB6" w:rsidP="00DB4BB6">
      <w:pPr>
        <w:rPr>
          <w:rFonts w:cs="Times New Roman"/>
        </w:rPr>
        <w:sectPr w:rsidR="00ED06F8" w:rsidSect="00D5377B">
          <w:footerReference w:type="default" r:id="rId9"/>
          <w:pgSz w:w="11906" w:h="16838"/>
          <w:pgMar w:top="1417" w:right="1417" w:bottom="1134" w:left="1417" w:header="708" w:footer="708" w:gutter="0"/>
          <w:pgNumType w:fmt="upperRoman" w:start="1"/>
          <w:cols w:space="708"/>
          <w:docGrid w:linePitch="360"/>
        </w:sectPr>
      </w:pPr>
      <w:r w:rsidRPr="000361B0">
        <w:rPr>
          <w:rFonts w:cs="Times New Roman"/>
        </w:rPr>
        <w:br w:type="page"/>
      </w:r>
    </w:p>
    <w:p w:rsidR="00DB4BB6" w:rsidRPr="00ED06F8" w:rsidRDefault="00DB4BB6" w:rsidP="00ED06F8">
      <w:pPr>
        <w:pStyle w:val="berschrift1"/>
        <w:rPr>
          <w:rStyle w:val="Fett"/>
          <w:b/>
          <w:bCs/>
        </w:rPr>
      </w:pPr>
      <w:bookmarkStart w:id="0" w:name="_Toc478923347"/>
      <w:r w:rsidRPr="00ED06F8">
        <w:rPr>
          <w:rStyle w:val="Fett"/>
          <w:b/>
          <w:bCs/>
        </w:rPr>
        <w:lastRenderedPageBreak/>
        <w:t>Abkürzungsverzeichnis</w:t>
      </w:r>
      <w:bookmarkEnd w:id="0"/>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6836"/>
      </w:tblGrid>
      <w:tr w:rsidR="003E3440" w:rsidTr="003E3440">
        <w:tc>
          <w:tcPr>
            <w:tcW w:w="2376" w:type="dxa"/>
          </w:tcPr>
          <w:p w:rsidR="003E3440" w:rsidRPr="007F6970" w:rsidRDefault="003E3440" w:rsidP="007F6970">
            <w:r>
              <w:t>FACS</w:t>
            </w:r>
          </w:p>
        </w:tc>
        <w:tc>
          <w:tcPr>
            <w:tcW w:w="6836" w:type="dxa"/>
          </w:tcPr>
          <w:p w:rsidR="003E3440" w:rsidRPr="000546DC" w:rsidRDefault="003E3440" w:rsidP="00DB4BB6">
            <w:proofErr w:type="spellStart"/>
            <w:r>
              <w:t>Fluorecence-activated</w:t>
            </w:r>
            <w:proofErr w:type="spellEnd"/>
            <w:r>
              <w:t xml:space="preserve"> </w:t>
            </w:r>
            <w:proofErr w:type="spellStart"/>
            <w:r>
              <w:t>cell</w:t>
            </w:r>
            <w:proofErr w:type="spellEnd"/>
            <w:r>
              <w:t xml:space="preserve"> </w:t>
            </w:r>
            <w:proofErr w:type="spellStart"/>
            <w:r>
              <w:t>sorter</w:t>
            </w:r>
            <w:proofErr w:type="spellEnd"/>
          </w:p>
        </w:tc>
      </w:tr>
      <w:tr w:rsidR="003E3440" w:rsidTr="003E3440">
        <w:tc>
          <w:tcPr>
            <w:tcW w:w="2376" w:type="dxa"/>
          </w:tcPr>
          <w:p w:rsidR="003E3440" w:rsidRPr="007F6970" w:rsidRDefault="003E3440" w:rsidP="007F6970">
            <w:pPr>
              <w:rPr>
                <w:lang w:val="en-US"/>
              </w:rPr>
            </w:pPr>
            <w:r>
              <w:rPr>
                <w:lang w:val="en-US"/>
              </w:rPr>
              <w:t>FSC</w:t>
            </w:r>
          </w:p>
        </w:tc>
        <w:tc>
          <w:tcPr>
            <w:tcW w:w="6836" w:type="dxa"/>
          </w:tcPr>
          <w:p w:rsidR="003E3440" w:rsidRPr="000546DC" w:rsidRDefault="003E3440" w:rsidP="00DB4BB6">
            <w:r>
              <w:t xml:space="preserve">Forward </w:t>
            </w:r>
            <w:proofErr w:type="spellStart"/>
            <w:r>
              <w:t>Scatter</w:t>
            </w:r>
            <w:proofErr w:type="spellEnd"/>
          </w:p>
        </w:tc>
      </w:tr>
      <w:tr w:rsidR="003E3440" w:rsidTr="003E3440">
        <w:tc>
          <w:tcPr>
            <w:tcW w:w="2376" w:type="dxa"/>
          </w:tcPr>
          <w:p w:rsidR="003E3440" w:rsidRPr="00ED4545" w:rsidRDefault="003E3440" w:rsidP="007F6970">
            <w:pPr>
              <w:rPr>
                <w:lang w:val="en-US"/>
              </w:rPr>
            </w:pPr>
            <w:r>
              <w:rPr>
                <w:lang w:val="en-US"/>
              </w:rPr>
              <w:t>MTP</w:t>
            </w:r>
          </w:p>
        </w:tc>
        <w:tc>
          <w:tcPr>
            <w:tcW w:w="6836" w:type="dxa"/>
          </w:tcPr>
          <w:p w:rsidR="003E3440" w:rsidRPr="00ED4545" w:rsidRDefault="003E3440" w:rsidP="00DB4BB6">
            <w:r>
              <w:t>Mikrotiterplatte</w:t>
            </w:r>
          </w:p>
        </w:tc>
      </w:tr>
      <w:tr w:rsidR="003E3440" w:rsidTr="003E3440">
        <w:tc>
          <w:tcPr>
            <w:tcW w:w="2376" w:type="dxa"/>
          </w:tcPr>
          <w:p w:rsidR="003E3440" w:rsidRPr="007F6970" w:rsidRDefault="003E3440" w:rsidP="00ED4545">
            <w:pPr>
              <w:rPr>
                <w:lang w:val="en-US"/>
              </w:rPr>
            </w:pPr>
            <w:r>
              <w:rPr>
                <w:lang w:val="en-US"/>
              </w:rPr>
              <w:t>NMR</w:t>
            </w:r>
          </w:p>
        </w:tc>
        <w:tc>
          <w:tcPr>
            <w:tcW w:w="6836" w:type="dxa"/>
          </w:tcPr>
          <w:p w:rsidR="003E3440" w:rsidRPr="000546DC" w:rsidRDefault="003E3440" w:rsidP="000546DC">
            <w:r>
              <w:t>Kernspinresonanz</w:t>
            </w:r>
          </w:p>
        </w:tc>
      </w:tr>
      <w:tr w:rsidR="003E3440" w:rsidTr="003E3440">
        <w:tc>
          <w:tcPr>
            <w:tcW w:w="2376" w:type="dxa"/>
          </w:tcPr>
          <w:p w:rsidR="003E3440" w:rsidRPr="007F6970" w:rsidRDefault="003E3440" w:rsidP="007F6970">
            <w:pPr>
              <w:rPr>
                <w:lang w:val="en-US"/>
              </w:rPr>
            </w:pPr>
            <w:r>
              <w:rPr>
                <w:lang w:val="en-US"/>
              </w:rPr>
              <w:t>SSC</w:t>
            </w:r>
          </w:p>
        </w:tc>
        <w:tc>
          <w:tcPr>
            <w:tcW w:w="6836" w:type="dxa"/>
          </w:tcPr>
          <w:p w:rsidR="003E3440" w:rsidRPr="00EE10EB" w:rsidRDefault="003E3440" w:rsidP="00EE10EB">
            <w:proofErr w:type="spellStart"/>
            <w:r>
              <w:t>Sidewards</w:t>
            </w:r>
            <w:proofErr w:type="spellEnd"/>
            <w:r>
              <w:t xml:space="preserve"> </w:t>
            </w:r>
            <w:proofErr w:type="spellStart"/>
            <w:r>
              <w:t>Scatter</w:t>
            </w:r>
            <w:proofErr w:type="spellEnd"/>
            <w:r>
              <w:t xml:space="preserve"> </w:t>
            </w:r>
          </w:p>
        </w:tc>
      </w:tr>
      <w:tr w:rsidR="003E3440" w:rsidTr="003E3440">
        <w:tc>
          <w:tcPr>
            <w:tcW w:w="2376" w:type="dxa"/>
          </w:tcPr>
          <w:p w:rsidR="003E3440" w:rsidRPr="00ED4545" w:rsidRDefault="003E3440" w:rsidP="007F6970">
            <w:pPr>
              <w:rPr>
                <w:lang w:val="en-US"/>
              </w:rPr>
            </w:pPr>
            <w:r w:rsidRPr="00ED4545">
              <w:rPr>
                <w:lang w:val="en-US"/>
              </w:rPr>
              <w:t>UV/VIS</w:t>
            </w:r>
          </w:p>
        </w:tc>
        <w:tc>
          <w:tcPr>
            <w:tcW w:w="6836" w:type="dxa"/>
          </w:tcPr>
          <w:p w:rsidR="003E3440" w:rsidRPr="00ED4545" w:rsidRDefault="003E3440" w:rsidP="00DB4BB6">
            <w:r w:rsidRPr="00ED4545">
              <w:t>Ultraviolettes/sichtbares Spektrum</w:t>
            </w:r>
          </w:p>
        </w:tc>
      </w:tr>
      <w:tr w:rsidR="000D16BF" w:rsidTr="003E3440">
        <w:tc>
          <w:tcPr>
            <w:tcW w:w="2376" w:type="dxa"/>
          </w:tcPr>
          <w:p w:rsidR="000D16BF" w:rsidRPr="00ED4545" w:rsidRDefault="000D16BF" w:rsidP="007F6970">
            <w:pPr>
              <w:rPr>
                <w:lang w:val="en-US"/>
              </w:rPr>
            </w:pPr>
            <w:r>
              <w:rPr>
                <w:lang w:val="en-US"/>
              </w:rPr>
              <w:t>LED</w:t>
            </w:r>
          </w:p>
        </w:tc>
        <w:tc>
          <w:tcPr>
            <w:tcW w:w="6836" w:type="dxa"/>
          </w:tcPr>
          <w:p w:rsidR="000D16BF" w:rsidRPr="00ED4545" w:rsidRDefault="000D16BF" w:rsidP="00DB4BB6">
            <w:r>
              <w:t>Light-</w:t>
            </w:r>
            <w:proofErr w:type="spellStart"/>
            <w:r>
              <w:t>emitting</w:t>
            </w:r>
            <w:proofErr w:type="spellEnd"/>
            <w:r>
              <w:t xml:space="preserve"> </w:t>
            </w:r>
            <w:proofErr w:type="spellStart"/>
            <w:r>
              <w:t>diode</w:t>
            </w:r>
            <w:proofErr w:type="spellEnd"/>
          </w:p>
        </w:tc>
      </w:tr>
    </w:tbl>
    <w:p w:rsidR="007F6970" w:rsidRPr="00537F2B" w:rsidRDefault="007F6970" w:rsidP="00DB4BB6"/>
    <w:p w:rsidR="00DB4BB6" w:rsidRPr="00537F2B" w:rsidRDefault="00DB4BB6" w:rsidP="00DB4BB6">
      <w:pPr>
        <w:rPr>
          <w:rFonts w:cs="Times New Roman"/>
        </w:rPr>
        <w:sectPr w:rsidR="00DB4BB6" w:rsidRPr="00537F2B" w:rsidSect="00801116">
          <w:headerReference w:type="default" r:id="rId10"/>
          <w:pgSz w:w="11906" w:h="16838"/>
          <w:pgMar w:top="1417" w:right="1417" w:bottom="1134" w:left="1417" w:header="708" w:footer="708" w:gutter="0"/>
          <w:pgNumType w:fmt="upperRoman"/>
          <w:cols w:space="708"/>
          <w:docGrid w:linePitch="360"/>
        </w:sectPr>
      </w:pPr>
      <w:r w:rsidRPr="00537F2B">
        <w:rPr>
          <w:rFonts w:cs="Times New Roman"/>
        </w:rPr>
        <w:br w:type="page"/>
      </w:r>
    </w:p>
    <w:sdt>
      <w:sdtPr>
        <w:rPr>
          <w:rFonts w:ascii="Times New Roman" w:eastAsiaTheme="minorHAnsi" w:hAnsi="Times New Roman" w:cstheme="minorBidi"/>
          <w:b w:val="0"/>
          <w:bCs w:val="0"/>
          <w:color w:val="auto"/>
          <w:sz w:val="24"/>
          <w:szCs w:val="22"/>
          <w:lang w:eastAsia="en-US"/>
        </w:rPr>
        <w:id w:val="-1631007031"/>
        <w:docPartObj>
          <w:docPartGallery w:val="Table of Contents"/>
          <w:docPartUnique/>
        </w:docPartObj>
      </w:sdtPr>
      <w:sdtContent>
        <w:p w:rsidR="00DB4BB6" w:rsidRPr="00ED06F8" w:rsidRDefault="00ED06F8" w:rsidP="00DB4BB6">
          <w:pPr>
            <w:pStyle w:val="Inhaltsverzeichnisberschrift"/>
            <w:rPr>
              <w:rStyle w:val="berschrift1Zchn"/>
              <w:b/>
            </w:rPr>
          </w:pPr>
          <w:r w:rsidRPr="00ED06F8">
            <w:rPr>
              <w:rStyle w:val="berschrift1Zchn"/>
              <w:b/>
              <w:color w:val="000000" w:themeColor="text1"/>
            </w:rPr>
            <w:t>Inhaltsverzeichnis</w:t>
          </w:r>
        </w:p>
        <w:p w:rsidR="0049656A" w:rsidRDefault="00DB4BB6">
          <w:pPr>
            <w:pStyle w:val="Verzeichnis1"/>
            <w:tabs>
              <w:tab w:val="right" w:leader="dot" w:pos="9062"/>
            </w:tabs>
            <w:rPr>
              <w:rFonts w:asciiTheme="minorHAnsi" w:eastAsiaTheme="minorEastAsia" w:hAnsiTheme="minorHAnsi"/>
              <w:noProof/>
              <w:sz w:val="22"/>
              <w:lang w:eastAsia="de-DE"/>
            </w:rPr>
          </w:pPr>
          <w:r>
            <w:fldChar w:fldCharType="begin"/>
          </w:r>
          <w:r>
            <w:instrText xml:space="preserve"> TOC \o "1-3" \h \z \u </w:instrText>
          </w:r>
          <w:r>
            <w:fldChar w:fldCharType="separate"/>
          </w:r>
          <w:hyperlink w:anchor="_Toc478923347" w:history="1">
            <w:r w:rsidR="0049656A" w:rsidRPr="002C4D90">
              <w:rPr>
                <w:rStyle w:val="Hyperlink"/>
                <w:noProof/>
              </w:rPr>
              <w:t>Abkürzungsverzeichnis</w:t>
            </w:r>
            <w:r w:rsidR="0049656A">
              <w:rPr>
                <w:noProof/>
                <w:webHidden/>
              </w:rPr>
              <w:tab/>
            </w:r>
            <w:r w:rsidR="0049656A">
              <w:rPr>
                <w:noProof/>
                <w:webHidden/>
              </w:rPr>
              <w:fldChar w:fldCharType="begin"/>
            </w:r>
            <w:r w:rsidR="0049656A">
              <w:rPr>
                <w:noProof/>
                <w:webHidden/>
              </w:rPr>
              <w:instrText xml:space="preserve"> PAGEREF _Toc478923347 \h </w:instrText>
            </w:r>
            <w:r w:rsidR="0049656A">
              <w:rPr>
                <w:noProof/>
                <w:webHidden/>
              </w:rPr>
            </w:r>
            <w:r w:rsidR="0049656A">
              <w:rPr>
                <w:noProof/>
                <w:webHidden/>
              </w:rPr>
              <w:fldChar w:fldCharType="separate"/>
            </w:r>
            <w:r w:rsidR="00B17641">
              <w:rPr>
                <w:noProof/>
                <w:webHidden/>
              </w:rPr>
              <w:t>III</w:t>
            </w:r>
            <w:r w:rsidR="0049656A">
              <w:rPr>
                <w:noProof/>
                <w:webHidden/>
              </w:rPr>
              <w:fldChar w:fldCharType="end"/>
            </w:r>
          </w:hyperlink>
        </w:p>
        <w:p w:rsidR="0049656A" w:rsidRDefault="0049656A">
          <w:pPr>
            <w:pStyle w:val="Verzeichnis1"/>
            <w:tabs>
              <w:tab w:val="right" w:leader="dot" w:pos="9062"/>
            </w:tabs>
            <w:rPr>
              <w:rFonts w:asciiTheme="minorHAnsi" w:eastAsiaTheme="minorEastAsia" w:hAnsiTheme="minorHAnsi"/>
              <w:noProof/>
              <w:sz w:val="22"/>
              <w:lang w:eastAsia="de-DE"/>
            </w:rPr>
          </w:pPr>
          <w:hyperlink w:anchor="_Toc478923348" w:history="1">
            <w:r w:rsidRPr="002C4D90">
              <w:rPr>
                <w:rStyle w:val="Hyperlink"/>
                <w:noProof/>
              </w:rPr>
              <w:t>1 Einleitung</w:t>
            </w:r>
            <w:r>
              <w:rPr>
                <w:noProof/>
                <w:webHidden/>
              </w:rPr>
              <w:tab/>
            </w:r>
            <w:r>
              <w:rPr>
                <w:noProof/>
                <w:webHidden/>
              </w:rPr>
              <w:fldChar w:fldCharType="begin"/>
            </w:r>
            <w:r>
              <w:rPr>
                <w:noProof/>
                <w:webHidden/>
              </w:rPr>
              <w:instrText xml:space="preserve"> PAGEREF _Toc478923348 \h </w:instrText>
            </w:r>
            <w:r>
              <w:rPr>
                <w:noProof/>
                <w:webHidden/>
              </w:rPr>
            </w:r>
            <w:r>
              <w:rPr>
                <w:noProof/>
                <w:webHidden/>
              </w:rPr>
              <w:fldChar w:fldCharType="separate"/>
            </w:r>
            <w:r w:rsidR="00B17641">
              <w:rPr>
                <w:noProof/>
                <w:webHidden/>
              </w:rPr>
              <w:t>3</w:t>
            </w:r>
            <w:r>
              <w:rPr>
                <w:noProof/>
                <w:webHidden/>
              </w:rPr>
              <w:fldChar w:fldCharType="end"/>
            </w:r>
          </w:hyperlink>
        </w:p>
        <w:p w:rsidR="0049656A" w:rsidRDefault="0049656A">
          <w:pPr>
            <w:pStyle w:val="Verzeichnis2"/>
            <w:tabs>
              <w:tab w:val="right" w:leader="dot" w:pos="9062"/>
            </w:tabs>
            <w:rPr>
              <w:rFonts w:asciiTheme="minorHAnsi" w:eastAsiaTheme="minorEastAsia" w:hAnsiTheme="minorHAnsi"/>
              <w:noProof/>
              <w:sz w:val="22"/>
              <w:lang w:eastAsia="de-DE"/>
            </w:rPr>
          </w:pPr>
          <w:hyperlink w:anchor="_Toc478923349" w:history="1">
            <w:r w:rsidRPr="002C4D90">
              <w:rPr>
                <w:rStyle w:val="Hyperlink"/>
                <w:noProof/>
              </w:rPr>
              <w:t>1.1 Elektronenanregung</w:t>
            </w:r>
            <w:r>
              <w:rPr>
                <w:noProof/>
                <w:webHidden/>
              </w:rPr>
              <w:tab/>
            </w:r>
            <w:r>
              <w:rPr>
                <w:noProof/>
                <w:webHidden/>
              </w:rPr>
              <w:fldChar w:fldCharType="begin"/>
            </w:r>
            <w:r>
              <w:rPr>
                <w:noProof/>
                <w:webHidden/>
              </w:rPr>
              <w:instrText xml:space="preserve"> PAGEREF _Toc478923349 \h </w:instrText>
            </w:r>
            <w:r>
              <w:rPr>
                <w:noProof/>
                <w:webHidden/>
              </w:rPr>
            </w:r>
            <w:r>
              <w:rPr>
                <w:noProof/>
                <w:webHidden/>
              </w:rPr>
              <w:fldChar w:fldCharType="separate"/>
            </w:r>
            <w:r w:rsidR="00B17641">
              <w:rPr>
                <w:noProof/>
                <w:webHidden/>
              </w:rPr>
              <w:t>3</w:t>
            </w:r>
            <w:r>
              <w:rPr>
                <w:noProof/>
                <w:webHidden/>
              </w:rPr>
              <w:fldChar w:fldCharType="end"/>
            </w:r>
          </w:hyperlink>
        </w:p>
        <w:p w:rsidR="0049656A" w:rsidRDefault="0049656A">
          <w:pPr>
            <w:pStyle w:val="Verzeichnis2"/>
            <w:tabs>
              <w:tab w:val="right" w:leader="dot" w:pos="9062"/>
            </w:tabs>
            <w:rPr>
              <w:rFonts w:asciiTheme="minorHAnsi" w:eastAsiaTheme="minorEastAsia" w:hAnsiTheme="minorHAnsi"/>
              <w:noProof/>
              <w:sz w:val="22"/>
              <w:lang w:eastAsia="de-DE"/>
            </w:rPr>
          </w:pPr>
          <w:hyperlink w:anchor="_Toc478923350" w:history="1">
            <w:r w:rsidRPr="002C4D90">
              <w:rPr>
                <w:rStyle w:val="Hyperlink"/>
                <w:noProof/>
              </w:rPr>
              <w:t>1.2 Fluoreszenz</w:t>
            </w:r>
            <w:r>
              <w:rPr>
                <w:noProof/>
                <w:webHidden/>
              </w:rPr>
              <w:tab/>
            </w:r>
            <w:r>
              <w:rPr>
                <w:noProof/>
                <w:webHidden/>
              </w:rPr>
              <w:fldChar w:fldCharType="begin"/>
            </w:r>
            <w:r>
              <w:rPr>
                <w:noProof/>
                <w:webHidden/>
              </w:rPr>
              <w:instrText xml:space="preserve"> PAGEREF _Toc478923350 \h </w:instrText>
            </w:r>
            <w:r>
              <w:rPr>
                <w:noProof/>
                <w:webHidden/>
              </w:rPr>
            </w:r>
            <w:r>
              <w:rPr>
                <w:noProof/>
                <w:webHidden/>
              </w:rPr>
              <w:fldChar w:fldCharType="separate"/>
            </w:r>
            <w:r w:rsidR="00B17641">
              <w:rPr>
                <w:noProof/>
                <w:webHidden/>
              </w:rPr>
              <w:t>4</w:t>
            </w:r>
            <w:r>
              <w:rPr>
                <w:noProof/>
                <w:webHidden/>
              </w:rPr>
              <w:fldChar w:fldCharType="end"/>
            </w:r>
          </w:hyperlink>
        </w:p>
        <w:p w:rsidR="0049656A" w:rsidRDefault="0049656A">
          <w:pPr>
            <w:pStyle w:val="Verzeichnis2"/>
            <w:tabs>
              <w:tab w:val="right" w:leader="dot" w:pos="9062"/>
            </w:tabs>
            <w:rPr>
              <w:rFonts w:asciiTheme="minorHAnsi" w:eastAsiaTheme="minorEastAsia" w:hAnsiTheme="minorHAnsi"/>
              <w:noProof/>
              <w:sz w:val="22"/>
              <w:lang w:eastAsia="de-DE"/>
            </w:rPr>
          </w:pPr>
          <w:hyperlink w:anchor="_Toc478923351" w:history="1">
            <w:r w:rsidRPr="002C4D90">
              <w:rPr>
                <w:rStyle w:val="Hyperlink"/>
                <w:noProof/>
              </w:rPr>
              <w:t>1.3 Spektroskopie</w:t>
            </w:r>
            <w:r>
              <w:rPr>
                <w:noProof/>
                <w:webHidden/>
              </w:rPr>
              <w:tab/>
            </w:r>
            <w:r>
              <w:rPr>
                <w:noProof/>
                <w:webHidden/>
              </w:rPr>
              <w:fldChar w:fldCharType="begin"/>
            </w:r>
            <w:r>
              <w:rPr>
                <w:noProof/>
                <w:webHidden/>
              </w:rPr>
              <w:instrText xml:space="preserve"> PAGEREF _Toc478923351 \h </w:instrText>
            </w:r>
            <w:r>
              <w:rPr>
                <w:noProof/>
                <w:webHidden/>
              </w:rPr>
            </w:r>
            <w:r>
              <w:rPr>
                <w:noProof/>
                <w:webHidden/>
              </w:rPr>
              <w:fldChar w:fldCharType="separate"/>
            </w:r>
            <w:r w:rsidR="00B17641">
              <w:rPr>
                <w:noProof/>
                <w:webHidden/>
              </w:rPr>
              <w:t>6</w:t>
            </w:r>
            <w:r>
              <w:rPr>
                <w:noProof/>
                <w:webHidden/>
              </w:rPr>
              <w:fldChar w:fldCharType="end"/>
            </w:r>
          </w:hyperlink>
        </w:p>
        <w:p w:rsidR="0049656A" w:rsidRDefault="0049656A">
          <w:pPr>
            <w:pStyle w:val="Verzeichnis2"/>
            <w:tabs>
              <w:tab w:val="right" w:leader="dot" w:pos="9062"/>
            </w:tabs>
            <w:rPr>
              <w:rFonts w:asciiTheme="minorHAnsi" w:eastAsiaTheme="minorEastAsia" w:hAnsiTheme="minorHAnsi"/>
              <w:noProof/>
              <w:sz w:val="22"/>
              <w:lang w:eastAsia="de-DE"/>
            </w:rPr>
          </w:pPr>
          <w:hyperlink w:anchor="_Toc478923352" w:history="1">
            <w:r w:rsidRPr="002C4D90">
              <w:rPr>
                <w:rStyle w:val="Hyperlink"/>
                <w:noProof/>
              </w:rPr>
              <w:t>1.4 Fluoreszenzdetektion in der Bioanalytik</w:t>
            </w:r>
            <w:r>
              <w:rPr>
                <w:noProof/>
                <w:webHidden/>
              </w:rPr>
              <w:tab/>
            </w:r>
            <w:r>
              <w:rPr>
                <w:noProof/>
                <w:webHidden/>
              </w:rPr>
              <w:fldChar w:fldCharType="begin"/>
            </w:r>
            <w:r>
              <w:rPr>
                <w:noProof/>
                <w:webHidden/>
              </w:rPr>
              <w:instrText xml:space="preserve"> PAGEREF _Toc478923352 \h </w:instrText>
            </w:r>
            <w:r>
              <w:rPr>
                <w:noProof/>
                <w:webHidden/>
              </w:rPr>
            </w:r>
            <w:r>
              <w:rPr>
                <w:noProof/>
                <w:webHidden/>
              </w:rPr>
              <w:fldChar w:fldCharType="separate"/>
            </w:r>
            <w:r w:rsidR="00B17641">
              <w:rPr>
                <w:noProof/>
                <w:webHidden/>
              </w:rPr>
              <w:t>7</w:t>
            </w:r>
            <w:r>
              <w:rPr>
                <w:noProof/>
                <w:webHidden/>
              </w:rPr>
              <w:fldChar w:fldCharType="end"/>
            </w:r>
          </w:hyperlink>
        </w:p>
        <w:p w:rsidR="0049656A" w:rsidRDefault="0049656A">
          <w:pPr>
            <w:pStyle w:val="Verzeichnis2"/>
            <w:tabs>
              <w:tab w:val="right" w:leader="dot" w:pos="9062"/>
            </w:tabs>
            <w:rPr>
              <w:rFonts w:asciiTheme="minorHAnsi" w:eastAsiaTheme="minorEastAsia" w:hAnsiTheme="minorHAnsi"/>
              <w:noProof/>
              <w:sz w:val="22"/>
              <w:lang w:eastAsia="de-DE"/>
            </w:rPr>
          </w:pPr>
          <w:hyperlink w:anchor="_Toc478923353" w:history="1">
            <w:r w:rsidRPr="002C4D90">
              <w:rPr>
                <w:rStyle w:val="Hyperlink"/>
                <w:noProof/>
              </w:rPr>
              <w:t>1.5 Liquid Handling Systeme</w:t>
            </w:r>
            <w:r>
              <w:rPr>
                <w:noProof/>
                <w:webHidden/>
              </w:rPr>
              <w:tab/>
            </w:r>
            <w:r>
              <w:rPr>
                <w:noProof/>
                <w:webHidden/>
              </w:rPr>
              <w:fldChar w:fldCharType="begin"/>
            </w:r>
            <w:r>
              <w:rPr>
                <w:noProof/>
                <w:webHidden/>
              </w:rPr>
              <w:instrText xml:space="preserve"> PAGEREF _Toc478923353 \h </w:instrText>
            </w:r>
            <w:r>
              <w:rPr>
                <w:noProof/>
                <w:webHidden/>
              </w:rPr>
            </w:r>
            <w:r>
              <w:rPr>
                <w:noProof/>
                <w:webHidden/>
              </w:rPr>
              <w:fldChar w:fldCharType="separate"/>
            </w:r>
            <w:r w:rsidR="00B17641">
              <w:rPr>
                <w:noProof/>
                <w:webHidden/>
              </w:rPr>
              <w:t>11</w:t>
            </w:r>
            <w:r>
              <w:rPr>
                <w:noProof/>
                <w:webHidden/>
              </w:rPr>
              <w:fldChar w:fldCharType="end"/>
            </w:r>
          </w:hyperlink>
        </w:p>
        <w:p w:rsidR="0049656A" w:rsidRDefault="0049656A">
          <w:pPr>
            <w:pStyle w:val="Verzeichnis1"/>
            <w:tabs>
              <w:tab w:val="right" w:leader="dot" w:pos="9062"/>
            </w:tabs>
            <w:rPr>
              <w:rFonts w:asciiTheme="minorHAnsi" w:eastAsiaTheme="minorEastAsia" w:hAnsiTheme="minorHAnsi"/>
              <w:noProof/>
              <w:sz w:val="22"/>
              <w:lang w:eastAsia="de-DE"/>
            </w:rPr>
          </w:pPr>
          <w:hyperlink w:anchor="_Toc478923354" w:history="1">
            <w:r w:rsidRPr="002C4D90">
              <w:rPr>
                <w:rStyle w:val="Hyperlink"/>
                <w:noProof/>
              </w:rPr>
              <w:t>2 Zielstellung</w:t>
            </w:r>
            <w:r>
              <w:rPr>
                <w:noProof/>
                <w:webHidden/>
              </w:rPr>
              <w:tab/>
            </w:r>
            <w:r>
              <w:rPr>
                <w:noProof/>
                <w:webHidden/>
              </w:rPr>
              <w:fldChar w:fldCharType="begin"/>
            </w:r>
            <w:r>
              <w:rPr>
                <w:noProof/>
                <w:webHidden/>
              </w:rPr>
              <w:instrText xml:space="preserve"> PAGEREF _Toc478923354 \h </w:instrText>
            </w:r>
            <w:r>
              <w:rPr>
                <w:noProof/>
                <w:webHidden/>
              </w:rPr>
            </w:r>
            <w:r>
              <w:rPr>
                <w:noProof/>
                <w:webHidden/>
              </w:rPr>
              <w:fldChar w:fldCharType="separate"/>
            </w:r>
            <w:r w:rsidR="00B17641">
              <w:rPr>
                <w:noProof/>
                <w:webHidden/>
              </w:rPr>
              <w:t>14</w:t>
            </w:r>
            <w:r>
              <w:rPr>
                <w:noProof/>
                <w:webHidden/>
              </w:rPr>
              <w:fldChar w:fldCharType="end"/>
            </w:r>
          </w:hyperlink>
        </w:p>
        <w:p w:rsidR="0049656A" w:rsidRDefault="0049656A">
          <w:pPr>
            <w:pStyle w:val="Verzeichnis1"/>
            <w:tabs>
              <w:tab w:val="right" w:leader="dot" w:pos="9062"/>
            </w:tabs>
            <w:rPr>
              <w:rFonts w:asciiTheme="minorHAnsi" w:eastAsiaTheme="minorEastAsia" w:hAnsiTheme="minorHAnsi"/>
              <w:noProof/>
              <w:sz w:val="22"/>
              <w:lang w:eastAsia="de-DE"/>
            </w:rPr>
          </w:pPr>
          <w:hyperlink w:anchor="_Toc478923355" w:history="1">
            <w:r w:rsidRPr="002C4D90">
              <w:rPr>
                <w:rStyle w:val="Hyperlink"/>
                <w:noProof/>
              </w:rPr>
              <w:t>3 Aktuelle Messsysteme</w:t>
            </w:r>
            <w:r>
              <w:rPr>
                <w:noProof/>
                <w:webHidden/>
              </w:rPr>
              <w:tab/>
            </w:r>
            <w:r>
              <w:rPr>
                <w:noProof/>
                <w:webHidden/>
              </w:rPr>
              <w:fldChar w:fldCharType="begin"/>
            </w:r>
            <w:r>
              <w:rPr>
                <w:noProof/>
                <w:webHidden/>
              </w:rPr>
              <w:instrText xml:space="preserve"> PAGEREF _Toc478923355 \h </w:instrText>
            </w:r>
            <w:r>
              <w:rPr>
                <w:noProof/>
                <w:webHidden/>
              </w:rPr>
            </w:r>
            <w:r>
              <w:rPr>
                <w:noProof/>
                <w:webHidden/>
              </w:rPr>
              <w:fldChar w:fldCharType="separate"/>
            </w:r>
            <w:r w:rsidR="00B17641">
              <w:rPr>
                <w:noProof/>
                <w:webHidden/>
              </w:rPr>
              <w:t>15</w:t>
            </w:r>
            <w:r>
              <w:rPr>
                <w:noProof/>
                <w:webHidden/>
              </w:rPr>
              <w:fldChar w:fldCharType="end"/>
            </w:r>
          </w:hyperlink>
        </w:p>
        <w:p w:rsidR="0049656A" w:rsidRDefault="0049656A">
          <w:pPr>
            <w:pStyle w:val="Verzeichnis2"/>
            <w:tabs>
              <w:tab w:val="right" w:leader="dot" w:pos="9062"/>
            </w:tabs>
            <w:rPr>
              <w:rFonts w:asciiTheme="minorHAnsi" w:eastAsiaTheme="minorEastAsia" w:hAnsiTheme="minorHAnsi"/>
              <w:noProof/>
              <w:sz w:val="22"/>
              <w:lang w:eastAsia="de-DE"/>
            </w:rPr>
          </w:pPr>
          <w:hyperlink w:anchor="_Toc478923356" w:history="1">
            <w:r w:rsidRPr="002C4D90">
              <w:rPr>
                <w:rStyle w:val="Hyperlink"/>
                <w:noProof/>
              </w:rPr>
              <w:t>3.1 Fluorometer</w:t>
            </w:r>
            <w:r>
              <w:rPr>
                <w:noProof/>
                <w:webHidden/>
              </w:rPr>
              <w:tab/>
            </w:r>
            <w:r>
              <w:rPr>
                <w:noProof/>
                <w:webHidden/>
              </w:rPr>
              <w:fldChar w:fldCharType="begin"/>
            </w:r>
            <w:r>
              <w:rPr>
                <w:noProof/>
                <w:webHidden/>
              </w:rPr>
              <w:instrText xml:space="preserve"> PAGEREF _Toc478923356 \h </w:instrText>
            </w:r>
            <w:r>
              <w:rPr>
                <w:noProof/>
                <w:webHidden/>
              </w:rPr>
            </w:r>
            <w:r>
              <w:rPr>
                <w:noProof/>
                <w:webHidden/>
              </w:rPr>
              <w:fldChar w:fldCharType="separate"/>
            </w:r>
            <w:r w:rsidR="00B17641">
              <w:rPr>
                <w:noProof/>
                <w:webHidden/>
              </w:rPr>
              <w:t>15</w:t>
            </w:r>
            <w:r>
              <w:rPr>
                <w:noProof/>
                <w:webHidden/>
              </w:rPr>
              <w:fldChar w:fldCharType="end"/>
            </w:r>
          </w:hyperlink>
        </w:p>
        <w:p w:rsidR="0049656A" w:rsidRDefault="0049656A">
          <w:pPr>
            <w:pStyle w:val="Verzeichnis2"/>
            <w:tabs>
              <w:tab w:val="right" w:leader="dot" w:pos="9062"/>
            </w:tabs>
            <w:rPr>
              <w:rFonts w:asciiTheme="minorHAnsi" w:eastAsiaTheme="minorEastAsia" w:hAnsiTheme="minorHAnsi"/>
              <w:noProof/>
              <w:sz w:val="22"/>
              <w:lang w:eastAsia="de-DE"/>
            </w:rPr>
          </w:pPr>
          <w:hyperlink w:anchor="_Toc478923357" w:history="1">
            <w:r w:rsidRPr="002C4D90">
              <w:rPr>
                <w:rStyle w:val="Hyperlink"/>
                <w:noProof/>
              </w:rPr>
              <w:t>3.2 Durchflusszytometer</w:t>
            </w:r>
            <w:r>
              <w:rPr>
                <w:noProof/>
                <w:webHidden/>
              </w:rPr>
              <w:tab/>
            </w:r>
            <w:r>
              <w:rPr>
                <w:noProof/>
                <w:webHidden/>
              </w:rPr>
              <w:fldChar w:fldCharType="begin"/>
            </w:r>
            <w:r>
              <w:rPr>
                <w:noProof/>
                <w:webHidden/>
              </w:rPr>
              <w:instrText xml:space="preserve"> PAGEREF _Toc478923357 \h </w:instrText>
            </w:r>
            <w:r>
              <w:rPr>
                <w:noProof/>
                <w:webHidden/>
              </w:rPr>
            </w:r>
            <w:r>
              <w:rPr>
                <w:noProof/>
                <w:webHidden/>
              </w:rPr>
              <w:fldChar w:fldCharType="separate"/>
            </w:r>
            <w:r w:rsidR="00B17641">
              <w:rPr>
                <w:noProof/>
                <w:webHidden/>
              </w:rPr>
              <w:t>15</w:t>
            </w:r>
            <w:r>
              <w:rPr>
                <w:noProof/>
                <w:webHidden/>
              </w:rPr>
              <w:fldChar w:fldCharType="end"/>
            </w:r>
          </w:hyperlink>
        </w:p>
        <w:p w:rsidR="0049656A" w:rsidRDefault="0049656A">
          <w:pPr>
            <w:pStyle w:val="Verzeichnis1"/>
            <w:tabs>
              <w:tab w:val="right" w:leader="dot" w:pos="9062"/>
            </w:tabs>
            <w:rPr>
              <w:rFonts w:asciiTheme="minorHAnsi" w:eastAsiaTheme="minorEastAsia" w:hAnsiTheme="minorHAnsi"/>
              <w:noProof/>
              <w:sz w:val="22"/>
              <w:lang w:eastAsia="de-DE"/>
            </w:rPr>
          </w:pPr>
          <w:hyperlink w:anchor="_Toc478923358" w:history="1">
            <w:r w:rsidRPr="002C4D90">
              <w:rPr>
                <w:rStyle w:val="Hyperlink"/>
                <w:noProof/>
              </w:rPr>
              <w:t>4 Integration von Fluoreszenzdetektionssystemen in Liquid-Handling-Systeme</w:t>
            </w:r>
            <w:r>
              <w:rPr>
                <w:noProof/>
                <w:webHidden/>
              </w:rPr>
              <w:tab/>
            </w:r>
            <w:r>
              <w:rPr>
                <w:noProof/>
                <w:webHidden/>
              </w:rPr>
              <w:fldChar w:fldCharType="begin"/>
            </w:r>
            <w:r>
              <w:rPr>
                <w:noProof/>
                <w:webHidden/>
              </w:rPr>
              <w:instrText xml:space="preserve"> PAGEREF _Toc478923358 \h </w:instrText>
            </w:r>
            <w:r>
              <w:rPr>
                <w:noProof/>
                <w:webHidden/>
              </w:rPr>
            </w:r>
            <w:r>
              <w:rPr>
                <w:noProof/>
                <w:webHidden/>
              </w:rPr>
              <w:fldChar w:fldCharType="separate"/>
            </w:r>
            <w:r w:rsidR="00B17641">
              <w:rPr>
                <w:noProof/>
                <w:webHidden/>
              </w:rPr>
              <w:t>18</w:t>
            </w:r>
            <w:r>
              <w:rPr>
                <w:noProof/>
                <w:webHidden/>
              </w:rPr>
              <w:fldChar w:fldCharType="end"/>
            </w:r>
          </w:hyperlink>
        </w:p>
        <w:p w:rsidR="0049656A" w:rsidRDefault="0049656A">
          <w:pPr>
            <w:pStyle w:val="Verzeichnis2"/>
            <w:tabs>
              <w:tab w:val="right" w:leader="dot" w:pos="9062"/>
            </w:tabs>
            <w:rPr>
              <w:rFonts w:asciiTheme="minorHAnsi" w:eastAsiaTheme="minorEastAsia" w:hAnsiTheme="minorHAnsi"/>
              <w:noProof/>
              <w:sz w:val="22"/>
              <w:lang w:eastAsia="de-DE"/>
            </w:rPr>
          </w:pPr>
          <w:hyperlink w:anchor="_Toc478923359" w:history="1">
            <w:r w:rsidRPr="002C4D90">
              <w:rPr>
                <w:rStyle w:val="Hyperlink"/>
                <w:noProof/>
              </w:rPr>
              <w:t>4.1 Kommerzielle Systeme</w:t>
            </w:r>
            <w:r>
              <w:rPr>
                <w:noProof/>
                <w:webHidden/>
              </w:rPr>
              <w:tab/>
            </w:r>
            <w:r>
              <w:rPr>
                <w:noProof/>
                <w:webHidden/>
              </w:rPr>
              <w:fldChar w:fldCharType="begin"/>
            </w:r>
            <w:r>
              <w:rPr>
                <w:noProof/>
                <w:webHidden/>
              </w:rPr>
              <w:instrText xml:space="preserve"> PAGEREF _Toc478923359 \h </w:instrText>
            </w:r>
            <w:r>
              <w:rPr>
                <w:noProof/>
                <w:webHidden/>
              </w:rPr>
            </w:r>
            <w:r>
              <w:rPr>
                <w:noProof/>
                <w:webHidden/>
              </w:rPr>
              <w:fldChar w:fldCharType="separate"/>
            </w:r>
            <w:r w:rsidR="00B17641">
              <w:rPr>
                <w:noProof/>
                <w:webHidden/>
              </w:rPr>
              <w:t>18</w:t>
            </w:r>
            <w:r>
              <w:rPr>
                <w:noProof/>
                <w:webHidden/>
              </w:rPr>
              <w:fldChar w:fldCharType="end"/>
            </w:r>
          </w:hyperlink>
        </w:p>
        <w:p w:rsidR="0049656A" w:rsidRDefault="0049656A">
          <w:pPr>
            <w:pStyle w:val="Verzeichnis2"/>
            <w:tabs>
              <w:tab w:val="right" w:leader="dot" w:pos="9062"/>
            </w:tabs>
            <w:rPr>
              <w:rFonts w:asciiTheme="minorHAnsi" w:eastAsiaTheme="minorEastAsia" w:hAnsiTheme="minorHAnsi"/>
              <w:noProof/>
              <w:sz w:val="22"/>
              <w:lang w:eastAsia="de-DE"/>
            </w:rPr>
          </w:pPr>
          <w:hyperlink w:anchor="_Toc478923360" w:history="1">
            <w:r w:rsidRPr="002C4D90">
              <w:rPr>
                <w:rStyle w:val="Hyperlink"/>
                <w:noProof/>
              </w:rPr>
              <w:t>4.2 Alternative Konzeptionen</w:t>
            </w:r>
            <w:r>
              <w:rPr>
                <w:noProof/>
                <w:webHidden/>
              </w:rPr>
              <w:tab/>
            </w:r>
            <w:r>
              <w:rPr>
                <w:noProof/>
                <w:webHidden/>
              </w:rPr>
              <w:fldChar w:fldCharType="begin"/>
            </w:r>
            <w:r>
              <w:rPr>
                <w:noProof/>
                <w:webHidden/>
              </w:rPr>
              <w:instrText xml:space="preserve"> PAGEREF _Toc478923360 \h </w:instrText>
            </w:r>
            <w:r>
              <w:rPr>
                <w:noProof/>
                <w:webHidden/>
              </w:rPr>
            </w:r>
            <w:r>
              <w:rPr>
                <w:noProof/>
                <w:webHidden/>
              </w:rPr>
              <w:fldChar w:fldCharType="separate"/>
            </w:r>
            <w:r w:rsidR="00B17641">
              <w:rPr>
                <w:noProof/>
                <w:webHidden/>
              </w:rPr>
              <w:t>19</w:t>
            </w:r>
            <w:r>
              <w:rPr>
                <w:noProof/>
                <w:webHidden/>
              </w:rPr>
              <w:fldChar w:fldCharType="end"/>
            </w:r>
          </w:hyperlink>
        </w:p>
        <w:p w:rsidR="0049656A" w:rsidRDefault="0049656A">
          <w:pPr>
            <w:pStyle w:val="Verzeichnis2"/>
            <w:tabs>
              <w:tab w:val="right" w:leader="dot" w:pos="9062"/>
            </w:tabs>
            <w:rPr>
              <w:rFonts w:asciiTheme="minorHAnsi" w:eastAsiaTheme="minorEastAsia" w:hAnsiTheme="minorHAnsi"/>
              <w:noProof/>
              <w:sz w:val="22"/>
              <w:lang w:eastAsia="de-DE"/>
            </w:rPr>
          </w:pPr>
          <w:hyperlink w:anchor="_Toc478923361" w:history="1">
            <w:r w:rsidRPr="002C4D90">
              <w:rPr>
                <w:rStyle w:val="Hyperlink"/>
                <w:noProof/>
              </w:rPr>
              <w:t>4.3 Praktische Anwendung</w:t>
            </w:r>
            <w:r>
              <w:rPr>
                <w:noProof/>
                <w:webHidden/>
              </w:rPr>
              <w:tab/>
            </w:r>
            <w:r>
              <w:rPr>
                <w:noProof/>
                <w:webHidden/>
              </w:rPr>
              <w:fldChar w:fldCharType="begin"/>
            </w:r>
            <w:r>
              <w:rPr>
                <w:noProof/>
                <w:webHidden/>
              </w:rPr>
              <w:instrText xml:space="preserve"> PAGEREF _Toc478923361 \h </w:instrText>
            </w:r>
            <w:r>
              <w:rPr>
                <w:noProof/>
                <w:webHidden/>
              </w:rPr>
            </w:r>
            <w:r>
              <w:rPr>
                <w:noProof/>
                <w:webHidden/>
              </w:rPr>
              <w:fldChar w:fldCharType="separate"/>
            </w:r>
            <w:r w:rsidR="00B17641">
              <w:rPr>
                <w:noProof/>
                <w:webHidden/>
              </w:rPr>
              <w:t>23</w:t>
            </w:r>
            <w:r>
              <w:rPr>
                <w:noProof/>
                <w:webHidden/>
              </w:rPr>
              <w:fldChar w:fldCharType="end"/>
            </w:r>
          </w:hyperlink>
        </w:p>
        <w:p w:rsidR="0049656A" w:rsidRDefault="0049656A">
          <w:pPr>
            <w:pStyle w:val="Verzeichnis1"/>
            <w:tabs>
              <w:tab w:val="right" w:leader="dot" w:pos="9062"/>
            </w:tabs>
            <w:rPr>
              <w:rFonts w:asciiTheme="minorHAnsi" w:eastAsiaTheme="minorEastAsia" w:hAnsiTheme="minorHAnsi"/>
              <w:noProof/>
              <w:sz w:val="22"/>
              <w:lang w:eastAsia="de-DE"/>
            </w:rPr>
          </w:pPr>
          <w:hyperlink w:anchor="_Toc478923362" w:history="1">
            <w:r w:rsidRPr="002C4D90">
              <w:rPr>
                <w:rStyle w:val="Hyperlink"/>
                <w:noProof/>
              </w:rPr>
              <w:t>5 Zusammenfassung</w:t>
            </w:r>
            <w:r>
              <w:rPr>
                <w:noProof/>
                <w:webHidden/>
              </w:rPr>
              <w:tab/>
            </w:r>
            <w:r>
              <w:rPr>
                <w:noProof/>
                <w:webHidden/>
              </w:rPr>
              <w:fldChar w:fldCharType="begin"/>
            </w:r>
            <w:r>
              <w:rPr>
                <w:noProof/>
                <w:webHidden/>
              </w:rPr>
              <w:instrText xml:space="preserve"> PAGEREF _Toc478923362 \h </w:instrText>
            </w:r>
            <w:r>
              <w:rPr>
                <w:noProof/>
                <w:webHidden/>
              </w:rPr>
            </w:r>
            <w:r>
              <w:rPr>
                <w:noProof/>
                <w:webHidden/>
              </w:rPr>
              <w:fldChar w:fldCharType="separate"/>
            </w:r>
            <w:r w:rsidR="00B17641">
              <w:rPr>
                <w:noProof/>
                <w:webHidden/>
              </w:rPr>
              <w:t>27</w:t>
            </w:r>
            <w:r>
              <w:rPr>
                <w:noProof/>
                <w:webHidden/>
              </w:rPr>
              <w:fldChar w:fldCharType="end"/>
            </w:r>
          </w:hyperlink>
        </w:p>
        <w:p w:rsidR="0049656A" w:rsidRDefault="0049656A">
          <w:pPr>
            <w:pStyle w:val="Verzeichnis1"/>
            <w:tabs>
              <w:tab w:val="right" w:leader="dot" w:pos="9062"/>
            </w:tabs>
            <w:rPr>
              <w:rFonts w:asciiTheme="minorHAnsi" w:eastAsiaTheme="minorEastAsia" w:hAnsiTheme="minorHAnsi"/>
              <w:noProof/>
              <w:sz w:val="22"/>
              <w:lang w:eastAsia="de-DE"/>
            </w:rPr>
          </w:pPr>
          <w:hyperlink w:anchor="_Toc478923363" w:history="1">
            <w:r w:rsidRPr="002C4D90">
              <w:rPr>
                <w:rStyle w:val="Hyperlink"/>
                <w:noProof/>
              </w:rPr>
              <w:t>Literaturverzeichnis</w:t>
            </w:r>
            <w:r>
              <w:rPr>
                <w:noProof/>
                <w:webHidden/>
              </w:rPr>
              <w:tab/>
            </w:r>
            <w:r>
              <w:rPr>
                <w:noProof/>
                <w:webHidden/>
              </w:rPr>
              <w:fldChar w:fldCharType="begin"/>
            </w:r>
            <w:r>
              <w:rPr>
                <w:noProof/>
                <w:webHidden/>
              </w:rPr>
              <w:instrText xml:space="preserve"> PAGEREF _Toc478923363 \h </w:instrText>
            </w:r>
            <w:r>
              <w:rPr>
                <w:noProof/>
                <w:webHidden/>
              </w:rPr>
            </w:r>
            <w:r>
              <w:rPr>
                <w:noProof/>
                <w:webHidden/>
              </w:rPr>
              <w:fldChar w:fldCharType="separate"/>
            </w:r>
            <w:r w:rsidR="00B17641">
              <w:rPr>
                <w:noProof/>
                <w:webHidden/>
              </w:rPr>
              <w:t>29</w:t>
            </w:r>
            <w:r>
              <w:rPr>
                <w:noProof/>
                <w:webHidden/>
              </w:rPr>
              <w:fldChar w:fldCharType="end"/>
            </w:r>
          </w:hyperlink>
        </w:p>
        <w:p w:rsidR="00DB4BB6" w:rsidRDefault="00DB4BB6" w:rsidP="00DB4BB6">
          <w:r>
            <w:rPr>
              <w:b/>
              <w:bCs/>
            </w:rPr>
            <w:fldChar w:fldCharType="end"/>
          </w:r>
        </w:p>
      </w:sdtContent>
    </w:sdt>
    <w:p w:rsidR="00ED06F8" w:rsidRDefault="0074192E">
      <w:pPr>
        <w:jc w:val="left"/>
        <w:rPr>
          <w:rFonts w:eastAsiaTheme="majorEastAsia" w:cstheme="majorBidi"/>
          <w:b/>
          <w:bCs/>
          <w:sz w:val="36"/>
          <w:szCs w:val="28"/>
          <w:u w:val="single"/>
        </w:rPr>
        <w:sectPr w:rsidR="00ED06F8" w:rsidSect="00801116">
          <w:headerReference w:type="default" r:id="rId11"/>
          <w:footerReference w:type="default" r:id="rId12"/>
          <w:pgSz w:w="11906" w:h="16838"/>
          <w:pgMar w:top="1417" w:right="1417" w:bottom="1134" w:left="1417" w:header="708" w:footer="708" w:gutter="0"/>
          <w:pgNumType w:start="1"/>
          <w:cols w:space="708"/>
          <w:docGrid w:linePitch="360"/>
        </w:sectPr>
      </w:pPr>
      <w:r>
        <w:rPr>
          <w:rFonts w:eastAsiaTheme="majorEastAsia" w:cstheme="majorBidi"/>
          <w:b/>
          <w:bCs/>
          <w:sz w:val="36"/>
          <w:szCs w:val="28"/>
          <w:u w:val="single"/>
        </w:rPr>
        <w:br w:type="page"/>
      </w:r>
      <w:bookmarkStart w:id="1" w:name="_GoBack"/>
      <w:bookmarkEnd w:id="1"/>
    </w:p>
    <w:p w:rsidR="00ED06F8" w:rsidRDefault="00ED06F8">
      <w:pPr>
        <w:jc w:val="left"/>
        <w:rPr>
          <w:rFonts w:eastAsiaTheme="majorEastAsia" w:cstheme="majorBidi"/>
          <w:b/>
          <w:bCs/>
          <w:sz w:val="36"/>
          <w:szCs w:val="28"/>
          <w:u w:val="single"/>
        </w:rPr>
      </w:pPr>
      <w:r>
        <w:rPr>
          <w:rFonts w:eastAsiaTheme="majorEastAsia" w:cstheme="majorBidi"/>
          <w:b/>
          <w:bCs/>
          <w:sz w:val="36"/>
          <w:szCs w:val="28"/>
          <w:u w:val="single"/>
        </w:rPr>
        <w:lastRenderedPageBreak/>
        <w:t>Abbildungsverzeichnis</w:t>
      </w:r>
    </w:p>
    <w:p w:rsidR="0049656A" w:rsidRDefault="00ED06F8">
      <w:pPr>
        <w:pStyle w:val="Abbildungsverzeichnis"/>
        <w:tabs>
          <w:tab w:val="right" w:leader="dot" w:pos="9062"/>
        </w:tabs>
        <w:rPr>
          <w:rFonts w:asciiTheme="minorHAnsi" w:eastAsiaTheme="minorEastAsia" w:hAnsiTheme="minorHAnsi"/>
          <w:noProof/>
          <w:sz w:val="22"/>
          <w:lang w:eastAsia="de-DE"/>
        </w:rPr>
      </w:pPr>
      <w:r>
        <w:rPr>
          <w:rFonts w:eastAsiaTheme="majorEastAsia" w:cstheme="majorBidi"/>
          <w:b/>
          <w:bCs/>
          <w:sz w:val="36"/>
          <w:szCs w:val="28"/>
          <w:u w:val="single"/>
        </w:rPr>
        <w:fldChar w:fldCharType="begin"/>
      </w:r>
      <w:r>
        <w:rPr>
          <w:rFonts w:eastAsiaTheme="majorEastAsia" w:cstheme="majorBidi"/>
          <w:b/>
          <w:bCs/>
          <w:sz w:val="36"/>
          <w:szCs w:val="28"/>
          <w:u w:val="single"/>
        </w:rPr>
        <w:instrText xml:space="preserve"> TOC \h \z \c "Abbildung" </w:instrText>
      </w:r>
      <w:r>
        <w:rPr>
          <w:rFonts w:eastAsiaTheme="majorEastAsia" w:cstheme="majorBidi"/>
          <w:b/>
          <w:bCs/>
          <w:sz w:val="36"/>
          <w:szCs w:val="28"/>
          <w:u w:val="single"/>
        </w:rPr>
        <w:fldChar w:fldCharType="separate"/>
      </w:r>
      <w:hyperlink w:anchor="_Toc478923364" w:history="1">
        <w:r w:rsidR="0049656A" w:rsidRPr="0013339E">
          <w:rPr>
            <w:rStyle w:val="Hyperlink"/>
            <w:noProof/>
          </w:rPr>
          <w:t>Abbildung 1: Mögliche Elektronenübergänge zwischen Atomorbitalen</w:t>
        </w:r>
        <w:r w:rsidR="0049656A">
          <w:rPr>
            <w:noProof/>
            <w:webHidden/>
          </w:rPr>
          <w:tab/>
        </w:r>
        <w:r w:rsidR="0049656A">
          <w:rPr>
            <w:noProof/>
            <w:webHidden/>
          </w:rPr>
          <w:fldChar w:fldCharType="begin"/>
        </w:r>
        <w:r w:rsidR="0049656A">
          <w:rPr>
            <w:noProof/>
            <w:webHidden/>
          </w:rPr>
          <w:instrText xml:space="preserve"> PAGEREF _Toc478923364 \h </w:instrText>
        </w:r>
        <w:r w:rsidR="0049656A">
          <w:rPr>
            <w:noProof/>
            <w:webHidden/>
          </w:rPr>
        </w:r>
        <w:r w:rsidR="0049656A">
          <w:rPr>
            <w:noProof/>
            <w:webHidden/>
          </w:rPr>
          <w:fldChar w:fldCharType="separate"/>
        </w:r>
        <w:r w:rsidR="00B17641">
          <w:rPr>
            <w:noProof/>
            <w:webHidden/>
          </w:rPr>
          <w:t>4</w:t>
        </w:r>
        <w:r w:rsidR="0049656A">
          <w:rPr>
            <w:noProof/>
            <w:webHidden/>
          </w:rPr>
          <w:fldChar w:fldCharType="end"/>
        </w:r>
      </w:hyperlink>
    </w:p>
    <w:p w:rsidR="0049656A" w:rsidRDefault="0049656A">
      <w:pPr>
        <w:pStyle w:val="Abbildungsverzeichnis"/>
        <w:tabs>
          <w:tab w:val="right" w:leader="dot" w:pos="9062"/>
        </w:tabs>
        <w:rPr>
          <w:rFonts w:asciiTheme="minorHAnsi" w:eastAsiaTheme="minorEastAsia" w:hAnsiTheme="minorHAnsi"/>
          <w:noProof/>
          <w:sz w:val="22"/>
          <w:lang w:eastAsia="de-DE"/>
        </w:rPr>
      </w:pPr>
      <w:hyperlink w:anchor="_Toc478923365" w:history="1">
        <w:r w:rsidRPr="0013339E">
          <w:rPr>
            <w:rStyle w:val="Hyperlink"/>
            <w:noProof/>
          </w:rPr>
          <w:t>Abbildung 2: Prinzip der Fluoreszenz als Jablonski-Diagramm, bearbeitet nach [https://www.sita-process.com/uploads/RTEmagicC_Jablonski-Diagramm-D.jpg]</w:t>
        </w:r>
        <w:r>
          <w:rPr>
            <w:noProof/>
            <w:webHidden/>
          </w:rPr>
          <w:tab/>
        </w:r>
        <w:r>
          <w:rPr>
            <w:noProof/>
            <w:webHidden/>
          </w:rPr>
          <w:fldChar w:fldCharType="begin"/>
        </w:r>
        <w:r>
          <w:rPr>
            <w:noProof/>
            <w:webHidden/>
          </w:rPr>
          <w:instrText xml:space="preserve"> PAGEREF _Toc478923365 \h </w:instrText>
        </w:r>
        <w:r>
          <w:rPr>
            <w:noProof/>
            <w:webHidden/>
          </w:rPr>
        </w:r>
        <w:r>
          <w:rPr>
            <w:noProof/>
            <w:webHidden/>
          </w:rPr>
          <w:fldChar w:fldCharType="separate"/>
        </w:r>
        <w:r w:rsidR="00B17641">
          <w:rPr>
            <w:noProof/>
            <w:webHidden/>
          </w:rPr>
          <w:t>5</w:t>
        </w:r>
        <w:r>
          <w:rPr>
            <w:noProof/>
            <w:webHidden/>
          </w:rPr>
          <w:fldChar w:fldCharType="end"/>
        </w:r>
      </w:hyperlink>
    </w:p>
    <w:p w:rsidR="0049656A" w:rsidRDefault="0049656A">
      <w:pPr>
        <w:pStyle w:val="Abbildungsverzeichnis"/>
        <w:tabs>
          <w:tab w:val="right" w:leader="dot" w:pos="9062"/>
        </w:tabs>
        <w:rPr>
          <w:rFonts w:asciiTheme="minorHAnsi" w:eastAsiaTheme="minorEastAsia" w:hAnsiTheme="minorHAnsi"/>
          <w:noProof/>
          <w:sz w:val="22"/>
          <w:lang w:eastAsia="de-DE"/>
        </w:rPr>
      </w:pPr>
      <w:hyperlink w:anchor="_Toc478923366" w:history="1">
        <w:r w:rsidRPr="0013339E">
          <w:rPr>
            <w:rStyle w:val="Hyperlink"/>
            <w:noProof/>
          </w:rPr>
          <w:t>Abbildung 3: Allgemeines Anregungs- und Emissionspektrum eines Chromophoren (links) und der Zusammenhang zwischen Anregungswellenlänge (Ex1; Ex2) und der resultierenden Emissionsintensität (Em1; Em2) (rechts) [THERMO FISHER, 2017]</w:t>
        </w:r>
        <w:r>
          <w:rPr>
            <w:noProof/>
            <w:webHidden/>
          </w:rPr>
          <w:tab/>
        </w:r>
        <w:r>
          <w:rPr>
            <w:noProof/>
            <w:webHidden/>
          </w:rPr>
          <w:fldChar w:fldCharType="begin"/>
        </w:r>
        <w:r>
          <w:rPr>
            <w:noProof/>
            <w:webHidden/>
          </w:rPr>
          <w:instrText xml:space="preserve"> PAGEREF _Toc478923366 \h </w:instrText>
        </w:r>
        <w:r>
          <w:rPr>
            <w:noProof/>
            <w:webHidden/>
          </w:rPr>
        </w:r>
        <w:r>
          <w:rPr>
            <w:noProof/>
            <w:webHidden/>
          </w:rPr>
          <w:fldChar w:fldCharType="separate"/>
        </w:r>
        <w:r w:rsidR="00B17641">
          <w:rPr>
            <w:noProof/>
            <w:webHidden/>
          </w:rPr>
          <w:t>6</w:t>
        </w:r>
        <w:r>
          <w:rPr>
            <w:noProof/>
            <w:webHidden/>
          </w:rPr>
          <w:fldChar w:fldCharType="end"/>
        </w:r>
      </w:hyperlink>
    </w:p>
    <w:p w:rsidR="0049656A" w:rsidRDefault="0049656A">
      <w:pPr>
        <w:pStyle w:val="Abbildungsverzeichnis"/>
        <w:tabs>
          <w:tab w:val="right" w:leader="dot" w:pos="9062"/>
        </w:tabs>
        <w:rPr>
          <w:rFonts w:asciiTheme="minorHAnsi" w:eastAsiaTheme="minorEastAsia" w:hAnsiTheme="minorHAnsi"/>
          <w:noProof/>
          <w:sz w:val="22"/>
          <w:lang w:eastAsia="de-DE"/>
        </w:rPr>
      </w:pPr>
      <w:hyperlink w:anchor="_Toc478923367" w:history="1">
        <w:r w:rsidRPr="0013339E">
          <w:rPr>
            <w:rStyle w:val="Hyperlink"/>
            <w:noProof/>
          </w:rPr>
          <w:t>Abbildung 4: Einteilung typischer spektroskopischer Methoden nach Atom- und Molekülspektroskopie [GEY, 2014]</w:t>
        </w:r>
        <w:r>
          <w:rPr>
            <w:noProof/>
            <w:webHidden/>
          </w:rPr>
          <w:tab/>
        </w:r>
        <w:r>
          <w:rPr>
            <w:noProof/>
            <w:webHidden/>
          </w:rPr>
          <w:fldChar w:fldCharType="begin"/>
        </w:r>
        <w:r>
          <w:rPr>
            <w:noProof/>
            <w:webHidden/>
          </w:rPr>
          <w:instrText xml:space="preserve"> PAGEREF _Toc478923367 \h </w:instrText>
        </w:r>
        <w:r>
          <w:rPr>
            <w:noProof/>
            <w:webHidden/>
          </w:rPr>
        </w:r>
        <w:r>
          <w:rPr>
            <w:noProof/>
            <w:webHidden/>
          </w:rPr>
          <w:fldChar w:fldCharType="separate"/>
        </w:r>
        <w:r w:rsidR="00B17641">
          <w:rPr>
            <w:noProof/>
            <w:webHidden/>
          </w:rPr>
          <w:t>6</w:t>
        </w:r>
        <w:r>
          <w:rPr>
            <w:noProof/>
            <w:webHidden/>
          </w:rPr>
          <w:fldChar w:fldCharType="end"/>
        </w:r>
      </w:hyperlink>
    </w:p>
    <w:p w:rsidR="0049656A" w:rsidRDefault="0049656A">
      <w:pPr>
        <w:pStyle w:val="Abbildungsverzeichnis"/>
        <w:tabs>
          <w:tab w:val="right" w:leader="dot" w:pos="9062"/>
        </w:tabs>
        <w:rPr>
          <w:rFonts w:asciiTheme="minorHAnsi" w:eastAsiaTheme="minorEastAsia" w:hAnsiTheme="minorHAnsi"/>
          <w:noProof/>
          <w:sz w:val="22"/>
          <w:lang w:eastAsia="de-DE"/>
        </w:rPr>
      </w:pPr>
      <w:hyperlink w:anchor="_Toc478923368" w:history="1">
        <w:r w:rsidRPr="0013339E">
          <w:rPr>
            <w:rStyle w:val="Hyperlink"/>
            <w:noProof/>
          </w:rPr>
          <w:t>Abbildung 5: Schematische Anordnung eines Fluoreszenzspektrometers [GEY, 2014]</w:t>
        </w:r>
        <w:r>
          <w:rPr>
            <w:noProof/>
            <w:webHidden/>
          </w:rPr>
          <w:tab/>
        </w:r>
        <w:r>
          <w:rPr>
            <w:noProof/>
            <w:webHidden/>
          </w:rPr>
          <w:fldChar w:fldCharType="begin"/>
        </w:r>
        <w:r>
          <w:rPr>
            <w:noProof/>
            <w:webHidden/>
          </w:rPr>
          <w:instrText xml:space="preserve"> PAGEREF _Toc478923368 \h </w:instrText>
        </w:r>
        <w:r>
          <w:rPr>
            <w:noProof/>
            <w:webHidden/>
          </w:rPr>
        </w:r>
        <w:r>
          <w:rPr>
            <w:noProof/>
            <w:webHidden/>
          </w:rPr>
          <w:fldChar w:fldCharType="separate"/>
        </w:r>
        <w:r w:rsidR="00B17641">
          <w:rPr>
            <w:noProof/>
            <w:webHidden/>
          </w:rPr>
          <w:t>8</w:t>
        </w:r>
        <w:r>
          <w:rPr>
            <w:noProof/>
            <w:webHidden/>
          </w:rPr>
          <w:fldChar w:fldCharType="end"/>
        </w:r>
      </w:hyperlink>
    </w:p>
    <w:p w:rsidR="0049656A" w:rsidRDefault="0049656A">
      <w:pPr>
        <w:pStyle w:val="Abbildungsverzeichnis"/>
        <w:tabs>
          <w:tab w:val="right" w:leader="dot" w:pos="9062"/>
        </w:tabs>
        <w:rPr>
          <w:rFonts w:asciiTheme="minorHAnsi" w:eastAsiaTheme="minorEastAsia" w:hAnsiTheme="minorHAnsi"/>
          <w:noProof/>
          <w:sz w:val="22"/>
          <w:lang w:eastAsia="de-DE"/>
        </w:rPr>
      </w:pPr>
      <w:hyperlink w:anchor="_Toc478923369" w:history="1">
        <w:r w:rsidRPr="0013339E">
          <w:rPr>
            <w:rStyle w:val="Hyperlink"/>
            <w:noProof/>
          </w:rPr>
          <w:t>Abbildung 6: Schematischer Aufbau des SPECTRAmax GEMINI Spektralfluorometers [KECK, 2017]</w:t>
        </w:r>
        <w:r>
          <w:rPr>
            <w:noProof/>
            <w:webHidden/>
          </w:rPr>
          <w:tab/>
        </w:r>
        <w:r>
          <w:rPr>
            <w:noProof/>
            <w:webHidden/>
          </w:rPr>
          <w:fldChar w:fldCharType="begin"/>
        </w:r>
        <w:r>
          <w:rPr>
            <w:noProof/>
            <w:webHidden/>
          </w:rPr>
          <w:instrText xml:space="preserve"> PAGEREF _Toc478923369 \h </w:instrText>
        </w:r>
        <w:r>
          <w:rPr>
            <w:noProof/>
            <w:webHidden/>
          </w:rPr>
        </w:r>
        <w:r>
          <w:rPr>
            <w:noProof/>
            <w:webHidden/>
          </w:rPr>
          <w:fldChar w:fldCharType="separate"/>
        </w:r>
        <w:r w:rsidR="00B17641">
          <w:rPr>
            <w:noProof/>
            <w:webHidden/>
          </w:rPr>
          <w:t>9</w:t>
        </w:r>
        <w:r>
          <w:rPr>
            <w:noProof/>
            <w:webHidden/>
          </w:rPr>
          <w:fldChar w:fldCharType="end"/>
        </w:r>
      </w:hyperlink>
    </w:p>
    <w:p w:rsidR="0049656A" w:rsidRDefault="0049656A">
      <w:pPr>
        <w:pStyle w:val="Abbildungsverzeichnis"/>
        <w:tabs>
          <w:tab w:val="right" w:leader="dot" w:pos="9062"/>
        </w:tabs>
        <w:rPr>
          <w:rFonts w:asciiTheme="minorHAnsi" w:eastAsiaTheme="minorEastAsia" w:hAnsiTheme="minorHAnsi"/>
          <w:noProof/>
          <w:sz w:val="22"/>
          <w:lang w:eastAsia="de-DE"/>
        </w:rPr>
      </w:pPr>
      <w:hyperlink w:anchor="_Toc478923370" w:history="1">
        <w:r w:rsidRPr="0013339E">
          <w:rPr>
            <w:rStyle w:val="Hyperlink"/>
            <w:noProof/>
          </w:rPr>
          <w:t>Abbildung 7: Schematischer Aufbau eines Spektralfluorometers unter Nutzung eines dichroischen Spiegels [McGUINESS, 2010]</w:t>
        </w:r>
        <w:r>
          <w:rPr>
            <w:noProof/>
            <w:webHidden/>
          </w:rPr>
          <w:tab/>
        </w:r>
        <w:r>
          <w:rPr>
            <w:noProof/>
            <w:webHidden/>
          </w:rPr>
          <w:fldChar w:fldCharType="begin"/>
        </w:r>
        <w:r>
          <w:rPr>
            <w:noProof/>
            <w:webHidden/>
          </w:rPr>
          <w:instrText xml:space="preserve"> PAGEREF _Toc478923370 \h </w:instrText>
        </w:r>
        <w:r>
          <w:rPr>
            <w:noProof/>
            <w:webHidden/>
          </w:rPr>
        </w:r>
        <w:r>
          <w:rPr>
            <w:noProof/>
            <w:webHidden/>
          </w:rPr>
          <w:fldChar w:fldCharType="separate"/>
        </w:r>
        <w:r w:rsidR="00B17641">
          <w:rPr>
            <w:noProof/>
            <w:webHidden/>
          </w:rPr>
          <w:t>10</w:t>
        </w:r>
        <w:r>
          <w:rPr>
            <w:noProof/>
            <w:webHidden/>
          </w:rPr>
          <w:fldChar w:fldCharType="end"/>
        </w:r>
      </w:hyperlink>
    </w:p>
    <w:p w:rsidR="0049656A" w:rsidRDefault="0049656A">
      <w:pPr>
        <w:pStyle w:val="Abbildungsverzeichnis"/>
        <w:tabs>
          <w:tab w:val="right" w:leader="dot" w:pos="9062"/>
        </w:tabs>
        <w:rPr>
          <w:rFonts w:asciiTheme="minorHAnsi" w:eastAsiaTheme="minorEastAsia" w:hAnsiTheme="minorHAnsi"/>
          <w:noProof/>
          <w:sz w:val="22"/>
          <w:lang w:eastAsia="de-DE"/>
        </w:rPr>
      </w:pPr>
      <w:hyperlink w:anchor="_Toc478923371" w:history="1">
        <w:r w:rsidRPr="0013339E">
          <w:rPr>
            <w:rStyle w:val="Hyperlink"/>
            <w:noProof/>
          </w:rPr>
          <w:t>Abbildung 8: Schematischer Aufbau des CyAn ADP Durchflusszytometers [https://www.ucl.ac.uk/wibr/scientific-support/flow-cytometry1/facsdiag]</w:t>
        </w:r>
        <w:r>
          <w:rPr>
            <w:noProof/>
            <w:webHidden/>
          </w:rPr>
          <w:tab/>
        </w:r>
        <w:r>
          <w:rPr>
            <w:noProof/>
            <w:webHidden/>
          </w:rPr>
          <w:fldChar w:fldCharType="begin"/>
        </w:r>
        <w:r>
          <w:rPr>
            <w:noProof/>
            <w:webHidden/>
          </w:rPr>
          <w:instrText xml:space="preserve"> PAGEREF _Toc478923371 \h </w:instrText>
        </w:r>
        <w:r>
          <w:rPr>
            <w:noProof/>
            <w:webHidden/>
          </w:rPr>
        </w:r>
        <w:r>
          <w:rPr>
            <w:noProof/>
            <w:webHidden/>
          </w:rPr>
          <w:fldChar w:fldCharType="separate"/>
        </w:r>
        <w:r w:rsidR="00B17641">
          <w:rPr>
            <w:noProof/>
            <w:webHidden/>
          </w:rPr>
          <w:t>11</w:t>
        </w:r>
        <w:r>
          <w:rPr>
            <w:noProof/>
            <w:webHidden/>
          </w:rPr>
          <w:fldChar w:fldCharType="end"/>
        </w:r>
      </w:hyperlink>
    </w:p>
    <w:p w:rsidR="0049656A" w:rsidRDefault="0049656A">
      <w:pPr>
        <w:pStyle w:val="Abbildungsverzeichnis"/>
        <w:tabs>
          <w:tab w:val="right" w:leader="dot" w:pos="9062"/>
        </w:tabs>
        <w:rPr>
          <w:rFonts w:asciiTheme="minorHAnsi" w:eastAsiaTheme="minorEastAsia" w:hAnsiTheme="minorHAnsi"/>
          <w:noProof/>
          <w:sz w:val="22"/>
          <w:lang w:eastAsia="de-DE"/>
        </w:rPr>
      </w:pPr>
      <w:hyperlink w:anchor="_Toc478923372" w:history="1">
        <w:r w:rsidRPr="0013339E">
          <w:rPr>
            <w:rStyle w:val="Hyperlink"/>
            <w:noProof/>
          </w:rPr>
          <w:t>Abbildung 9: Eppendorf Xplorer</w:t>
        </w:r>
        <w:r w:rsidRPr="0013339E">
          <w:rPr>
            <w:rStyle w:val="Hyperlink"/>
            <w:rFonts w:cs="Times New Roman"/>
            <w:noProof/>
            <w:vertAlign w:val="superscript"/>
          </w:rPr>
          <w:t>®</w:t>
        </w:r>
        <w:r w:rsidRPr="0013339E">
          <w:rPr>
            <w:rStyle w:val="Hyperlink"/>
            <w:rFonts w:cs="Times New Roman"/>
            <w:noProof/>
          </w:rPr>
          <w:t xml:space="preserve"> plus</w:t>
        </w:r>
        <w:r w:rsidRPr="0013339E">
          <w:rPr>
            <w:rStyle w:val="Hyperlink"/>
            <w:noProof/>
          </w:rPr>
          <w:t xml:space="preserve"> Einkanalpipette [http://www.usascientific.com/productimages/liquidhand/main/eppendorf_xplorer.jpg]</w:t>
        </w:r>
        <w:r>
          <w:rPr>
            <w:noProof/>
            <w:webHidden/>
          </w:rPr>
          <w:tab/>
        </w:r>
        <w:r>
          <w:rPr>
            <w:noProof/>
            <w:webHidden/>
          </w:rPr>
          <w:fldChar w:fldCharType="begin"/>
        </w:r>
        <w:r>
          <w:rPr>
            <w:noProof/>
            <w:webHidden/>
          </w:rPr>
          <w:instrText xml:space="preserve"> PAGEREF _Toc478923372 \h </w:instrText>
        </w:r>
        <w:r>
          <w:rPr>
            <w:noProof/>
            <w:webHidden/>
          </w:rPr>
        </w:r>
        <w:r>
          <w:rPr>
            <w:noProof/>
            <w:webHidden/>
          </w:rPr>
          <w:fldChar w:fldCharType="separate"/>
        </w:r>
        <w:r w:rsidR="00B17641">
          <w:rPr>
            <w:noProof/>
            <w:webHidden/>
          </w:rPr>
          <w:t>12</w:t>
        </w:r>
        <w:r>
          <w:rPr>
            <w:noProof/>
            <w:webHidden/>
          </w:rPr>
          <w:fldChar w:fldCharType="end"/>
        </w:r>
      </w:hyperlink>
    </w:p>
    <w:p w:rsidR="0049656A" w:rsidRDefault="0049656A">
      <w:pPr>
        <w:pStyle w:val="Abbildungsverzeichnis"/>
        <w:tabs>
          <w:tab w:val="right" w:leader="dot" w:pos="9062"/>
        </w:tabs>
        <w:rPr>
          <w:rFonts w:asciiTheme="minorHAnsi" w:eastAsiaTheme="minorEastAsia" w:hAnsiTheme="minorHAnsi"/>
          <w:noProof/>
          <w:sz w:val="22"/>
          <w:lang w:eastAsia="de-DE"/>
        </w:rPr>
      </w:pPr>
      <w:hyperlink w:anchor="_Toc478923373" w:history="1">
        <w:r w:rsidRPr="0013339E">
          <w:rPr>
            <w:rStyle w:val="Hyperlink"/>
            <w:noProof/>
          </w:rPr>
          <w:t>Abbildung 10: Pipettierroboter Andrew 1000R-XL [ANDREW ALLIANCE, 2016]</w:t>
        </w:r>
        <w:r>
          <w:rPr>
            <w:noProof/>
            <w:webHidden/>
          </w:rPr>
          <w:tab/>
        </w:r>
        <w:r>
          <w:rPr>
            <w:noProof/>
            <w:webHidden/>
          </w:rPr>
          <w:fldChar w:fldCharType="begin"/>
        </w:r>
        <w:r>
          <w:rPr>
            <w:noProof/>
            <w:webHidden/>
          </w:rPr>
          <w:instrText xml:space="preserve"> PAGEREF _Toc478923373 \h </w:instrText>
        </w:r>
        <w:r>
          <w:rPr>
            <w:noProof/>
            <w:webHidden/>
          </w:rPr>
        </w:r>
        <w:r>
          <w:rPr>
            <w:noProof/>
            <w:webHidden/>
          </w:rPr>
          <w:fldChar w:fldCharType="separate"/>
        </w:r>
        <w:r w:rsidR="00B17641">
          <w:rPr>
            <w:noProof/>
            <w:webHidden/>
          </w:rPr>
          <w:t>12</w:t>
        </w:r>
        <w:r>
          <w:rPr>
            <w:noProof/>
            <w:webHidden/>
          </w:rPr>
          <w:fldChar w:fldCharType="end"/>
        </w:r>
      </w:hyperlink>
    </w:p>
    <w:p w:rsidR="0049656A" w:rsidRDefault="0049656A">
      <w:pPr>
        <w:pStyle w:val="Abbildungsverzeichnis"/>
        <w:tabs>
          <w:tab w:val="right" w:leader="dot" w:pos="9062"/>
        </w:tabs>
        <w:rPr>
          <w:rFonts w:asciiTheme="minorHAnsi" w:eastAsiaTheme="minorEastAsia" w:hAnsiTheme="minorHAnsi"/>
          <w:noProof/>
          <w:sz w:val="22"/>
          <w:lang w:eastAsia="de-DE"/>
        </w:rPr>
      </w:pPr>
      <w:hyperlink w:anchor="_Toc478923374" w:history="1">
        <w:r w:rsidRPr="0013339E">
          <w:rPr>
            <w:rStyle w:val="Hyperlink"/>
            <w:noProof/>
          </w:rPr>
          <w:t>Abbildung 11: Tecan Fluent</w:t>
        </w:r>
        <w:r w:rsidRPr="0013339E">
          <w:rPr>
            <w:rStyle w:val="Hyperlink"/>
            <w:rFonts w:cs="Times New Roman"/>
            <w:noProof/>
          </w:rPr>
          <w:t>™</w:t>
        </w:r>
        <w:r w:rsidRPr="0013339E">
          <w:rPr>
            <w:rStyle w:val="Hyperlink"/>
            <w:noProof/>
          </w:rPr>
          <w:t xml:space="preserve"> mit angeschlossenem System zur Lagerung und Kühlung von Mikrotiterplatten [TECAN, 2014]</w:t>
        </w:r>
        <w:r>
          <w:rPr>
            <w:noProof/>
            <w:webHidden/>
          </w:rPr>
          <w:tab/>
        </w:r>
        <w:r>
          <w:rPr>
            <w:noProof/>
            <w:webHidden/>
          </w:rPr>
          <w:fldChar w:fldCharType="begin"/>
        </w:r>
        <w:r>
          <w:rPr>
            <w:noProof/>
            <w:webHidden/>
          </w:rPr>
          <w:instrText xml:space="preserve"> PAGEREF _Toc478923374 \h </w:instrText>
        </w:r>
        <w:r>
          <w:rPr>
            <w:noProof/>
            <w:webHidden/>
          </w:rPr>
        </w:r>
        <w:r>
          <w:rPr>
            <w:noProof/>
            <w:webHidden/>
          </w:rPr>
          <w:fldChar w:fldCharType="separate"/>
        </w:r>
        <w:r w:rsidR="00B17641">
          <w:rPr>
            <w:noProof/>
            <w:webHidden/>
          </w:rPr>
          <w:t>13</w:t>
        </w:r>
        <w:r>
          <w:rPr>
            <w:noProof/>
            <w:webHidden/>
          </w:rPr>
          <w:fldChar w:fldCharType="end"/>
        </w:r>
      </w:hyperlink>
    </w:p>
    <w:p w:rsidR="0049656A" w:rsidRDefault="0049656A">
      <w:pPr>
        <w:pStyle w:val="Abbildungsverzeichnis"/>
        <w:tabs>
          <w:tab w:val="right" w:leader="dot" w:pos="9062"/>
        </w:tabs>
        <w:rPr>
          <w:rFonts w:asciiTheme="minorHAnsi" w:eastAsiaTheme="minorEastAsia" w:hAnsiTheme="minorHAnsi"/>
          <w:noProof/>
          <w:sz w:val="22"/>
          <w:lang w:eastAsia="de-DE"/>
        </w:rPr>
      </w:pPr>
      <w:hyperlink w:anchor="_Toc478923375" w:history="1">
        <w:r w:rsidRPr="0013339E">
          <w:rPr>
            <w:rStyle w:val="Hyperlink"/>
            <w:noProof/>
          </w:rPr>
          <w:t>Abbildung 12: Schematischer Aufbau eines Durchflusszytometers mit Zellsortierung [UEB, 2017]</w:t>
        </w:r>
        <w:r>
          <w:rPr>
            <w:noProof/>
            <w:webHidden/>
          </w:rPr>
          <w:tab/>
        </w:r>
        <w:r>
          <w:rPr>
            <w:noProof/>
            <w:webHidden/>
          </w:rPr>
          <w:fldChar w:fldCharType="begin"/>
        </w:r>
        <w:r>
          <w:rPr>
            <w:noProof/>
            <w:webHidden/>
          </w:rPr>
          <w:instrText xml:space="preserve"> PAGEREF _Toc478923375 \h </w:instrText>
        </w:r>
        <w:r>
          <w:rPr>
            <w:noProof/>
            <w:webHidden/>
          </w:rPr>
        </w:r>
        <w:r>
          <w:rPr>
            <w:noProof/>
            <w:webHidden/>
          </w:rPr>
          <w:fldChar w:fldCharType="separate"/>
        </w:r>
        <w:r w:rsidR="00B17641">
          <w:rPr>
            <w:noProof/>
            <w:webHidden/>
          </w:rPr>
          <w:t>16</w:t>
        </w:r>
        <w:r>
          <w:rPr>
            <w:noProof/>
            <w:webHidden/>
          </w:rPr>
          <w:fldChar w:fldCharType="end"/>
        </w:r>
      </w:hyperlink>
    </w:p>
    <w:p w:rsidR="0049656A" w:rsidRDefault="0049656A">
      <w:pPr>
        <w:pStyle w:val="Abbildungsverzeichnis"/>
        <w:tabs>
          <w:tab w:val="right" w:leader="dot" w:pos="9062"/>
        </w:tabs>
        <w:rPr>
          <w:rFonts w:asciiTheme="minorHAnsi" w:eastAsiaTheme="minorEastAsia" w:hAnsiTheme="minorHAnsi"/>
          <w:noProof/>
          <w:sz w:val="22"/>
          <w:lang w:eastAsia="de-DE"/>
        </w:rPr>
      </w:pPr>
      <w:hyperlink w:anchor="_Toc478923376" w:history="1">
        <w:r w:rsidRPr="0013339E">
          <w:rPr>
            <w:rStyle w:val="Hyperlink"/>
            <w:noProof/>
          </w:rPr>
          <w:t>Abbildung 13: Kopplung der Janus Workstation (links) mit dem EnSpire Multimode Plate Reader (rechts) mit Stacker [PERKINELMER, 2011]</w:t>
        </w:r>
        <w:r>
          <w:rPr>
            <w:noProof/>
            <w:webHidden/>
          </w:rPr>
          <w:tab/>
        </w:r>
        <w:r>
          <w:rPr>
            <w:noProof/>
            <w:webHidden/>
          </w:rPr>
          <w:fldChar w:fldCharType="begin"/>
        </w:r>
        <w:r>
          <w:rPr>
            <w:noProof/>
            <w:webHidden/>
          </w:rPr>
          <w:instrText xml:space="preserve"> PAGEREF _Toc478923376 \h </w:instrText>
        </w:r>
        <w:r>
          <w:rPr>
            <w:noProof/>
            <w:webHidden/>
          </w:rPr>
        </w:r>
        <w:r>
          <w:rPr>
            <w:noProof/>
            <w:webHidden/>
          </w:rPr>
          <w:fldChar w:fldCharType="separate"/>
        </w:r>
        <w:r w:rsidR="00B17641">
          <w:rPr>
            <w:noProof/>
            <w:webHidden/>
          </w:rPr>
          <w:t>19</w:t>
        </w:r>
        <w:r>
          <w:rPr>
            <w:noProof/>
            <w:webHidden/>
          </w:rPr>
          <w:fldChar w:fldCharType="end"/>
        </w:r>
      </w:hyperlink>
    </w:p>
    <w:p w:rsidR="0049656A" w:rsidRDefault="0049656A">
      <w:pPr>
        <w:pStyle w:val="Abbildungsverzeichnis"/>
        <w:tabs>
          <w:tab w:val="right" w:leader="dot" w:pos="9062"/>
        </w:tabs>
        <w:rPr>
          <w:rFonts w:asciiTheme="minorHAnsi" w:eastAsiaTheme="minorEastAsia" w:hAnsiTheme="minorHAnsi"/>
          <w:noProof/>
          <w:sz w:val="22"/>
          <w:lang w:eastAsia="de-DE"/>
        </w:rPr>
      </w:pPr>
      <w:hyperlink w:anchor="_Toc478923377" w:history="1">
        <w:r w:rsidRPr="0013339E">
          <w:rPr>
            <w:rStyle w:val="Hyperlink"/>
            <w:noProof/>
          </w:rPr>
          <w:t>Abbildung 14: Schematische Darstellung einer dedizierten Gerätekolonne für die vollautomatische Durchführung eines ELISA [TSURUTA, 1995]</w:t>
        </w:r>
        <w:r>
          <w:rPr>
            <w:noProof/>
            <w:webHidden/>
          </w:rPr>
          <w:tab/>
        </w:r>
        <w:r>
          <w:rPr>
            <w:noProof/>
            <w:webHidden/>
          </w:rPr>
          <w:fldChar w:fldCharType="begin"/>
        </w:r>
        <w:r>
          <w:rPr>
            <w:noProof/>
            <w:webHidden/>
          </w:rPr>
          <w:instrText xml:space="preserve"> PAGEREF _Toc478923377 \h </w:instrText>
        </w:r>
        <w:r>
          <w:rPr>
            <w:noProof/>
            <w:webHidden/>
          </w:rPr>
        </w:r>
        <w:r>
          <w:rPr>
            <w:noProof/>
            <w:webHidden/>
          </w:rPr>
          <w:fldChar w:fldCharType="separate"/>
        </w:r>
        <w:r w:rsidR="00B17641">
          <w:rPr>
            <w:noProof/>
            <w:webHidden/>
          </w:rPr>
          <w:t>22</w:t>
        </w:r>
        <w:r>
          <w:rPr>
            <w:noProof/>
            <w:webHidden/>
          </w:rPr>
          <w:fldChar w:fldCharType="end"/>
        </w:r>
      </w:hyperlink>
    </w:p>
    <w:p w:rsidR="0049656A" w:rsidRDefault="0049656A">
      <w:pPr>
        <w:pStyle w:val="Abbildungsverzeichnis"/>
        <w:tabs>
          <w:tab w:val="right" w:leader="dot" w:pos="9062"/>
        </w:tabs>
        <w:rPr>
          <w:rFonts w:asciiTheme="minorHAnsi" w:eastAsiaTheme="minorEastAsia" w:hAnsiTheme="minorHAnsi"/>
          <w:noProof/>
          <w:sz w:val="22"/>
          <w:lang w:eastAsia="de-DE"/>
        </w:rPr>
      </w:pPr>
      <w:hyperlink w:anchor="_Toc478923378" w:history="1">
        <w:r w:rsidRPr="0013339E">
          <w:rPr>
            <w:rStyle w:val="Hyperlink"/>
            <w:noProof/>
          </w:rPr>
          <w:t>Abbildung 15: Kopplung einer Freedom EVO 75 Pipettierstation mit einem Tecan Sunrise Plate Reader (rechter Rand) [TECAN B, 2016]</w:t>
        </w:r>
        <w:r>
          <w:rPr>
            <w:noProof/>
            <w:webHidden/>
          </w:rPr>
          <w:tab/>
        </w:r>
        <w:r>
          <w:rPr>
            <w:noProof/>
            <w:webHidden/>
          </w:rPr>
          <w:fldChar w:fldCharType="begin"/>
        </w:r>
        <w:r>
          <w:rPr>
            <w:noProof/>
            <w:webHidden/>
          </w:rPr>
          <w:instrText xml:space="preserve"> PAGEREF _Toc478923378 \h </w:instrText>
        </w:r>
        <w:r>
          <w:rPr>
            <w:noProof/>
            <w:webHidden/>
          </w:rPr>
        </w:r>
        <w:r>
          <w:rPr>
            <w:noProof/>
            <w:webHidden/>
          </w:rPr>
          <w:fldChar w:fldCharType="separate"/>
        </w:r>
        <w:r w:rsidR="00B17641">
          <w:rPr>
            <w:noProof/>
            <w:webHidden/>
          </w:rPr>
          <w:t>24</w:t>
        </w:r>
        <w:r>
          <w:rPr>
            <w:noProof/>
            <w:webHidden/>
          </w:rPr>
          <w:fldChar w:fldCharType="end"/>
        </w:r>
      </w:hyperlink>
    </w:p>
    <w:p w:rsidR="00774E14" w:rsidRDefault="00ED06F8">
      <w:pPr>
        <w:jc w:val="left"/>
        <w:rPr>
          <w:rFonts w:eastAsiaTheme="majorEastAsia" w:cstheme="majorBidi"/>
          <w:b/>
          <w:bCs/>
          <w:sz w:val="36"/>
          <w:szCs w:val="28"/>
          <w:u w:val="single"/>
        </w:rPr>
      </w:pPr>
      <w:r>
        <w:rPr>
          <w:rFonts w:eastAsiaTheme="majorEastAsia" w:cstheme="majorBidi"/>
          <w:b/>
          <w:bCs/>
          <w:sz w:val="36"/>
          <w:szCs w:val="28"/>
          <w:u w:val="single"/>
        </w:rPr>
        <w:fldChar w:fldCharType="end"/>
      </w:r>
    </w:p>
    <w:p w:rsidR="00ED06F8" w:rsidRDefault="00ED06F8">
      <w:pPr>
        <w:jc w:val="left"/>
        <w:sectPr w:rsidR="00ED06F8" w:rsidSect="00801116">
          <w:headerReference w:type="default" r:id="rId13"/>
          <w:pgSz w:w="11906" w:h="16838"/>
          <w:pgMar w:top="1417" w:right="1417" w:bottom="1134" w:left="1417" w:header="708" w:footer="708" w:gutter="0"/>
          <w:cols w:space="708"/>
          <w:docGrid w:linePitch="360"/>
        </w:sectPr>
      </w:pPr>
    </w:p>
    <w:p w:rsidR="00AF5D23" w:rsidRDefault="0023687B" w:rsidP="00921BE6">
      <w:pPr>
        <w:pStyle w:val="berschrift1"/>
      </w:pPr>
      <w:bookmarkStart w:id="2" w:name="_Toc478923348"/>
      <w:r>
        <w:lastRenderedPageBreak/>
        <w:t>1 Einleitung</w:t>
      </w:r>
      <w:bookmarkEnd w:id="2"/>
    </w:p>
    <w:p w:rsidR="0005429F" w:rsidRDefault="00E556E4" w:rsidP="00A3700B">
      <w:pPr>
        <w:pStyle w:val="berschrift2"/>
      </w:pPr>
      <w:bookmarkStart w:id="3" w:name="_Toc478923349"/>
      <w:r>
        <w:t>1.1</w:t>
      </w:r>
      <w:r w:rsidR="0005429F">
        <w:t xml:space="preserve"> Elektronenanregung</w:t>
      </w:r>
      <w:bookmarkEnd w:id="3"/>
    </w:p>
    <w:p w:rsidR="00255336" w:rsidRDefault="00152AF5" w:rsidP="00255336">
      <w:r>
        <w:t xml:space="preserve">Licht als eine Form der elektromagnetischen Strahlung weißt Eigenschaften auf, die sowohl auf einen Wellen- als auch auf einen Teilchencharakter schließen lassen. Dem Wellencharakter werden z.B. die Frequenz, Wellenlänge und Geschwindigkeit des Lichtes zugeordnet. Mit dem Teilchencharakter hingegen werden Phänomene wie die Absorption und Emission von Licht erklärt. </w:t>
      </w:r>
      <w:r w:rsidR="00BA2AF9">
        <w:t>In der Quantenmechanik wird die elektromagnetische Strahlung als eine Menge von Photonen aufgefasst. Photonen sind diskrete Energiequanten ohne Masse, die sich stets mit Lichtgeschwindigkeit bewegen</w:t>
      </w:r>
      <w:r w:rsidR="00205E02">
        <w:t xml:space="preserve">. </w:t>
      </w:r>
      <w:r w:rsidR="00BA2AF9">
        <w:t xml:space="preserve">Die Energie dieser </w:t>
      </w:r>
      <w:r w:rsidR="00205E02">
        <w:t xml:space="preserve">Teilchen kann anhand der Frequenz nach dem in </w:t>
      </w:r>
      <w:r w:rsidR="00BA2AF9">
        <w:fldChar w:fldCharType="begin"/>
      </w:r>
      <w:r w:rsidR="00BA2AF9">
        <w:instrText xml:space="preserve"> REF _Ref478848505 \h </w:instrText>
      </w:r>
      <w:r w:rsidR="00BA2AF9">
        <w:fldChar w:fldCharType="separate"/>
      </w:r>
      <w:r w:rsidR="00B17641">
        <w:t xml:space="preserve">Formel </w:t>
      </w:r>
      <w:r w:rsidR="00B17641">
        <w:rPr>
          <w:noProof/>
        </w:rPr>
        <w:t>1</w:t>
      </w:r>
      <w:r w:rsidR="00BA2AF9">
        <w:fldChar w:fldCharType="end"/>
      </w:r>
      <w:r w:rsidR="00205E02">
        <w:t xml:space="preserve"> gezeigten Gesetz </w:t>
      </w:r>
      <w:r w:rsidR="00BA2AF9">
        <w:t>berechnet werden.</w:t>
      </w:r>
    </w:p>
    <w:p w:rsidR="00205E02" w:rsidRDefault="00205E02" w:rsidP="00205E02">
      <w:pPr>
        <w:pStyle w:val="Beschriftung"/>
        <w:keepNext/>
      </w:pPr>
      <w:bookmarkStart w:id="4" w:name="_Ref478848505"/>
      <w:r>
        <w:t xml:space="preserve">Formel </w:t>
      </w:r>
      <w:fldSimple w:instr=" SEQ Formel \* ARABIC ">
        <w:r w:rsidR="00B17641">
          <w:rPr>
            <w:noProof/>
          </w:rPr>
          <w:t>1</w:t>
        </w:r>
      </w:fldSimple>
      <w:bookmarkEnd w:id="4"/>
      <w:r>
        <w:t>: Zusammenhang zwischen</w:t>
      </w:r>
      <w:r>
        <w:rPr>
          <w:noProof/>
        </w:rPr>
        <w:t xml:space="preserve"> Frequenz und Energie eines Photons</w:t>
      </w:r>
    </w:p>
    <w:p w:rsidR="00205E02" w:rsidRPr="00BA2AF9" w:rsidRDefault="00205E02" w:rsidP="00BA2AF9">
      <w:pPr>
        <w:spacing w:after="0"/>
        <w:rPr>
          <w:rFonts w:eastAsiaTheme="minorEastAsia"/>
        </w:rPr>
      </w:pPr>
      <m:oMathPara>
        <m:oMathParaPr>
          <m:jc m:val="left"/>
        </m:oMathParaPr>
        <m:oMath>
          <m:r>
            <w:rPr>
              <w:rFonts w:ascii="Cambria Math" w:hAnsi="Cambria Math"/>
            </w:rPr>
            <m:t>E=h*f</m:t>
          </m:r>
        </m:oMath>
      </m:oMathPara>
    </w:p>
    <w:p w:rsidR="00BA2AF9" w:rsidRDefault="00BA2AF9" w:rsidP="00BA2AF9">
      <w:pPr>
        <w:spacing w:after="0"/>
        <w:rPr>
          <w:rFonts w:eastAsiaTheme="minorEastAsia"/>
        </w:rPr>
      </w:pPr>
      <w:r>
        <w:rPr>
          <w:rFonts w:eastAsiaTheme="minorEastAsia"/>
        </w:rPr>
        <w:t>E… Energie des Photons</w:t>
      </w:r>
    </w:p>
    <w:p w:rsidR="00BA2AF9" w:rsidRDefault="00BA2AF9" w:rsidP="00BA2AF9">
      <w:pPr>
        <w:spacing w:after="0"/>
        <w:rPr>
          <w:rFonts w:eastAsiaTheme="minorEastAsia"/>
        </w:rPr>
      </w:pPr>
      <w:r>
        <w:rPr>
          <w:rFonts w:eastAsiaTheme="minorEastAsia"/>
        </w:rPr>
        <w:t>h… Plancksches Wirkungsquantum</w:t>
      </w:r>
    </w:p>
    <w:p w:rsidR="00BA2AF9" w:rsidRDefault="00BA2AF9" w:rsidP="00BA2AF9">
      <w:pPr>
        <w:spacing w:after="0"/>
        <w:rPr>
          <w:rFonts w:eastAsiaTheme="minorEastAsia"/>
        </w:rPr>
      </w:pPr>
      <w:r>
        <w:rPr>
          <w:rFonts w:eastAsiaTheme="minorEastAsia"/>
        </w:rPr>
        <w:t>f… Frequenz des Photons</w:t>
      </w:r>
    </w:p>
    <w:p w:rsidR="00BA2AF9" w:rsidRPr="00205E02" w:rsidRDefault="00BA2AF9" w:rsidP="00BA2AF9">
      <w:pPr>
        <w:spacing w:after="0"/>
      </w:pPr>
    </w:p>
    <w:p w:rsidR="00930538" w:rsidRPr="00930538" w:rsidRDefault="00930538" w:rsidP="00930538">
      <w:r>
        <w:t xml:space="preserve">Bei dem Übergang von </w:t>
      </w:r>
      <w:r w:rsidR="00B14B7E">
        <w:t>elektromagnetischer Strahlung</w:t>
      </w:r>
      <w:r>
        <w:t xml:space="preserve"> aus Luft in ein optisch dichteres Medium, wie eine Probensubstanz, treten Wechselwirkungen zwischen der elektromagnetischen Strahlung und den Bindungselektronen der Probe auf. In bestimmten Fällen wird von einem Atom oder einem Molekül eine diskrete Energiemenge in Form eines </w:t>
      </w:r>
      <w:r w:rsidR="00205E02">
        <w:t>Photons</w:t>
      </w:r>
      <w:r>
        <w:t xml:space="preserve"> aufgenommen. Dabei wird ein Elektron vom Grundzustand in einen angeregten Zustand versetzt. </w:t>
      </w:r>
      <w:r w:rsidR="002350C7">
        <w:t xml:space="preserve">Diese diskreten Übergänge sind in </w:t>
      </w:r>
      <w:r w:rsidR="002350C7">
        <w:fldChar w:fldCharType="begin"/>
      </w:r>
      <w:r w:rsidR="002350C7">
        <w:instrText xml:space="preserve"> REF _Ref476904282 \h </w:instrText>
      </w:r>
      <w:r w:rsidR="002350C7">
        <w:fldChar w:fldCharType="separate"/>
      </w:r>
      <w:r w:rsidR="00B17641">
        <w:t xml:space="preserve">Abbildung </w:t>
      </w:r>
      <w:r w:rsidR="00B17641">
        <w:rPr>
          <w:noProof/>
        </w:rPr>
        <w:t>1</w:t>
      </w:r>
      <w:r w:rsidR="002350C7">
        <w:fldChar w:fldCharType="end"/>
      </w:r>
      <w:r w:rsidR="002350C7">
        <w:t xml:space="preserve"> gezeigt.</w:t>
      </w:r>
      <w:r w:rsidR="00255336">
        <w:t xml:space="preserve"> </w:t>
      </w:r>
      <w:r w:rsidR="00BA2AF9">
        <w:t>Der Übergang ist nur möglich, wenn die Energie des Photons exakt der Energiedifferenz des Grund- und angeregten Zustandes entspricht. Bei den Übergängen aus dem angeregten in den Grundzustand kommt es zu der Emission von Energie in Form eines weiteren Photons der entsprechenden Wellenlänge.</w:t>
      </w:r>
    </w:p>
    <w:p w:rsidR="00766668" w:rsidRDefault="0005429F" w:rsidP="00766668">
      <w:pPr>
        <w:keepNext/>
      </w:pPr>
      <w:r>
        <w:rPr>
          <w:noProof/>
          <w:lang w:eastAsia="de-DE"/>
        </w:rPr>
        <w:lastRenderedPageBreak/>
        <w:drawing>
          <wp:inline distT="0" distB="0" distL="0" distR="0" wp14:anchorId="7B33ADE3" wp14:editId="08A2DCB2">
            <wp:extent cx="2838450" cy="423529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2838450" cy="4235290"/>
                    </a:xfrm>
                    <a:prstGeom prst="rect">
                      <a:avLst/>
                    </a:prstGeom>
                  </pic:spPr>
                </pic:pic>
              </a:graphicData>
            </a:graphic>
          </wp:inline>
        </w:drawing>
      </w:r>
    </w:p>
    <w:p w:rsidR="0005429F" w:rsidRDefault="00766668" w:rsidP="00766668">
      <w:pPr>
        <w:pStyle w:val="Beschriftung"/>
      </w:pPr>
      <w:bookmarkStart w:id="5" w:name="_Ref476904282"/>
      <w:bookmarkStart w:id="6" w:name="_Toc478923364"/>
      <w:r>
        <w:t xml:space="preserve">Abbildung </w:t>
      </w:r>
      <w:fldSimple w:instr=" SEQ Abbildung \* ARABIC ">
        <w:r w:rsidR="00B17641">
          <w:rPr>
            <w:noProof/>
          </w:rPr>
          <w:t>1</w:t>
        </w:r>
      </w:fldSimple>
      <w:bookmarkEnd w:id="5"/>
      <w:r>
        <w:t xml:space="preserve">: </w:t>
      </w:r>
      <w:r w:rsidR="00771C61">
        <w:t>M</w:t>
      </w:r>
      <w:r w:rsidR="00A8356D">
        <w:t xml:space="preserve">ögliche </w:t>
      </w:r>
      <w:r>
        <w:t xml:space="preserve">Elektronenübergänge </w:t>
      </w:r>
      <w:r w:rsidR="00A8356D">
        <w:t xml:space="preserve">zwischen </w:t>
      </w:r>
      <w:r>
        <w:t>Atomorbital</w:t>
      </w:r>
      <w:r w:rsidR="00A8356D">
        <w:t>en</w:t>
      </w:r>
      <w:bookmarkEnd w:id="6"/>
    </w:p>
    <w:p w:rsidR="00E53BF3" w:rsidRPr="00F825B2" w:rsidRDefault="00861BC7" w:rsidP="00F825B2">
      <w:r>
        <w:t xml:space="preserve">Die </w:t>
      </w:r>
      <w:r w:rsidR="002350C7">
        <w:t>bei dem Übergang aufgenommene bzw. abgegebene</w:t>
      </w:r>
      <w:r>
        <w:t xml:space="preserve"> Energiemenge hängt dabei von dem Grundzustand und dem zu erreichenden angeregten Z</w:t>
      </w:r>
      <w:r w:rsidR="002350C7">
        <w:t>ustand des angeregten Elektrons</w:t>
      </w:r>
      <w:r>
        <w:t xml:space="preserve">. </w:t>
      </w:r>
      <w:r w:rsidR="002350C7">
        <w:t>In der Abbildung ist die Energie proportional zu der Pfeillänge</w:t>
      </w:r>
      <w:r w:rsidR="00BF2847">
        <w:t>. Der energiereichst</w:t>
      </w:r>
      <w:r w:rsidR="002350C7">
        <w:t>e Übergang ist</w:t>
      </w:r>
      <w:r>
        <w:t xml:space="preserve"> </w:t>
      </w:r>
      <w:r w:rsidR="002350C7">
        <w:t xml:space="preserve">der </w:t>
      </w:r>
      <w:proofErr w:type="spellStart"/>
      <w:r w:rsidR="002350C7" w:rsidRPr="002350C7">
        <w:t>σ→σ</w:t>
      </w:r>
      <w:proofErr w:type="spellEnd"/>
      <w:r w:rsidR="002350C7" w:rsidRPr="002350C7">
        <w:t>*</w:t>
      </w:r>
      <w:r w:rsidR="002350C7">
        <w:t xml:space="preserve">-Übergang. Dieser Übergang tritt im Vakuum-UV-Bereich bei gesättigten Kohlenwasserstoffen auf, beispielsweise bei der Anregung von Methan mit einer Wellenlänge von 210 nm. Da für diese Messungen in der Regel spezielle Spektrometer mit Vakuumküvetten nötig sind, ist dieser Übergang in der Praxis kaum relevant. Der </w:t>
      </w:r>
      <w:r w:rsidR="002350C7">
        <w:rPr>
          <w:rFonts w:ascii="Verdana-Italic" w:hAnsi="Verdana-Italic" w:cs="Verdana-Italic"/>
          <w:i/>
          <w:iCs/>
        </w:rPr>
        <w:t xml:space="preserve">n </w:t>
      </w:r>
      <w:r w:rsidR="002350C7" w:rsidRPr="0005429F">
        <w:t>→σ*</w:t>
      </w:r>
      <w:r w:rsidR="002350C7">
        <w:t>-Übergang ist besonders für Verbindungen mit Heteroatomen von Bedeutung</w:t>
      </w:r>
      <w:r w:rsidR="00F825B2">
        <w:t xml:space="preserve">. Im UV-Vakuum-Bereich zeigen etwa Wasser bei 167 </w:t>
      </w:r>
      <w:proofErr w:type="spellStart"/>
      <w:r w:rsidR="00F825B2">
        <w:t>nm</w:t>
      </w:r>
      <w:proofErr w:type="spellEnd"/>
      <w:r w:rsidR="00F825B2">
        <w:t xml:space="preserve"> und Methanol bei 184 </w:t>
      </w:r>
      <w:proofErr w:type="spellStart"/>
      <w:r w:rsidR="00F825B2">
        <w:t>nm</w:t>
      </w:r>
      <w:proofErr w:type="spellEnd"/>
      <w:r w:rsidR="00F825B2">
        <w:t xml:space="preserve"> Absorptionen. Ohne Vakuum zeigen Verbindungen wie CH</w:t>
      </w:r>
      <w:r w:rsidR="00F825B2">
        <w:rPr>
          <w:sz w:val="13"/>
          <w:szCs w:val="13"/>
        </w:rPr>
        <w:t>3</w:t>
      </w:r>
      <w:r w:rsidR="00F825B2">
        <w:t>NH</w:t>
      </w:r>
      <w:r w:rsidR="00F825B2">
        <w:rPr>
          <w:sz w:val="13"/>
          <w:szCs w:val="13"/>
        </w:rPr>
        <w:t xml:space="preserve">2 </w:t>
      </w:r>
      <w:r w:rsidR="00F825B2" w:rsidRPr="00F825B2">
        <w:t>bei</w:t>
      </w:r>
      <w:r w:rsidR="00F825B2">
        <w:t xml:space="preserve"> 215 </w:t>
      </w:r>
      <w:proofErr w:type="spellStart"/>
      <w:r w:rsidR="00F825B2">
        <w:t>nm</w:t>
      </w:r>
      <w:proofErr w:type="spellEnd"/>
      <w:r w:rsidR="00F825B2">
        <w:t xml:space="preserve"> oder (CH</w:t>
      </w:r>
      <w:r w:rsidR="00F825B2">
        <w:rPr>
          <w:sz w:val="13"/>
          <w:szCs w:val="13"/>
        </w:rPr>
        <w:t>3</w:t>
      </w:r>
      <w:r w:rsidR="00F825B2">
        <w:t>)</w:t>
      </w:r>
      <w:r w:rsidR="00F825B2">
        <w:rPr>
          <w:sz w:val="13"/>
          <w:szCs w:val="13"/>
        </w:rPr>
        <w:t>3</w:t>
      </w:r>
      <w:r w:rsidR="00F825B2">
        <w:t>NH</w:t>
      </w:r>
      <w:r w:rsidR="00F825B2">
        <w:rPr>
          <w:sz w:val="13"/>
          <w:szCs w:val="13"/>
        </w:rPr>
        <w:t xml:space="preserve">2 </w:t>
      </w:r>
      <w:r w:rsidR="00F825B2" w:rsidRPr="00F825B2">
        <w:t>bei</w:t>
      </w:r>
      <w:r w:rsidR="00F825B2">
        <w:t xml:space="preserve"> 227 </w:t>
      </w:r>
      <w:proofErr w:type="spellStart"/>
      <w:r w:rsidR="00F825B2">
        <w:t>nm</w:t>
      </w:r>
      <w:proofErr w:type="spellEnd"/>
      <w:r w:rsidR="00F825B2">
        <w:t xml:space="preserve"> Absorptionsmaxima. [GEY, 2014]</w:t>
      </w:r>
    </w:p>
    <w:p w:rsidR="00F825B2" w:rsidRDefault="00F825B2" w:rsidP="0005429F">
      <w:r>
        <w:t xml:space="preserve">Für die Fluoreszenzmessung sind die Elektronenübergänge </w:t>
      </w:r>
      <w:r>
        <w:rPr>
          <w:rFonts w:ascii="TimesNewRomanPS-ItalicMT" w:hAnsi="TimesNewRomanPS-ItalicMT" w:cs="TimesNewRomanPS-ItalicMT"/>
          <w:i/>
          <w:iCs/>
        </w:rPr>
        <w:t>n</w:t>
      </w:r>
      <w:r w:rsidRPr="0005429F">
        <w:t>→</w:t>
      </w:r>
      <w:r>
        <w:rPr>
          <w:rFonts w:cs="Times New Roman"/>
        </w:rPr>
        <w:t>π</w:t>
      </w:r>
      <w:r>
        <w:t xml:space="preserve">* und </w:t>
      </w:r>
      <w:r>
        <w:rPr>
          <w:rFonts w:cs="Times New Roman"/>
        </w:rPr>
        <w:t>π</w:t>
      </w:r>
      <w:r w:rsidRPr="0005429F">
        <w:t xml:space="preserve"> →</w:t>
      </w:r>
      <w:r>
        <w:rPr>
          <w:rFonts w:cs="Times New Roman"/>
        </w:rPr>
        <w:t>π</w:t>
      </w:r>
      <w:r>
        <w:t xml:space="preserve">* besonders wichtig. Verglichen mit </w:t>
      </w:r>
      <w:r w:rsidRPr="0005429F">
        <w:t>σ</w:t>
      </w:r>
      <w:r>
        <w:t xml:space="preserve">-Elektronen sind </w:t>
      </w:r>
      <w:r>
        <w:rPr>
          <w:rFonts w:cs="Times New Roman"/>
        </w:rPr>
        <w:t>π</w:t>
      </w:r>
      <w:r>
        <w:t xml:space="preserve">-Elektronen leichter </w:t>
      </w:r>
      <w:proofErr w:type="spellStart"/>
      <w:r>
        <w:t>anregbar</w:t>
      </w:r>
      <w:proofErr w:type="spellEnd"/>
      <w:r>
        <w:t xml:space="preserve"> und Stoffe, die diese Übergänge zeigen, weißen meist signifikante UV/VIS-Spektren auf.</w:t>
      </w:r>
    </w:p>
    <w:p w:rsidR="00A3700B" w:rsidRDefault="00E556E4" w:rsidP="00E556E4">
      <w:pPr>
        <w:pStyle w:val="berschrift2"/>
      </w:pPr>
      <w:bookmarkStart w:id="7" w:name="_Toc478923350"/>
      <w:r>
        <w:t xml:space="preserve">1.2 </w:t>
      </w:r>
      <w:r w:rsidR="00A3700B">
        <w:t>Fluoreszenz</w:t>
      </w:r>
      <w:bookmarkEnd w:id="7"/>
    </w:p>
    <w:p w:rsidR="00A3700B" w:rsidRDefault="00ED4545" w:rsidP="00A3700B">
      <w:r>
        <w:t>Als Fl</w:t>
      </w:r>
      <w:r w:rsidR="00A3700B">
        <w:t>u</w:t>
      </w:r>
      <w:r>
        <w:t>o</w:t>
      </w:r>
      <w:r w:rsidR="00A3700B">
        <w:t xml:space="preserve">reszenz wird die spontane </w:t>
      </w:r>
      <w:r>
        <w:t>Emission</w:t>
      </w:r>
      <w:r w:rsidR="00A3700B">
        <w:t xml:space="preserve"> von Licht kurz nach der Anregung eines Materials bezeichnet. Erfolgt die Anregung durch absorbiertes Licht, ist das abgegebene Licht energieärmer als das absorbierte Licht. Materialen, in denen Fluoreszenz auftritt, heißen </w:t>
      </w:r>
      <w:r w:rsidR="00A3700B">
        <w:lastRenderedPageBreak/>
        <w:t>Fluorophore, ist es Teil eines Organismus spricht man von dem Auftreten von Biofluoreszenz.</w:t>
      </w:r>
      <w:r w:rsidR="004D413D">
        <w:t xml:space="preserve"> [GEY, 2014]</w:t>
      </w:r>
    </w:p>
    <w:p w:rsidR="00FC6C41" w:rsidRDefault="00FC6C41" w:rsidP="00A3700B">
      <w:r>
        <w:t xml:space="preserve">Bei der Fluoreszenz wird </w:t>
      </w:r>
      <w:r w:rsidR="00BB506E">
        <w:t>Licht</w:t>
      </w:r>
      <w:r>
        <w:t xml:space="preserve"> einer bestimmten Wellenlänge von dem Fluorophor absorbiert und mit dieser Energie ein Elektron auf ein höheres Energieniveau gehoben. Während dieses angeregten Zustandes verliert das Elektron durch molekulare Kollisionen oder Energieabgabe an benachbarte Moleküle ein wenig der aufgenommenen Energie und gibt dementsprechend bei </w:t>
      </w:r>
      <w:r w:rsidR="00BB506E">
        <w:t xml:space="preserve">dem Übergang in den Grundzustand Licht </w:t>
      </w:r>
      <w:r>
        <w:t>mit einer größeren Wellenlänge ab, als für die Anregung absorbiert wurde.</w:t>
      </w:r>
      <w:r w:rsidR="00C84950">
        <w:t xml:space="preserve"> Diese Verschiebung wird </w:t>
      </w:r>
      <w:proofErr w:type="spellStart"/>
      <w:r w:rsidR="00C84950">
        <w:t>Stokessche</w:t>
      </w:r>
      <w:proofErr w:type="spellEnd"/>
      <w:r w:rsidR="00C84950">
        <w:t xml:space="preserve"> Regel </w:t>
      </w:r>
      <w:r w:rsidR="00A9034B">
        <w:t>genannt</w:t>
      </w:r>
      <w:r w:rsidR="00C45905">
        <w:t>, der Abstand der Wellenlängen Stokes-</w:t>
      </w:r>
      <w:proofErr w:type="spellStart"/>
      <w:r w:rsidR="00C45905">
        <w:t>Shift</w:t>
      </w:r>
      <w:proofErr w:type="spellEnd"/>
      <w:r w:rsidR="00A9034B">
        <w:t>. Je größer d</w:t>
      </w:r>
      <w:r w:rsidR="00C45905">
        <w:t>er</w:t>
      </w:r>
      <w:r w:rsidR="00A9034B">
        <w:t xml:space="preserve"> </w:t>
      </w:r>
      <w:r w:rsidR="00C45905">
        <w:t>Stokes-</w:t>
      </w:r>
      <w:proofErr w:type="spellStart"/>
      <w:r w:rsidR="00C45905">
        <w:t>Shift</w:t>
      </w:r>
      <w:proofErr w:type="spellEnd"/>
      <w:r w:rsidR="00C45905">
        <w:t xml:space="preserve"> zwischen den W</w:t>
      </w:r>
      <w:r w:rsidR="00A9034B">
        <w:t>ellenlängen, desto weniger Überschneidungen zwischen dem zur Anregung verwendeten Licht und dem emittiert</w:t>
      </w:r>
      <w:r w:rsidR="0002002F">
        <w:t>en Licht treten auf.</w:t>
      </w:r>
      <w:r w:rsidR="00FF6BFF">
        <w:t xml:space="preserve"> </w:t>
      </w:r>
      <w:r w:rsidR="00680A00">
        <w:t>Entspricht die emittierte Wellenlänge der absorbierten W</w:t>
      </w:r>
      <w:r w:rsidR="00ED4545">
        <w:t>e</w:t>
      </w:r>
      <w:r w:rsidR="00680A00">
        <w:t>llenlänge</w:t>
      </w:r>
      <w:r w:rsidR="00FF6BFF">
        <w:t xml:space="preserve">, spricht man von </w:t>
      </w:r>
      <w:proofErr w:type="spellStart"/>
      <w:r w:rsidR="00FF6BFF">
        <w:t>Resonanzfloureszenz</w:t>
      </w:r>
      <w:proofErr w:type="spellEnd"/>
      <w:r w:rsidR="00FF6BFF">
        <w:t>.</w:t>
      </w:r>
      <w:r>
        <w:t xml:space="preserve"> Das Prinzip der Fluoreszenz ist in </w:t>
      </w:r>
      <w:r>
        <w:fldChar w:fldCharType="begin"/>
      </w:r>
      <w:r>
        <w:instrText xml:space="preserve"> REF _Ref476835065 \h </w:instrText>
      </w:r>
      <w:r>
        <w:fldChar w:fldCharType="separate"/>
      </w:r>
      <w:r w:rsidR="00B17641">
        <w:t xml:space="preserve">Abbildung </w:t>
      </w:r>
      <w:r w:rsidR="00B17641">
        <w:rPr>
          <w:noProof/>
        </w:rPr>
        <w:t>2</w:t>
      </w:r>
      <w:r>
        <w:fldChar w:fldCharType="end"/>
      </w:r>
      <w:r>
        <w:t xml:space="preserve"> gezeigt.</w:t>
      </w:r>
      <w:r w:rsidR="004D413D">
        <w:t xml:space="preserve"> [GEY, 2014; THERMO FISHER, 2017]</w:t>
      </w:r>
    </w:p>
    <w:p w:rsidR="00FC6C41" w:rsidRDefault="00BB506E" w:rsidP="00FC6C41">
      <w:pPr>
        <w:keepNext/>
      </w:pPr>
      <w:r>
        <w:rPr>
          <w:noProof/>
          <w:lang w:eastAsia="de-DE"/>
        </w:rPr>
        <w:drawing>
          <wp:inline distT="0" distB="0" distL="0" distR="0">
            <wp:extent cx="3155996" cy="2733675"/>
            <wp:effectExtent l="0" t="0" r="6350" b="0"/>
            <wp:docPr id="13" name="Grafik 13" descr="C:\Users\Martin\Desktop\flu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artin\Desktop\fluo.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55996" cy="2733675"/>
                    </a:xfrm>
                    <a:prstGeom prst="rect">
                      <a:avLst/>
                    </a:prstGeom>
                    <a:noFill/>
                    <a:ln>
                      <a:noFill/>
                    </a:ln>
                  </pic:spPr>
                </pic:pic>
              </a:graphicData>
            </a:graphic>
          </wp:inline>
        </w:drawing>
      </w:r>
    </w:p>
    <w:p w:rsidR="00FC6C41" w:rsidRDefault="00FC6C41" w:rsidP="00FC6C41">
      <w:pPr>
        <w:pStyle w:val="Beschriftung"/>
      </w:pPr>
      <w:bookmarkStart w:id="8" w:name="_Ref476835065"/>
      <w:bookmarkStart w:id="9" w:name="_Toc478923365"/>
      <w:r>
        <w:t xml:space="preserve">Abbildung </w:t>
      </w:r>
      <w:fldSimple w:instr=" SEQ Abbildung \* ARABIC ">
        <w:r w:rsidR="00B17641">
          <w:rPr>
            <w:noProof/>
          </w:rPr>
          <w:t>2</w:t>
        </w:r>
      </w:fldSimple>
      <w:bookmarkEnd w:id="8"/>
      <w:r>
        <w:t>: Prinzip der Fluoreszenz als Jablonski-Diagramm</w:t>
      </w:r>
      <w:r w:rsidR="004F76FA">
        <w:t>, bearbeitet nach</w:t>
      </w:r>
      <w:r w:rsidR="004D413D">
        <w:t xml:space="preserve"> [</w:t>
      </w:r>
      <w:r w:rsidR="004F76FA" w:rsidRPr="004F76FA">
        <w:t>https://www.sita-process.com/uploads/RTEmagicC_Jablonski-Diagramm</w:t>
      </w:r>
      <w:r w:rsidR="004F76FA">
        <w:t>-D.jpg</w:t>
      </w:r>
      <w:r w:rsidR="004D413D">
        <w:t>]</w:t>
      </w:r>
      <w:bookmarkEnd w:id="9"/>
    </w:p>
    <w:p w:rsidR="00FF6BFF" w:rsidRDefault="00FF6BFF" w:rsidP="00FC6C41">
      <w:r>
        <w:t xml:space="preserve">Sowohl die Anregungs- als auch die emittierte Wellenlänge sind charakteristisch für den jeweiligen Fluorophor. </w:t>
      </w:r>
      <w:r w:rsidR="00111695">
        <w:t xml:space="preserve">Stoffe mit ähnlichen Absorptionsmaxima müssen nicht zwangsläufig ähnliche Emissionsspektren zeigen. </w:t>
      </w:r>
      <w:r>
        <w:t>Monoatomare Fluorophore weißen diskrete Wellenlänge auf, während polyatomare Moleküle breitere Anregungs- und Emissionsspektren zeigen</w:t>
      </w:r>
      <w:r w:rsidR="00111695">
        <w:t xml:space="preserve">. </w:t>
      </w:r>
      <w:r w:rsidR="00C6499F">
        <w:t>Die Intensität de</w:t>
      </w:r>
      <w:r w:rsidR="0002002F">
        <w:t>s</w:t>
      </w:r>
      <w:r w:rsidR="00C6499F">
        <w:t xml:space="preserve"> emittierten </w:t>
      </w:r>
      <w:r w:rsidR="0002002F">
        <w:t>Lichts</w:t>
      </w:r>
      <w:r w:rsidR="00C6499F">
        <w:t xml:space="preserve"> ist abhängig von dem</w:t>
      </w:r>
      <w:r w:rsidR="0002002F">
        <w:t xml:space="preserve"> molaren Extinktionskoeffizient </w:t>
      </w:r>
      <w:r w:rsidR="00C6499F">
        <w:rPr>
          <w:rFonts w:cs="Times New Roman"/>
        </w:rPr>
        <w:t>ε</w:t>
      </w:r>
      <w:r w:rsidR="0002002F">
        <w:t xml:space="preserve"> und der Quantenausbeute </w:t>
      </w:r>
      <w:r w:rsidR="00C6499F">
        <w:rPr>
          <w:rFonts w:cs="Times New Roman"/>
        </w:rPr>
        <w:t>Φ</w:t>
      </w:r>
      <w:r w:rsidR="00C6499F">
        <w:t>. Der Extinktionskoeffizient beschreibt die Lichtmenge, die ein Fluorophor bei einer gegeb</w:t>
      </w:r>
      <w:r w:rsidR="00FB6D8E">
        <w:t xml:space="preserve">enen Wellenlänge aufnehmen kann, die Quantenausbeute ist das Verhältnis der absorbierten und emittierten Photonen und ist </w:t>
      </w:r>
      <w:proofErr w:type="spellStart"/>
      <w:r w:rsidR="00FB6D8E">
        <w:t>fluorophorspezifisch</w:t>
      </w:r>
      <w:proofErr w:type="spellEnd"/>
      <w:r w:rsidR="00FB6D8E">
        <w:t xml:space="preserve">. </w:t>
      </w:r>
      <w:r w:rsidR="00A9034B">
        <w:t xml:space="preserve">Anregungs- und Emissionsspektren von Fluorophoren können in einem Diagramm zusammengefasst werden (vergl. </w:t>
      </w:r>
      <w:r w:rsidR="004D413D">
        <w:fldChar w:fldCharType="begin"/>
      </w:r>
      <w:r w:rsidR="004D413D">
        <w:instrText xml:space="preserve"> REF _Ref477253266 \h </w:instrText>
      </w:r>
      <w:r w:rsidR="004D413D">
        <w:fldChar w:fldCharType="separate"/>
      </w:r>
      <w:r w:rsidR="00B17641">
        <w:t xml:space="preserve">Abbildung </w:t>
      </w:r>
      <w:r w:rsidR="00B17641">
        <w:rPr>
          <w:noProof/>
        </w:rPr>
        <w:t>3</w:t>
      </w:r>
      <w:r w:rsidR="004D413D">
        <w:fldChar w:fldCharType="end"/>
      </w:r>
      <w:r w:rsidR="00A9034B">
        <w:t>).</w:t>
      </w:r>
      <w:r w:rsidR="004D413D">
        <w:t xml:space="preserve"> [THERMO FISHER, 2017]</w:t>
      </w:r>
    </w:p>
    <w:p w:rsidR="00A9034B" w:rsidRDefault="00A9034B" w:rsidP="00A9034B">
      <w:pPr>
        <w:keepNext/>
      </w:pPr>
      <w:r>
        <w:rPr>
          <w:noProof/>
          <w:lang w:eastAsia="de-DE"/>
        </w:rPr>
        <w:lastRenderedPageBreak/>
        <w:drawing>
          <wp:inline distT="0" distB="0" distL="0" distR="0" wp14:anchorId="63DA04E4" wp14:editId="3DFA8601">
            <wp:extent cx="5760720" cy="1886102"/>
            <wp:effectExtent l="0" t="0" r="0" b="0"/>
            <wp:docPr id="9" name="Grafik 9" descr="Fluorescence-spectra-group-675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luorescence-spectra-group-675px"/>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1886102"/>
                    </a:xfrm>
                    <a:prstGeom prst="rect">
                      <a:avLst/>
                    </a:prstGeom>
                    <a:noFill/>
                    <a:ln>
                      <a:noFill/>
                    </a:ln>
                  </pic:spPr>
                </pic:pic>
              </a:graphicData>
            </a:graphic>
          </wp:inline>
        </w:drawing>
      </w:r>
    </w:p>
    <w:p w:rsidR="00A9034B" w:rsidRDefault="00A9034B" w:rsidP="00A9034B">
      <w:pPr>
        <w:pStyle w:val="Beschriftung"/>
        <w:rPr>
          <w:noProof/>
        </w:rPr>
      </w:pPr>
      <w:bookmarkStart w:id="10" w:name="_Ref477253266"/>
      <w:bookmarkStart w:id="11" w:name="_Toc478923366"/>
      <w:r>
        <w:t xml:space="preserve">Abbildung </w:t>
      </w:r>
      <w:fldSimple w:instr=" SEQ Abbildung \* ARABIC ">
        <w:r w:rsidR="00B17641">
          <w:rPr>
            <w:noProof/>
          </w:rPr>
          <w:t>3</w:t>
        </w:r>
      </w:fldSimple>
      <w:bookmarkEnd w:id="10"/>
      <w:r>
        <w:t xml:space="preserve">: Allgemeines Anregungs- und </w:t>
      </w:r>
      <w:proofErr w:type="spellStart"/>
      <w:r>
        <w:t>Emissionspek</w:t>
      </w:r>
      <w:r>
        <w:rPr>
          <w:noProof/>
        </w:rPr>
        <w:t>trum</w:t>
      </w:r>
      <w:proofErr w:type="spellEnd"/>
      <w:r>
        <w:rPr>
          <w:noProof/>
        </w:rPr>
        <w:t xml:space="preserve"> eines Chromophoren (links) und der Zusammenhang zwischen Anregungswellenlänge (Ex1; Ex2) und der resultierenden Emissionsintensität (Em1; Em2) (rechts)</w:t>
      </w:r>
      <w:r w:rsidR="004D413D">
        <w:rPr>
          <w:noProof/>
        </w:rPr>
        <w:t xml:space="preserve"> [THERMO FISHER, 2017]</w:t>
      </w:r>
      <w:bookmarkEnd w:id="11"/>
    </w:p>
    <w:p w:rsidR="00BF2847" w:rsidRPr="00BF2847" w:rsidRDefault="00BF2847" w:rsidP="00BF2847">
      <w:r>
        <w:t>Bei dem Elektronenübergang aus dem angeregten Zustand in den Grundzustand erfolgt bei der Fluoreszenz keine Umkehr des Elektronenspins. Der Übergang ist dadurch begünstigt und die Lebenszeit der Fluoreszenz dementsprechend nur wenige Millisekunden. [GEY, 2014]</w:t>
      </w:r>
    </w:p>
    <w:p w:rsidR="002C19F4" w:rsidRDefault="004D413D" w:rsidP="004D413D">
      <w:pPr>
        <w:pStyle w:val="berschrift2"/>
      </w:pPr>
      <w:bookmarkStart w:id="12" w:name="_Toc478923351"/>
      <w:r>
        <w:t xml:space="preserve">1.3 </w:t>
      </w:r>
      <w:r w:rsidR="00DA540B">
        <w:t>Spektroskopie</w:t>
      </w:r>
      <w:bookmarkEnd w:id="12"/>
    </w:p>
    <w:p w:rsidR="00C63FF0" w:rsidRPr="00C63FF0" w:rsidRDefault="00C63FF0" w:rsidP="00C63FF0">
      <w:r>
        <w:t xml:space="preserve">Die Spektroskopie ist die Gesamtheit der Methoden, die sich mit der Wechselwirkung zwischen elektromagnetischer Strahlung und Materie befassen. Materie ist dabei das zu analysierende Probenmaterial, also Ionen, Moleküle oder Atom- und Molekülverbände. Als Elektromagnetische Strahlung wird eine, sich mit Lichtgeschwindigkeit bewegende, Energieart bezeichnet, die unter anderem in Form von IR-, UV- oder sichtbarer Strahlung messbar ist. Die Spektroskopie wird nach Atom- und Molekülspektroskopie unterschieden (vgl. </w:t>
      </w:r>
      <w:r>
        <w:fldChar w:fldCharType="begin"/>
      </w:r>
      <w:r>
        <w:instrText xml:space="preserve"> REF _Ref476816261 \h </w:instrText>
      </w:r>
      <w:r>
        <w:fldChar w:fldCharType="separate"/>
      </w:r>
      <w:r w:rsidR="00B17641">
        <w:t xml:space="preserve">Abbildung </w:t>
      </w:r>
      <w:r w:rsidR="00B17641">
        <w:rPr>
          <w:noProof/>
        </w:rPr>
        <w:t>4</w:t>
      </w:r>
      <w:r>
        <w:fldChar w:fldCharType="end"/>
      </w:r>
      <w:r>
        <w:t>). [GEY, 2014]</w:t>
      </w:r>
    </w:p>
    <w:p w:rsidR="00DA540B" w:rsidRDefault="00DA540B" w:rsidP="00DA540B">
      <w:pPr>
        <w:keepNext/>
        <w:autoSpaceDE w:val="0"/>
        <w:autoSpaceDN w:val="0"/>
        <w:adjustRightInd w:val="0"/>
        <w:spacing w:after="0" w:line="240" w:lineRule="auto"/>
        <w:jc w:val="left"/>
      </w:pPr>
      <w:r>
        <w:rPr>
          <w:noProof/>
          <w:lang w:eastAsia="de-DE"/>
        </w:rPr>
        <w:drawing>
          <wp:inline distT="0" distB="0" distL="0" distR="0" wp14:anchorId="185B48E3" wp14:editId="0107F047">
            <wp:extent cx="3943350" cy="1504950"/>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3943350" cy="1504950"/>
                    </a:xfrm>
                    <a:prstGeom prst="rect">
                      <a:avLst/>
                    </a:prstGeom>
                  </pic:spPr>
                </pic:pic>
              </a:graphicData>
            </a:graphic>
          </wp:inline>
        </w:drawing>
      </w:r>
    </w:p>
    <w:p w:rsidR="00DA540B" w:rsidRDefault="00DA540B" w:rsidP="00DA540B">
      <w:pPr>
        <w:pStyle w:val="Beschriftung"/>
        <w:jc w:val="left"/>
      </w:pPr>
      <w:bookmarkStart w:id="13" w:name="_Ref476816261"/>
      <w:bookmarkStart w:id="14" w:name="_Toc478923367"/>
      <w:r>
        <w:t xml:space="preserve">Abbildung </w:t>
      </w:r>
      <w:fldSimple w:instr=" SEQ Abbildung \* ARABIC ">
        <w:r w:rsidR="00B17641">
          <w:rPr>
            <w:noProof/>
          </w:rPr>
          <w:t>4</w:t>
        </w:r>
      </w:fldSimple>
      <w:bookmarkEnd w:id="13"/>
      <w:r w:rsidR="00D86AF8">
        <w:t>: Ei</w:t>
      </w:r>
      <w:r>
        <w:t>nteilung typischer spektroskopischer Methoden nach Atom- und Molekülspektroskopie</w:t>
      </w:r>
      <w:r w:rsidR="004D413D">
        <w:t xml:space="preserve"> [GEY, 2014]</w:t>
      </w:r>
      <w:bookmarkEnd w:id="14"/>
    </w:p>
    <w:p w:rsidR="00D86AF8" w:rsidRDefault="00D86AF8" w:rsidP="00D86AF8"/>
    <w:p w:rsidR="00D86AF8" w:rsidRDefault="00D86AF8" w:rsidP="00D86AF8">
      <w:r>
        <w:t>Methoden der Atomspektroskopie werden in der Bioanalytik vorrangig für die Bestimmung von Elementzusammensetzungen in biologischen Flüssigkeiten, wie Serum und Urin, oder für die Spe</w:t>
      </w:r>
      <w:r w:rsidR="00A3700B">
        <w:t>z</w:t>
      </w:r>
      <w:r>
        <w:t>ies-Bestimmung im Bereich der Toxikologie verwendet.</w:t>
      </w:r>
      <w:r w:rsidR="004D413D">
        <w:t xml:space="preserve"> [GEY, 2014]</w:t>
      </w:r>
    </w:p>
    <w:p w:rsidR="000F2F2D" w:rsidRDefault="00B963F7" w:rsidP="00D86AF8">
      <w:r>
        <w:t xml:space="preserve">Die molekülspektroskopischen Methoden </w:t>
      </w:r>
      <w:r w:rsidR="00E97373">
        <w:t xml:space="preserve">werden in bioanalytischen bzw. biochemischen Labors für die Strukturaufklärung verwendet. </w:t>
      </w:r>
      <w:r w:rsidR="000F2F2D">
        <w:t xml:space="preserve">Die UV/VIS und </w:t>
      </w:r>
      <w:proofErr w:type="spellStart"/>
      <w:r w:rsidR="000F2F2D">
        <w:t>Floureszenzspektroskopie</w:t>
      </w:r>
      <w:proofErr w:type="spellEnd"/>
      <w:r w:rsidR="000F2F2D">
        <w:t xml:space="preserve"> werden hauptsächlich für die </w:t>
      </w:r>
      <w:r w:rsidR="00974A9A">
        <w:t xml:space="preserve">Verfolgung und Auswertung biochemischer Reaktionen </w:t>
      </w:r>
      <w:r w:rsidR="003B0DA2">
        <w:t xml:space="preserve">eingesetzt, besonders als Detektionssysteme für Chromatographie- und </w:t>
      </w:r>
      <w:proofErr w:type="spellStart"/>
      <w:r w:rsidR="003B0DA2">
        <w:t>Elektrophoresesysteme</w:t>
      </w:r>
      <w:proofErr w:type="spellEnd"/>
      <w:r w:rsidR="003B0DA2">
        <w:t xml:space="preserve"> im On-line-Betrieb finden diese Methoden Anwendung.</w:t>
      </w:r>
      <w:r w:rsidR="004D413D">
        <w:t xml:space="preserve"> [GEY, 2014]</w:t>
      </w:r>
    </w:p>
    <w:p w:rsidR="006B3B6E" w:rsidRDefault="006B3B6E" w:rsidP="007F6970">
      <w:pPr>
        <w:pStyle w:val="berschrift2"/>
      </w:pPr>
      <w:bookmarkStart w:id="15" w:name="_Toc478923352"/>
      <w:r>
        <w:lastRenderedPageBreak/>
        <w:t>1.</w:t>
      </w:r>
      <w:r w:rsidR="00E556E4">
        <w:t>4</w:t>
      </w:r>
      <w:r>
        <w:t xml:space="preserve"> </w:t>
      </w:r>
      <w:r w:rsidR="003B0DA2">
        <w:t>Flu</w:t>
      </w:r>
      <w:r w:rsidR="00622F15">
        <w:t>o</w:t>
      </w:r>
      <w:r w:rsidR="003B0DA2">
        <w:t>resz</w:t>
      </w:r>
      <w:r w:rsidR="00F7758D">
        <w:t>enzdetektion</w:t>
      </w:r>
      <w:r w:rsidR="00303F76">
        <w:t xml:space="preserve"> in der Bioanalytik</w:t>
      </w:r>
      <w:bookmarkEnd w:id="15"/>
    </w:p>
    <w:p w:rsidR="00F7758D" w:rsidRDefault="00F7758D" w:rsidP="00F7758D">
      <w:r>
        <w:t xml:space="preserve">Die Nutzung von </w:t>
      </w:r>
      <w:proofErr w:type="spellStart"/>
      <w:r>
        <w:t>fluoreszenten</w:t>
      </w:r>
      <w:proofErr w:type="spellEnd"/>
      <w:r>
        <w:t xml:space="preserve"> </w:t>
      </w:r>
      <w:proofErr w:type="spellStart"/>
      <w:r w:rsidR="00DB1E3E">
        <w:t>Tracermolekülen</w:t>
      </w:r>
      <w:proofErr w:type="spellEnd"/>
      <w:r w:rsidR="00DB1E3E">
        <w:t xml:space="preserve"> </w:t>
      </w:r>
      <w:r>
        <w:t>ist aufgrund steigender Vielseitigkeit, Sensitivität und Quantifizi</w:t>
      </w:r>
      <w:r w:rsidR="00DB1E3E">
        <w:t>erbarkeit für viele biologische</w:t>
      </w:r>
      <w:r>
        <w:t xml:space="preserve"> Anwendungen der Standard geworden, unter anderem werden fluoreszierende </w:t>
      </w:r>
      <w:r w:rsidR="00DB1E3E">
        <w:t>Moleküle für die Detektion und Lokalisierung von Proteinen, Identifikation von Proteinkomplexen und die Überwachung von biologischen Prozessen in vivo eingesetzt.</w:t>
      </w:r>
      <w:r w:rsidR="006A46AB">
        <w:t xml:space="preserve"> [THERMO FISHER, 2017]</w:t>
      </w:r>
    </w:p>
    <w:p w:rsidR="00DB1E3E" w:rsidRDefault="00DB1E3E" w:rsidP="00DB1E3E">
      <w:r>
        <w:t>Mithilfe der Fluoreszenzdetektion können abhängig von den verwendeten Methoden und Apparaten verschiedene Parameter der Probe quantifiziert werden, einschließlich:</w:t>
      </w:r>
    </w:p>
    <w:p w:rsidR="00DB1E3E" w:rsidRDefault="00DB1E3E" w:rsidP="00DB1E3E">
      <w:pPr>
        <w:pStyle w:val="Listenabsatz"/>
        <w:numPr>
          <w:ilvl w:val="0"/>
          <w:numId w:val="12"/>
        </w:numPr>
      </w:pPr>
      <w:r>
        <w:t>Zellzahl</w:t>
      </w:r>
    </w:p>
    <w:p w:rsidR="00DB1E3E" w:rsidRDefault="00DB1E3E" w:rsidP="00DB1E3E">
      <w:pPr>
        <w:pStyle w:val="Listenabsatz"/>
        <w:numPr>
          <w:ilvl w:val="0"/>
          <w:numId w:val="12"/>
        </w:numPr>
      </w:pPr>
      <w:r>
        <w:t>Menge der an Zellen oder sogar Zellkompartimenten lokalisierten Fluorophore</w:t>
      </w:r>
    </w:p>
    <w:p w:rsidR="00DB1E3E" w:rsidRDefault="00DB1E3E" w:rsidP="00DB1E3E">
      <w:pPr>
        <w:pStyle w:val="Listenabsatz"/>
        <w:numPr>
          <w:ilvl w:val="0"/>
          <w:numId w:val="12"/>
        </w:numPr>
      </w:pPr>
      <w:r>
        <w:t>Geschwindigkeit der Genexpression und Proteinsynthese</w:t>
      </w:r>
    </w:p>
    <w:p w:rsidR="00DB1E3E" w:rsidRDefault="00DB1E3E" w:rsidP="00DB1E3E">
      <w:pPr>
        <w:pStyle w:val="Listenabsatz"/>
        <w:numPr>
          <w:ilvl w:val="0"/>
          <w:numId w:val="12"/>
        </w:numPr>
      </w:pPr>
      <w:r>
        <w:t>Zellmobilität</w:t>
      </w:r>
    </w:p>
    <w:p w:rsidR="00DB1E3E" w:rsidRDefault="00DB1E3E" w:rsidP="00DB1E3E">
      <w:pPr>
        <w:pStyle w:val="Listenabsatz"/>
        <w:numPr>
          <w:ilvl w:val="0"/>
          <w:numId w:val="12"/>
        </w:numPr>
      </w:pPr>
      <w:r>
        <w:t>DNA-, RNA- oder Proteingehalt</w:t>
      </w:r>
    </w:p>
    <w:p w:rsidR="00DB1E3E" w:rsidRDefault="00DB1E3E" w:rsidP="00DB1E3E">
      <w:pPr>
        <w:pStyle w:val="Listenabsatz"/>
        <w:numPr>
          <w:ilvl w:val="0"/>
          <w:numId w:val="12"/>
        </w:numPr>
      </w:pPr>
      <w:r>
        <w:t>Enzymaktivitäten</w:t>
      </w:r>
    </w:p>
    <w:p w:rsidR="00DB1E3E" w:rsidRDefault="00DB1E3E" w:rsidP="00DB1E3E">
      <w:pPr>
        <w:pStyle w:val="Listenabsatz"/>
        <w:numPr>
          <w:ilvl w:val="0"/>
          <w:numId w:val="12"/>
        </w:numPr>
      </w:pPr>
      <w:r>
        <w:t>Zellvitalität</w:t>
      </w:r>
    </w:p>
    <w:p w:rsidR="00DB1E3E" w:rsidRDefault="00DB1E3E" w:rsidP="00DB1E3E">
      <w:r>
        <w:t>Für die Fluoreszenzdetektion gibt es verschiedene technische Ansätze, die sich für verschiedene Methoden eignen. Alle Ansätze benötigen folgende Komponenten:</w:t>
      </w:r>
    </w:p>
    <w:p w:rsidR="00DB1E3E" w:rsidRDefault="00DB1E3E" w:rsidP="00DB1E3E">
      <w:pPr>
        <w:pStyle w:val="Listenabsatz"/>
        <w:numPr>
          <w:ilvl w:val="0"/>
          <w:numId w:val="10"/>
        </w:numPr>
      </w:pPr>
      <w:r>
        <w:t>Eine Lichtquelle für die Anregung. Typischerweise werden Laser</w:t>
      </w:r>
      <w:r w:rsidR="000D16BF">
        <w:t>,</w:t>
      </w:r>
      <w:r>
        <w:t xml:space="preserve"> </w:t>
      </w:r>
      <w:r w:rsidR="000D16BF">
        <w:t>LEDs</w:t>
      </w:r>
      <w:r>
        <w:t xml:space="preserve"> oder Lampen abhängig von der benötigten Wellenlänge verwendet.</w:t>
      </w:r>
    </w:p>
    <w:p w:rsidR="00DB1E3E" w:rsidRDefault="00DB1E3E" w:rsidP="00DB1E3E">
      <w:pPr>
        <w:pStyle w:val="Listenabsatz"/>
        <w:numPr>
          <w:ilvl w:val="0"/>
          <w:numId w:val="10"/>
        </w:numPr>
      </w:pPr>
      <w:r>
        <w:t>Den</w:t>
      </w:r>
      <w:r w:rsidR="00614D0C">
        <w:t xml:space="preserve"> mittels der Fluoreszenz zu detektierenden </w:t>
      </w:r>
      <w:proofErr w:type="spellStart"/>
      <w:r w:rsidR="00614D0C">
        <w:t>Analyt</w:t>
      </w:r>
      <w:proofErr w:type="spellEnd"/>
      <w:r>
        <w:t>, in einem für die Strahlung durchdringbaren Gefäß.</w:t>
      </w:r>
    </w:p>
    <w:p w:rsidR="00DB1E3E" w:rsidRDefault="00DB1E3E" w:rsidP="00DB1E3E">
      <w:pPr>
        <w:pStyle w:val="Listenabsatz"/>
        <w:numPr>
          <w:ilvl w:val="0"/>
          <w:numId w:val="10"/>
        </w:numPr>
      </w:pPr>
      <w:r>
        <w:t>Filter</w:t>
      </w:r>
      <w:r w:rsidR="00614D0C">
        <w:t xml:space="preserve"> oder Monochromatoren</w:t>
      </w:r>
      <w:r>
        <w:t>, um spezielle Wellenlängen zu isolieren.</w:t>
      </w:r>
    </w:p>
    <w:p w:rsidR="00DB1E3E" w:rsidRDefault="00DB1E3E" w:rsidP="00DB1E3E">
      <w:pPr>
        <w:pStyle w:val="Listenabsatz"/>
        <w:numPr>
          <w:ilvl w:val="0"/>
          <w:numId w:val="10"/>
        </w:numPr>
      </w:pPr>
      <w:r>
        <w:t>Einen Detektor, der die gemessene Emission in ein auswertbares, meist elektronisches Signal umwandelt.</w:t>
      </w:r>
    </w:p>
    <w:p w:rsidR="00DB1E3E" w:rsidRDefault="00DB1E3E" w:rsidP="00DB1E3E">
      <w:r>
        <w:t>Abhängig von den durchzuführenden Versuchen und den zu quantifizierenden Parametern werden verschiedene technische Umsetzungen der Fluoreszenzdetektion verwendet. Die verbreitetsten Gerätetypen sind:</w:t>
      </w:r>
    </w:p>
    <w:p w:rsidR="00DB1E3E" w:rsidRDefault="00DB1E3E" w:rsidP="00DB1E3E">
      <w:pPr>
        <w:pStyle w:val="Listenabsatz"/>
        <w:numPr>
          <w:ilvl w:val="0"/>
          <w:numId w:val="11"/>
        </w:numPr>
      </w:pPr>
      <w:r>
        <w:t>Fluoreszenz-Mikroskope für die zwei- und</w:t>
      </w:r>
      <w:r w:rsidR="00614D0C">
        <w:t xml:space="preserve"> teilweise</w:t>
      </w:r>
      <w:r>
        <w:t xml:space="preserve"> dreidimensionale Detektion von lokalisierten Fluorophoren.</w:t>
      </w:r>
    </w:p>
    <w:p w:rsidR="00DB1E3E" w:rsidRDefault="00DB1E3E" w:rsidP="00DB1E3E">
      <w:pPr>
        <w:pStyle w:val="Listenabsatz"/>
        <w:numPr>
          <w:ilvl w:val="0"/>
          <w:numId w:val="11"/>
        </w:numPr>
      </w:pPr>
      <w:r>
        <w:t>Fluoreszenz-Scanner für die zweidimensionale Detektion von lokalisierten Fluorophoren</w:t>
      </w:r>
    </w:p>
    <w:p w:rsidR="00DB1E3E" w:rsidRDefault="00DB1E3E" w:rsidP="00DB1E3E">
      <w:pPr>
        <w:pStyle w:val="Listenabsatz"/>
        <w:numPr>
          <w:ilvl w:val="0"/>
          <w:numId w:val="11"/>
        </w:numPr>
      </w:pPr>
      <w:proofErr w:type="spellStart"/>
      <w:r>
        <w:t>Durch</w:t>
      </w:r>
      <w:r w:rsidR="002D7116">
        <w:t>flussz</w:t>
      </w:r>
      <w:r>
        <w:t>ytometer</w:t>
      </w:r>
      <w:proofErr w:type="spellEnd"/>
      <w:r>
        <w:t xml:space="preserve"> zur Untersuchung der Fluoreszenz einzelner Zellen in einer flüssigen Probe.</w:t>
      </w:r>
    </w:p>
    <w:p w:rsidR="00555C9C" w:rsidRDefault="0059594A" w:rsidP="004415D7">
      <w:pPr>
        <w:pStyle w:val="Listenabsatz"/>
        <w:numPr>
          <w:ilvl w:val="0"/>
          <w:numId w:val="11"/>
        </w:numPr>
      </w:pPr>
      <w:proofErr w:type="spellStart"/>
      <w:r>
        <w:t>F</w:t>
      </w:r>
      <w:r w:rsidR="00DB1E3E" w:rsidRPr="007528D6">
        <w:t>luorometer</w:t>
      </w:r>
      <w:proofErr w:type="spellEnd"/>
      <w:r w:rsidR="00DB1E3E">
        <w:t xml:space="preserve"> </w:t>
      </w:r>
      <w:r>
        <w:t xml:space="preserve">oder </w:t>
      </w:r>
      <w:proofErr w:type="spellStart"/>
      <w:r>
        <w:t>Fluorimeter</w:t>
      </w:r>
      <w:proofErr w:type="spellEnd"/>
      <w:r>
        <w:t xml:space="preserve"> </w:t>
      </w:r>
      <w:r w:rsidR="00DB1E3E">
        <w:t xml:space="preserve">zur Bestimmung der durchschnittlichen Fluoreszenz von Proben. Wichtige Vertreter sind die </w:t>
      </w:r>
      <w:proofErr w:type="spellStart"/>
      <w:r w:rsidR="00DB1E3E">
        <w:t>Microplate</w:t>
      </w:r>
      <w:proofErr w:type="spellEnd"/>
      <w:r w:rsidR="00DB1E3E">
        <w:t xml:space="preserve"> Reader, mit deren Hilfe mehrere auf </w:t>
      </w:r>
      <w:proofErr w:type="spellStart"/>
      <w:r w:rsidR="00DB1E3E">
        <w:t>Mikrotiterplatten</w:t>
      </w:r>
      <w:proofErr w:type="spellEnd"/>
      <w:r w:rsidR="00DB1E3E">
        <w:t xml:space="preserve"> aufgebrachte Proben in schneller Folge untersucht werden können.</w:t>
      </w:r>
      <w:r>
        <w:t xml:space="preserve"> </w:t>
      </w:r>
    </w:p>
    <w:p w:rsidR="004415D7" w:rsidRDefault="004415D7" w:rsidP="00555C9C">
      <w:r>
        <w:lastRenderedPageBreak/>
        <w:t xml:space="preserve">Die Fluoreszenzspektroskopie beruht auf der Anregung der Probe mittels einer Lichtquelle und der Messung der von der Probe emittierten Strahlung. Eine vereinfachte Messanordnung ist in </w:t>
      </w:r>
      <w:r>
        <w:fldChar w:fldCharType="begin"/>
      </w:r>
      <w:r>
        <w:instrText xml:space="preserve"> REF _Ref476905009 \h </w:instrText>
      </w:r>
      <w:r>
        <w:fldChar w:fldCharType="separate"/>
      </w:r>
      <w:r w:rsidR="00B17641">
        <w:t xml:space="preserve">Abbildung </w:t>
      </w:r>
      <w:r w:rsidR="00B17641">
        <w:rPr>
          <w:noProof/>
        </w:rPr>
        <w:t>5</w:t>
      </w:r>
      <w:r>
        <w:fldChar w:fldCharType="end"/>
      </w:r>
      <w:r>
        <w:t xml:space="preserve"> gezeigt.</w:t>
      </w:r>
      <w:r w:rsidR="006A46AB">
        <w:t xml:space="preserve"> [THERMO FISHER, 2017]</w:t>
      </w:r>
    </w:p>
    <w:p w:rsidR="004415D7" w:rsidRDefault="004415D7" w:rsidP="004415D7">
      <w:pPr>
        <w:keepNext/>
      </w:pPr>
      <w:r>
        <w:rPr>
          <w:noProof/>
          <w:lang w:eastAsia="de-DE"/>
        </w:rPr>
        <w:drawing>
          <wp:inline distT="0" distB="0" distL="0" distR="0" wp14:anchorId="4125986D" wp14:editId="5A555467">
            <wp:extent cx="4676775" cy="3648075"/>
            <wp:effectExtent l="0" t="0" r="9525" b="9525"/>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4676775" cy="3648075"/>
                    </a:xfrm>
                    <a:prstGeom prst="rect">
                      <a:avLst/>
                    </a:prstGeom>
                  </pic:spPr>
                </pic:pic>
              </a:graphicData>
            </a:graphic>
          </wp:inline>
        </w:drawing>
      </w:r>
    </w:p>
    <w:p w:rsidR="004415D7" w:rsidRDefault="004415D7" w:rsidP="004415D7">
      <w:pPr>
        <w:pStyle w:val="Beschriftung"/>
      </w:pPr>
      <w:bookmarkStart w:id="16" w:name="_Ref476905009"/>
      <w:bookmarkStart w:id="17" w:name="_Toc478923368"/>
      <w:r>
        <w:t xml:space="preserve">Abbildung </w:t>
      </w:r>
      <w:fldSimple w:instr=" SEQ Abbildung \* ARABIC ">
        <w:r w:rsidR="00B17641">
          <w:rPr>
            <w:noProof/>
          </w:rPr>
          <w:t>5</w:t>
        </w:r>
      </w:fldSimple>
      <w:bookmarkEnd w:id="16"/>
      <w:r>
        <w:t>: Schematische Anordnung eines Fluoreszenzspektrometers</w:t>
      </w:r>
      <w:r w:rsidR="006A46AB">
        <w:t xml:space="preserve"> [GEY, 2014]</w:t>
      </w:r>
      <w:bookmarkEnd w:id="17"/>
    </w:p>
    <w:p w:rsidR="004415D7" w:rsidRDefault="004415D7" w:rsidP="00DB1E3E">
      <w:r>
        <w:t>Das Probenmaterial</w:t>
      </w:r>
      <w:r w:rsidR="00F7758D">
        <w:t xml:space="preserve"> in der Küvette</w:t>
      </w:r>
      <w:r>
        <w:t xml:space="preserve"> wird von der Lichtquelle über ein optisches System mit Anregungsfilter mit Licht einer vorgegebenen Wellenlänge (</w:t>
      </w:r>
      <w:proofErr w:type="spellStart"/>
      <w:r w:rsidRPr="00555C9C">
        <w:rPr>
          <w:rFonts w:cs="Times New Roman"/>
        </w:rPr>
        <w:t>λ</w:t>
      </w:r>
      <w:r w:rsidRPr="00555C9C">
        <w:rPr>
          <w:vertAlign w:val="subscript"/>
        </w:rPr>
        <w:t>ex</w:t>
      </w:r>
      <w:proofErr w:type="spellEnd"/>
      <w:r>
        <w:t>) bestrahlt. Das von der Probe emittierte Licht wird senkrecht zur Strahlungsebene der Anregungsstrahlung über einen Emissionsfilter mit einer bestimmten Emissionswellenlänge (</w:t>
      </w:r>
      <w:proofErr w:type="spellStart"/>
      <w:r w:rsidRPr="00555C9C">
        <w:rPr>
          <w:rFonts w:cs="Times New Roman"/>
        </w:rPr>
        <w:t>λ</w:t>
      </w:r>
      <w:r w:rsidRPr="00555C9C">
        <w:rPr>
          <w:vertAlign w:val="subscript"/>
        </w:rPr>
        <w:t>em</w:t>
      </w:r>
      <w:proofErr w:type="spellEnd"/>
      <w:r>
        <w:t xml:space="preserve">) auf den </w:t>
      </w:r>
      <w:proofErr w:type="spellStart"/>
      <w:r>
        <w:t>Photodioden</w:t>
      </w:r>
      <w:proofErr w:type="spellEnd"/>
      <w:r>
        <w:t xml:space="preserve"> detektiert</w:t>
      </w:r>
      <w:r w:rsidR="00F7758D">
        <w:t>, um die Anregungsstrahlung nicht ebenfalls zu erfassen</w:t>
      </w:r>
      <w:r w:rsidR="00614D0C">
        <w:t>. Mithilfe der</w:t>
      </w:r>
      <w:r w:rsidR="00004DD1">
        <w:t xml:space="preserve"> </w:t>
      </w:r>
      <w:proofErr w:type="spellStart"/>
      <w:r w:rsidR="00004DD1">
        <w:t>Photodioden</w:t>
      </w:r>
      <w:proofErr w:type="spellEnd"/>
      <w:r w:rsidR="00004DD1">
        <w:t xml:space="preserve"> wird die erfasste Strahlung in ein elektrisches Signal umgewandelt, das an einen Rechner zur Auswertung übergeben werden kann.</w:t>
      </w:r>
      <w:r w:rsidR="00555C9C">
        <w:t xml:space="preserve"> Varianten mit Monochromatoren anstelle der Anregungs- und Emissionsfilter können kontinuierliche Fluoreszenzspektren aufnehmen und werden als </w:t>
      </w:r>
      <w:proofErr w:type="spellStart"/>
      <w:r w:rsidR="00555C9C">
        <w:t>Spektralfluorometer</w:t>
      </w:r>
      <w:proofErr w:type="spellEnd"/>
      <w:r w:rsidR="00555C9C">
        <w:t xml:space="preserve"> bezeichnet.</w:t>
      </w:r>
      <w:r w:rsidR="006A46AB">
        <w:t xml:space="preserve"> [GEY, 2014]</w:t>
      </w:r>
    </w:p>
    <w:p w:rsidR="0002407B" w:rsidRDefault="0002407B" w:rsidP="00DB1E3E">
      <w:r>
        <w:t xml:space="preserve">Für die Untersuchung einer großen Anzahl von Proben </w:t>
      </w:r>
      <w:r w:rsidR="007D2E7C">
        <w:t xml:space="preserve">werden </w:t>
      </w:r>
      <w:proofErr w:type="spellStart"/>
      <w:r w:rsidR="0059594A">
        <w:t>F</w:t>
      </w:r>
      <w:r w:rsidR="007D2E7C">
        <w:t>luorometer</w:t>
      </w:r>
      <w:proofErr w:type="spellEnd"/>
      <w:r w:rsidR="007D2E7C">
        <w:t xml:space="preserve"> mit speziellen Einsätzen für </w:t>
      </w:r>
      <w:proofErr w:type="spellStart"/>
      <w:r w:rsidR="007D2E7C">
        <w:t>Mikrotiterplatten</w:t>
      </w:r>
      <w:proofErr w:type="spellEnd"/>
      <w:r w:rsidR="007D2E7C">
        <w:t xml:space="preserve"> (MTPs) verwendet. Bei der Messung der Fluoreszenz in einem </w:t>
      </w:r>
      <w:proofErr w:type="spellStart"/>
      <w:r w:rsidR="007D2E7C">
        <w:t>Well</w:t>
      </w:r>
      <w:proofErr w:type="spellEnd"/>
      <w:r w:rsidR="007D2E7C">
        <w:t xml:space="preserve"> der Mikrotiterplatte ist die Erfassung der </w:t>
      </w:r>
      <w:proofErr w:type="spellStart"/>
      <w:r w:rsidR="007D2E7C">
        <w:t>Emmisionsstrahlung</w:t>
      </w:r>
      <w:proofErr w:type="spellEnd"/>
      <w:r w:rsidR="007D2E7C">
        <w:t xml:space="preserve"> senkrecht zur Anregungsstrahlung nicht möglich, deshalb gibt es verschiedene optische Anordnungen mit dem Ziel, die Anregungs- und Emissionsstrahlung zu trennen. In d</w:t>
      </w:r>
      <w:r w:rsidR="00F208FD">
        <w:t xml:space="preserve">em </w:t>
      </w:r>
      <w:proofErr w:type="spellStart"/>
      <w:r w:rsidR="00F208FD">
        <w:t>SPECTRAmax</w:t>
      </w:r>
      <w:proofErr w:type="spellEnd"/>
      <w:r w:rsidR="00F208FD">
        <w:t xml:space="preserve"> GEMINI </w:t>
      </w:r>
      <w:proofErr w:type="spellStart"/>
      <w:r w:rsidR="00F208FD">
        <w:t>Spektralfl</w:t>
      </w:r>
      <w:r w:rsidR="007D2E7C">
        <w:t>u</w:t>
      </w:r>
      <w:r w:rsidR="00F208FD">
        <w:t>o</w:t>
      </w:r>
      <w:r w:rsidR="007D2E7C">
        <w:t>rometer</w:t>
      </w:r>
      <w:proofErr w:type="spellEnd"/>
      <w:r w:rsidR="007D2E7C">
        <w:t xml:space="preserve"> wird die in </w:t>
      </w:r>
      <w:r w:rsidR="00F208FD">
        <w:fldChar w:fldCharType="begin"/>
      </w:r>
      <w:r w:rsidR="00F208FD">
        <w:instrText xml:space="preserve"> REF _Ref477193554 \h </w:instrText>
      </w:r>
      <w:r w:rsidR="00F208FD">
        <w:fldChar w:fldCharType="separate"/>
      </w:r>
      <w:r w:rsidR="00B17641">
        <w:t xml:space="preserve">Abbildung </w:t>
      </w:r>
      <w:r w:rsidR="00B17641">
        <w:rPr>
          <w:noProof/>
        </w:rPr>
        <w:t>6</w:t>
      </w:r>
      <w:r w:rsidR="00F208FD">
        <w:fldChar w:fldCharType="end"/>
      </w:r>
      <w:r w:rsidR="007D2E7C">
        <w:t xml:space="preserve"> gezeigte Anordnung mit Filterschlitten für verschiedene Anregungs- und Emissionswellenlängen eingesetzt.</w:t>
      </w:r>
      <w:r w:rsidR="006A46AB">
        <w:t xml:space="preserve"> [KECK, 2017]</w:t>
      </w:r>
    </w:p>
    <w:p w:rsidR="00F208FD" w:rsidRDefault="007D2E7C" w:rsidP="00F208FD">
      <w:pPr>
        <w:keepNext/>
      </w:pPr>
      <w:r>
        <w:rPr>
          <w:noProof/>
          <w:lang w:eastAsia="de-DE"/>
        </w:rPr>
        <w:lastRenderedPageBreak/>
        <w:drawing>
          <wp:inline distT="0" distB="0" distL="0" distR="0" wp14:anchorId="1693E636" wp14:editId="42F36395">
            <wp:extent cx="5760720" cy="3036705"/>
            <wp:effectExtent l="0" t="0" r="0" b="0"/>
            <wp:docPr id="2" name="Grafik 2" descr="http://keck.med.yale.edu/biophysics/technologies/platereader/Schematics%20of%20optics%20Settings_116403_284_147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keck.med.yale.edu/biophysics/technologies/platereader/Schematics%20of%20optics%20Settings_116403_284_14720.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0720" cy="3036705"/>
                    </a:xfrm>
                    <a:prstGeom prst="rect">
                      <a:avLst/>
                    </a:prstGeom>
                    <a:noFill/>
                    <a:ln>
                      <a:noFill/>
                    </a:ln>
                  </pic:spPr>
                </pic:pic>
              </a:graphicData>
            </a:graphic>
          </wp:inline>
        </w:drawing>
      </w:r>
    </w:p>
    <w:p w:rsidR="007D2E7C" w:rsidRPr="00F56752" w:rsidRDefault="00F208FD" w:rsidP="00F208FD">
      <w:pPr>
        <w:pStyle w:val="Beschriftung"/>
      </w:pPr>
      <w:bookmarkStart w:id="18" w:name="_Ref477193554"/>
      <w:bookmarkStart w:id="19" w:name="_Toc478923369"/>
      <w:r>
        <w:t xml:space="preserve">Abbildung </w:t>
      </w:r>
      <w:fldSimple w:instr=" SEQ Abbildung \* ARABIC ">
        <w:r w:rsidR="00B17641">
          <w:rPr>
            <w:noProof/>
          </w:rPr>
          <w:t>6</w:t>
        </w:r>
      </w:fldSimple>
      <w:bookmarkEnd w:id="18"/>
      <w:r>
        <w:t xml:space="preserve">: Schematischer Aufbau des </w:t>
      </w:r>
      <w:proofErr w:type="spellStart"/>
      <w:r>
        <w:t>SPECTRAmax</w:t>
      </w:r>
      <w:proofErr w:type="spellEnd"/>
      <w:r>
        <w:t xml:space="preserve"> GEMINI</w:t>
      </w:r>
      <w:r>
        <w:rPr>
          <w:noProof/>
        </w:rPr>
        <w:t xml:space="preserve"> Spektralfluorometers</w:t>
      </w:r>
      <w:r w:rsidR="006A46AB">
        <w:rPr>
          <w:noProof/>
        </w:rPr>
        <w:t xml:space="preserve"> [KECK, 2017]</w:t>
      </w:r>
      <w:bookmarkEnd w:id="19"/>
    </w:p>
    <w:p w:rsidR="00F208FD" w:rsidRDefault="00F208FD">
      <w:r>
        <w:t xml:space="preserve">Das </w:t>
      </w:r>
      <w:r w:rsidR="00C45905">
        <w:t>anregende Licht wird</w:t>
      </w:r>
      <w:r>
        <w:t xml:space="preserve"> durch einen Filter</w:t>
      </w:r>
      <w:r w:rsidR="00C45905">
        <w:t xml:space="preserve"> auf eine bestimmte Wellenlänge beschränkt und über einen Hohlspiegel in ein Glasfaserkabel </w:t>
      </w:r>
      <w:r w:rsidR="00C45905" w:rsidRPr="00E45B29">
        <w:t>konzentriert</w:t>
      </w:r>
      <w:r w:rsidR="00C45905">
        <w:t xml:space="preserve">. Über einen weiteren Hohlspiegel über der auszulesenden Mikrotiterplatte wird das Licht auf das jeweilige </w:t>
      </w:r>
      <w:proofErr w:type="spellStart"/>
      <w:r w:rsidR="00C45905">
        <w:t>Well</w:t>
      </w:r>
      <w:proofErr w:type="spellEnd"/>
      <w:r w:rsidR="00C45905">
        <w:t xml:space="preserve"> </w:t>
      </w:r>
      <w:r w:rsidR="00E45B29">
        <w:t>fokussiert</w:t>
      </w:r>
      <w:r w:rsidR="00C45905">
        <w:t xml:space="preserve">. Dabei passiert die Strahlung einen Hohlspiegel mit einer Öffnung für die anregende Strahlung, der die emittierte Strahlung in einem weiteren Glasfaserkabel </w:t>
      </w:r>
      <w:r w:rsidR="00E45B29">
        <w:t>bündelt</w:t>
      </w:r>
      <w:r w:rsidR="00C45905">
        <w:t xml:space="preserve"> und über einen Hohlspiegel und einen weiteren Filter auf die </w:t>
      </w:r>
      <w:proofErr w:type="spellStart"/>
      <w:r w:rsidR="00C45905">
        <w:t>Photodiode</w:t>
      </w:r>
      <w:proofErr w:type="spellEnd"/>
      <w:r w:rsidR="00C45905">
        <w:t xml:space="preserve"> </w:t>
      </w:r>
      <w:r w:rsidR="00E45B29">
        <w:t>lenkt</w:t>
      </w:r>
      <w:r w:rsidR="00C45905">
        <w:t>. Ein Nachteil dieser Konstruktion ist die Erfassung von auf der Probe reflektierter Anregungsstrahlung. Ist der Stokes-</w:t>
      </w:r>
      <w:proofErr w:type="spellStart"/>
      <w:r w:rsidR="00C45905">
        <w:t>Shift</w:t>
      </w:r>
      <w:proofErr w:type="spellEnd"/>
      <w:r w:rsidR="00C45905">
        <w:t xml:space="preserve"> zwischen der anregenden und der emittierten Wellenlänge zu gering, können Teile der Anregungsstrahlung fälschlich als Fluoreszenz-Aktivität erfasst werden.</w:t>
      </w:r>
      <w:r w:rsidR="004C505A">
        <w:t xml:space="preserve"> [Keck, 2017]</w:t>
      </w:r>
    </w:p>
    <w:p w:rsidR="00C45905" w:rsidRDefault="00C45905">
      <w:r>
        <w:t>Ein weiterer möglicher Aufbau</w:t>
      </w:r>
      <w:r w:rsidR="00B318A0">
        <w:t xml:space="preserve"> unter Nutzung eines dichroitischen Filters</w:t>
      </w:r>
      <w:r>
        <w:t xml:space="preserve"> ist in </w:t>
      </w:r>
      <w:r w:rsidR="00B318A0">
        <w:fldChar w:fldCharType="begin"/>
      </w:r>
      <w:r w:rsidR="00B318A0">
        <w:instrText xml:space="preserve"> REF _Ref477194840 \h </w:instrText>
      </w:r>
      <w:r w:rsidR="00B318A0">
        <w:fldChar w:fldCharType="separate"/>
      </w:r>
      <w:r w:rsidR="00B17641">
        <w:t xml:space="preserve">Abbildung </w:t>
      </w:r>
      <w:r w:rsidR="00B17641">
        <w:rPr>
          <w:noProof/>
        </w:rPr>
        <w:t>7</w:t>
      </w:r>
      <w:r w:rsidR="00B318A0">
        <w:fldChar w:fldCharType="end"/>
      </w:r>
      <w:r>
        <w:t xml:space="preserve"> dargestellt.</w:t>
      </w:r>
      <w:r w:rsidR="00B318A0">
        <w:t xml:space="preserve"> Als Anregungsquelle wird ein Laser genutzt, </w:t>
      </w:r>
      <w:r w:rsidR="007B3A30">
        <w:t xml:space="preserve">in Kombination mit einem Anregungsfilter. Über eine Linse wird die anregende Strahlung (Grün) auf einen </w:t>
      </w:r>
      <w:proofErr w:type="spellStart"/>
      <w:r w:rsidR="007B3A30">
        <w:t>dichroischen</w:t>
      </w:r>
      <w:proofErr w:type="spellEnd"/>
      <w:r w:rsidR="007B3A30">
        <w:t xml:space="preserve"> Spiegel konzentriert, der die Strahlung auf eine Linse über der Probe reflektiert. Die Linse konzentriert gleichzeitig die Anregungsstrahlung auf die Probe und sammelt die von der Probe emittierte Strahlung (Rot und Blau) auf dem Spiegel. Die emittierten Wellenlängen werden nicht reflektiert und passieren den Spiegel. Über einen Emissionsfilter werden die erwarteten Wellenlängen von Hintergrundstrahlung befreit und mithilfe einer Linse auf die </w:t>
      </w:r>
      <w:proofErr w:type="spellStart"/>
      <w:r w:rsidR="007B3A30">
        <w:t>Photodiode</w:t>
      </w:r>
      <w:proofErr w:type="spellEnd"/>
      <w:r w:rsidR="007B3A30">
        <w:t xml:space="preserve"> </w:t>
      </w:r>
      <w:r w:rsidR="00671FA7">
        <w:t>fokussiert</w:t>
      </w:r>
      <w:r w:rsidR="007B3A30">
        <w:t>.</w:t>
      </w:r>
      <w:r w:rsidR="00671FA7">
        <w:t xml:space="preserve"> Aufgrund des </w:t>
      </w:r>
      <w:proofErr w:type="spellStart"/>
      <w:r w:rsidR="00671FA7">
        <w:t>dichroischen</w:t>
      </w:r>
      <w:proofErr w:type="spellEnd"/>
      <w:r w:rsidR="00671FA7">
        <w:t xml:space="preserve"> Spiegels kann kein von der Probe reflektiertes Licht der Anregungsquelle auf der </w:t>
      </w:r>
      <w:proofErr w:type="spellStart"/>
      <w:r w:rsidR="00671FA7">
        <w:t>Photodiode</w:t>
      </w:r>
      <w:proofErr w:type="spellEnd"/>
      <w:r w:rsidR="00671FA7">
        <w:t xml:space="preserve"> erfasst werden, allerdings kann ein Teil der emittierten Strahlung (Rot) ebenfalls von der </w:t>
      </w:r>
      <w:proofErr w:type="spellStart"/>
      <w:r w:rsidR="00671FA7">
        <w:t>Photodiode</w:t>
      </w:r>
      <w:proofErr w:type="spellEnd"/>
      <w:r w:rsidR="00671FA7">
        <w:t xml:space="preserve"> abgeschirmt werden, falls der Stokes-</w:t>
      </w:r>
      <w:proofErr w:type="spellStart"/>
      <w:r w:rsidR="00671FA7">
        <w:t>Shift</w:t>
      </w:r>
      <w:proofErr w:type="spellEnd"/>
      <w:r w:rsidR="00671FA7">
        <w:t xml:space="preserve"> nicht groß genug ist. Weiterhin ist die Wellenlängenselektivität der Spiegel in ihrer speziellen Beschichtung begründet und damit nicht anpassbar. Eine Anpassung der genutzten Anregungs- und Emissionswellenlängen ist dementsprechend erschwert und häufig mit der Anschaffung eines neuen </w:t>
      </w:r>
      <w:proofErr w:type="spellStart"/>
      <w:r w:rsidR="00671FA7">
        <w:t>dichroischen</w:t>
      </w:r>
      <w:proofErr w:type="spellEnd"/>
      <w:r w:rsidR="00671FA7">
        <w:t xml:space="preserve"> Spiegels verbunden.</w:t>
      </w:r>
      <w:r w:rsidR="004C505A">
        <w:t xml:space="preserve"> [</w:t>
      </w:r>
      <w:proofErr w:type="spellStart"/>
      <w:r w:rsidR="004C505A">
        <w:t>McGUINESS</w:t>
      </w:r>
      <w:proofErr w:type="spellEnd"/>
      <w:r w:rsidR="004C505A">
        <w:t>, 2010</w:t>
      </w:r>
      <w:r w:rsidR="00A85A92">
        <w:t>; NÄTHER, 2006</w:t>
      </w:r>
      <w:r w:rsidR="004C505A">
        <w:t>]</w:t>
      </w:r>
    </w:p>
    <w:p w:rsidR="00B318A0" w:rsidRDefault="00C45905" w:rsidP="00B318A0">
      <w:pPr>
        <w:keepNext/>
      </w:pPr>
      <w:r>
        <w:rPr>
          <w:noProof/>
          <w:lang w:eastAsia="de-DE"/>
        </w:rPr>
        <w:lastRenderedPageBreak/>
        <w:drawing>
          <wp:inline distT="0" distB="0" distL="0" distR="0" wp14:anchorId="0E402D4A" wp14:editId="4F162169">
            <wp:extent cx="3514725" cy="3295650"/>
            <wp:effectExtent l="0" t="0" r="9525" b="0"/>
            <wp:docPr id="3" name="Grafik 3" descr="http://pubs.rsc.org/services/images/RSCpubs.ePlatform.Service.FreeContent.ImageService.svc/ImageService/Articleimage/2010/MB/b913455g/b913455g-f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pubs.rsc.org/services/images/RSCpubs.ePlatform.Service.FreeContent.ImageService.svc/ImageService/Articleimage/2010/MB/b913455g/b913455g-f2.gif"/>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14725" cy="3295650"/>
                    </a:xfrm>
                    <a:prstGeom prst="rect">
                      <a:avLst/>
                    </a:prstGeom>
                    <a:noFill/>
                    <a:ln>
                      <a:noFill/>
                    </a:ln>
                  </pic:spPr>
                </pic:pic>
              </a:graphicData>
            </a:graphic>
          </wp:inline>
        </w:drawing>
      </w:r>
    </w:p>
    <w:p w:rsidR="00C45905" w:rsidRDefault="00B318A0" w:rsidP="00B318A0">
      <w:pPr>
        <w:pStyle w:val="Beschriftung"/>
      </w:pPr>
      <w:bookmarkStart w:id="20" w:name="_Ref477194840"/>
      <w:bookmarkStart w:id="21" w:name="_Toc478923370"/>
      <w:r>
        <w:t xml:space="preserve">Abbildung </w:t>
      </w:r>
      <w:fldSimple w:instr=" SEQ Abbildung \* ARABIC ">
        <w:r w:rsidR="00B17641">
          <w:rPr>
            <w:noProof/>
          </w:rPr>
          <w:t>7</w:t>
        </w:r>
      </w:fldSimple>
      <w:bookmarkEnd w:id="20"/>
      <w:r>
        <w:t xml:space="preserve">: Schematischer Aufbau eines </w:t>
      </w:r>
      <w:proofErr w:type="spellStart"/>
      <w:r>
        <w:t>Spektralfluorometers</w:t>
      </w:r>
      <w:proofErr w:type="spellEnd"/>
      <w:r>
        <w:t xml:space="preserve"> unter Nutzung eines </w:t>
      </w:r>
      <w:proofErr w:type="spellStart"/>
      <w:r>
        <w:t>dichroischen</w:t>
      </w:r>
      <w:proofErr w:type="spellEnd"/>
      <w:r>
        <w:t xml:space="preserve"> Spiegels</w:t>
      </w:r>
      <w:r w:rsidR="006A46AB">
        <w:t xml:space="preserve"> [</w:t>
      </w:r>
      <w:proofErr w:type="spellStart"/>
      <w:r w:rsidR="006A46AB">
        <w:t>McGUINESS</w:t>
      </w:r>
      <w:proofErr w:type="spellEnd"/>
      <w:r w:rsidR="006A46AB">
        <w:t>, 2010]</w:t>
      </w:r>
      <w:bookmarkEnd w:id="21"/>
    </w:p>
    <w:p w:rsidR="001D66C0" w:rsidRDefault="001D66C0" w:rsidP="001D66C0">
      <w:r>
        <w:t xml:space="preserve">Die </w:t>
      </w:r>
      <w:proofErr w:type="spellStart"/>
      <w:r>
        <w:t>Durchflusszytometrie</w:t>
      </w:r>
      <w:proofErr w:type="spellEnd"/>
      <w:r>
        <w:t xml:space="preserve"> ist ein Verfahren für die Analyse von Zellen, die einzeln in einem hohen Tempo an einer Spannungsquelle oder einen Lichtstrahl vorbeifliesen. Vorteil der Methode ist die Möglichkeit, jede Zelle individuell untersuchen und, mit einem nachgeschalteten Sortiermechanismus,</w:t>
      </w:r>
      <w:r w:rsidR="00C8337C">
        <w:t xml:space="preserve"> sogar anhand der Messwerte trennen zu können. </w:t>
      </w:r>
      <w:proofErr w:type="spellStart"/>
      <w:r w:rsidR="007025C7">
        <w:t>Durchfluss</w:t>
      </w:r>
      <w:r w:rsidR="00A93C88">
        <w:t>z</w:t>
      </w:r>
      <w:r w:rsidR="007025C7">
        <w:t>ytometer</w:t>
      </w:r>
      <w:proofErr w:type="spellEnd"/>
      <w:r w:rsidR="007025C7">
        <w:t xml:space="preserve"> mit einer Fluss-Sortierung werden FACS genannt, kurz für fluoreszenz-aktivierte Zell-Sortierer. </w:t>
      </w:r>
      <w:r w:rsidR="00C8337C">
        <w:t>Anwendung findet dieses Verfahren zum Beispiel bei der Bestimmung der Vitalitätsbestimmung von Zellen, bei der Analyse von Proteinen und Chromosomen in einer Zelle oder der Überwachung von Zellfunktionen. [</w:t>
      </w:r>
      <w:r w:rsidR="009E5D57">
        <w:t>SHAPIRO</w:t>
      </w:r>
      <w:r w:rsidR="00C8337C">
        <w:t>, 20</w:t>
      </w:r>
      <w:r w:rsidR="009E5D57">
        <w:t>03</w:t>
      </w:r>
      <w:r w:rsidR="00C8337C">
        <w:t>]</w:t>
      </w:r>
    </w:p>
    <w:p w:rsidR="00C8337C" w:rsidRDefault="00C8337C" w:rsidP="001D66C0">
      <w:r>
        <w:t xml:space="preserve">Bei der </w:t>
      </w:r>
      <w:proofErr w:type="spellStart"/>
      <w:r>
        <w:t>Durchflusszytometrie</w:t>
      </w:r>
      <w:proofErr w:type="spellEnd"/>
      <w:r>
        <w:t xml:space="preserve"> befindet sich die Probe in einer Durchflussküvette. Exemplarisch für diesen Gerätetyp ist der schematische Aufbau des </w:t>
      </w:r>
      <w:proofErr w:type="spellStart"/>
      <w:r>
        <w:t>CyAn</w:t>
      </w:r>
      <w:proofErr w:type="spellEnd"/>
      <w:r>
        <w:t xml:space="preserve"> ADP High-Performance Flow </w:t>
      </w:r>
      <w:proofErr w:type="spellStart"/>
      <w:r>
        <w:t>Cytometer</w:t>
      </w:r>
      <w:proofErr w:type="spellEnd"/>
      <w:r>
        <w:t xml:space="preserve"> in </w:t>
      </w:r>
      <w:r w:rsidR="007025C7">
        <w:fldChar w:fldCharType="begin"/>
      </w:r>
      <w:r w:rsidR="007025C7">
        <w:instrText xml:space="preserve"> REF _Ref477256390 \h </w:instrText>
      </w:r>
      <w:r w:rsidR="007025C7">
        <w:fldChar w:fldCharType="separate"/>
      </w:r>
      <w:r w:rsidR="00B17641">
        <w:t xml:space="preserve">Abbildung </w:t>
      </w:r>
      <w:r w:rsidR="00B17641">
        <w:rPr>
          <w:noProof/>
        </w:rPr>
        <w:t>8</w:t>
      </w:r>
      <w:r w:rsidR="007025C7">
        <w:fldChar w:fldCharType="end"/>
      </w:r>
      <w:r>
        <w:t xml:space="preserve"> gezeigt.</w:t>
      </w:r>
    </w:p>
    <w:p w:rsidR="007025C7" w:rsidRDefault="007025C7" w:rsidP="007025C7">
      <w:pPr>
        <w:keepNext/>
      </w:pPr>
      <w:r>
        <w:rPr>
          <w:noProof/>
          <w:lang w:eastAsia="de-DE"/>
        </w:rPr>
        <w:lastRenderedPageBreak/>
        <w:drawing>
          <wp:inline distT="0" distB="0" distL="0" distR="0" wp14:anchorId="1F0C9575" wp14:editId="40CE7AF4">
            <wp:extent cx="4467225" cy="3514725"/>
            <wp:effectExtent l="0" t="0" r="9525" b="9525"/>
            <wp:docPr id="7" name="Grafik 7" descr="http://www.ncipd.org/images/UserFiles/Image/fig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ncipd.org/images/UserFiles/Image/fig6.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67225" cy="3514725"/>
                    </a:xfrm>
                    <a:prstGeom prst="rect">
                      <a:avLst/>
                    </a:prstGeom>
                    <a:noFill/>
                    <a:ln>
                      <a:noFill/>
                    </a:ln>
                  </pic:spPr>
                </pic:pic>
              </a:graphicData>
            </a:graphic>
          </wp:inline>
        </w:drawing>
      </w:r>
    </w:p>
    <w:p w:rsidR="00C8337C" w:rsidRDefault="007025C7" w:rsidP="007025C7">
      <w:pPr>
        <w:pStyle w:val="Beschriftung"/>
      </w:pPr>
      <w:bookmarkStart w:id="22" w:name="_Ref477256390"/>
      <w:bookmarkStart w:id="23" w:name="_Toc478923371"/>
      <w:r>
        <w:t xml:space="preserve">Abbildung </w:t>
      </w:r>
      <w:fldSimple w:instr=" SEQ Abbildung \* ARABIC ">
        <w:r w:rsidR="00B17641">
          <w:rPr>
            <w:noProof/>
          </w:rPr>
          <w:t>8</w:t>
        </w:r>
      </w:fldSimple>
      <w:bookmarkEnd w:id="22"/>
      <w:r>
        <w:t xml:space="preserve">: Schematischer Aufbau des </w:t>
      </w:r>
      <w:proofErr w:type="spellStart"/>
      <w:r w:rsidRPr="00A60E05">
        <w:t>CyAn</w:t>
      </w:r>
      <w:proofErr w:type="spellEnd"/>
      <w:r w:rsidRPr="00A60E05">
        <w:t xml:space="preserve"> ADP</w:t>
      </w:r>
      <w:r>
        <w:t xml:space="preserve"> </w:t>
      </w:r>
      <w:proofErr w:type="spellStart"/>
      <w:r>
        <w:t>Durchflusszytometers</w:t>
      </w:r>
      <w:proofErr w:type="spellEnd"/>
      <w:r w:rsidR="006F087B">
        <w:t xml:space="preserve"> [</w:t>
      </w:r>
      <w:r w:rsidR="00BB08FA" w:rsidRPr="00BB08FA">
        <w:t>https://www.ucl.ac.uk/wibr/scientific-support/flow-cytometry1/facsdiag</w:t>
      </w:r>
      <w:r w:rsidR="006F087B">
        <w:t>]</w:t>
      </w:r>
      <w:bookmarkEnd w:id="23"/>
    </w:p>
    <w:p w:rsidR="006F087B" w:rsidRDefault="00425767" w:rsidP="006F087B">
      <w:r>
        <w:t xml:space="preserve">Aktuelle </w:t>
      </w:r>
      <w:proofErr w:type="spellStart"/>
      <w:r>
        <w:t>Durchflusszytometer</w:t>
      </w:r>
      <w:proofErr w:type="spellEnd"/>
      <w:r>
        <w:t xml:space="preserve"> wie das </w:t>
      </w:r>
      <w:proofErr w:type="spellStart"/>
      <w:r>
        <w:t>CyAn</w:t>
      </w:r>
      <w:proofErr w:type="spellEnd"/>
      <w:r>
        <w:t xml:space="preserve"> ADP besitzen mehrere Lichtquellen, um verschiedene Fluoreszenzmarker gleichzeitig aktivieren zu können. Dementsprechend wird das emittierte Licht mit mehreren </w:t>
      </w:r>
      <w:proofErr w:type="spellStart"/>
      <w:r>
        <w:t>dichroischen</w:t>
      </w:r>
      <w:proofErr w:type="spellEnd"/>
      <w:r>
        <w:t xml:space="preserve"> Spiegeln der Wellenlänge nach aufgetrennt und auf mehrere </w:t>
      </w:r>
      <w:proofErr w:type="spellStart"/>
      <w:r>
        <w:t>Photodioden</w:t>
      </w:r>
      <w:proofErr w:type="spellEnd"/>
      <w:r>
        <w:t xml:space="preserve"> konzentriert. Weiterhin wird hinter der Durchflussküvette die Intensität der anregenden Strahlung gemessen und als Forward-</w:t>
      </w:r>
      <w:proofErr w:type="spellStart"/>
      <w:r>
        <w:t>Scatter</w:t>
      </w:r>
      <w:proofErr w:type="spellEnd"/>
      <w:r>
        <w:t>-Wert (FSC) gemesse</w:t>
      </w:r>
      <w:r w:rsidR="001B221C">
        <w:t>n. Anhand dieses Wertes kann festgestellt werden, wann eine Zelle die Messkammer durchquert,</w:t>
      </w:r>
      <w:r>
        <w:t xml:space="preserve"> und gleichzeitig Aussagen zu deren </w:t>
      </w:r>
      <w:r w:rsidR="00756A80">
        <w:t>Volumen</w:t>
      </w:r>
      <w:r>
        <w:t xml:space="preserve"> getroffen w</w:t>
      </w:r>
      <w:r w:rsidR="001B221C">
        <w:t>erden. Des Weiteren wird aus dem</w:t>
      </w:r>
      <w:r>
        <w:t xml:space="preserve"> emittierten</w:t>
      </w:r>
      <w:r w:rsidR="001B221C">
        <w:t xml:space="preserve"> Licht</w:t>
      </w:r>
      <w:r>
        <w:t xml:space="preserve"> die </w:t>
      </w:r>
      <w:r w:rsidR="00756A80">
        <w:t xml:space="preserve">von der Probe gebrochene anregende </w:t>
      </w:r>
      <w:r>
        <w:t xml:space="preserve">Strahlung </w:t>
      </w:r>
      <w:r w:rsidR="00756A80">
        <w:t xml:space="preserve">isoliert und als </w:t>
      </w:r>
      <w:proofErr w:type="spellStart"/>
      <w:r w:rsidR="00756A80">
        <w:t>Sidewards</w:t>
      </w:r>
      <w:proofErr w:type="spellEnd"/>
      <w:r w:rsidR="00756A80">
        <w:t>-</w:t>
      </w:r>
      <w:proofErr w:type="spellStart"/>
      <w:r w:rsidR="00756A80">
        <w:t>Scatter</w:t>
      </w:r>
      <w:proofErr w:type="spellEnd"/>
      <w:r w:rsidR="00756A80">
        <w:t>-Wert (SSC) erfasst. Dieser Wert gibt Auskunft über die Granularität der Zelle und die Struktur des Zellkerns.</w:t>
      </w:r>
      <w:r w:rsidR="000F26B4">
        <w:t xml:space="preserve"> [HOLSCHBACH, 2013]</w:t>
      </w:r>
    </w:p>
    <w:p w:rsidR="000B07EE" w:rsidRDefault="000B07EE" w:rsidP="000B07EE">
      <w:pPr>
        <w:pStyle w:val="berschrift2"/>
      </w:pPr>
      <w:bookmarkStart w:id="24" w:name="_Toc432420140"/>
      <w:bookmarkStart w:id="25" w:name="_Toc478923353"/>
      <w:r>
        <w:t>1.</w:t>
      </w:r>
      <w:r w:rsidR="00E556E4">
        <w:t>5</w:t>
      </w:r>
      <w:r>
        <w:t xml:space="preserve"> Liquid Handling Systeme</w:t>
      </w:r>
      <w:bookmarkEnd w:id="24"/>
      <w:bookmarkEnd w:id="25"/>
    </w:p>
    <w:p w:rsidR="000B07EE" w:rsidRDefault="000B07EE" w:rsidP="000B07EE">
      <w:r>
        <w:t>Liquid Handling Systeme sind Geräte zur halb- oder vollautomatischen Bearbeitung von Flüssigkeiten. Wichtige Formen der Liquid Handling Systeme sind:</w:t>
      </w:r>
    </w:p>
    <w:p w:rsidR="000B07EE" w:rsidRDefault="000B07EE" w:rsidP="000B07EE">
      <w:pPr>
        <w:pStyle w:val="Listenabsatz"/>
        <w:numPr>
          <w:ilvl w:val="0"/>
          <w:numId w:val="16"/>
        </w:numPr>
        <w:jc w:val="left"/>
      </w:pPr>
      <w:r>
        <w:t>Elektronische Pipetten</w:t>
      </w:r>
    </w:p>
    <w:p w:rsidR="000B07EE" w:rsidRDefault="000B07EE" w:rsidP="000B07EE">
      <w:pPr>
        <w:pStyle w:val="Listenabsatz"/>
        <w:numPr>
          <w:ilvl w:val="0"/>
          <w:numId w:val="16"/>
        </w:numPr>
        <w:jc w:val="left"/>
      </w:pPr>
      <w:proofErr w:type="spellStart"/>
      <w:r>
        <w:t>Pipettierroboter</w:t>
      </w:r>
      <w:proofErr w:type="spellEnd"/>
    </w:p>
    <w:p w:rsidR="000B07EE" w:rsidRDefault="000B07EE" w:rsidP="000B07EE">
      <w:pPr>
        <w:pStyle w:val="Listenabsatz"/>
        <w:numPr>
          <w:ilvl w:val="0"/>
          <w:numId w:val="16"/>
        </w:numPr>
        <w:jc w:val="left"/>
      </w:pPr>
      <w:proofErr w:type="spellStart"/>
      <w:r>
        <w:t>Pipettierstationen</w:t>
      </w:r>
      <w:proofErr w:type="spellEnd"/>
    </w:p>
    <w:p w:rsidR="000B07EE" w:rsidRPr="00BB25E9" w:rsidRDefault="000B07EE" w:rsidP="000B07EE">
      <w:r>
        <w:t xml:space="preserve">Elektronische Pipetten können einstellbare Volumen aufnehmen und abgeben. Im Gegensatz zu </w:t>
      </w:r>
      <w:r w:rsidR="00BB08FA">
        <w:t>Kolbenhub-</w:t>
      </w:r>
      <w:r>
        <w:t>Pipetten können die elektronischen Pipetten das aufgenommene Volumen stufenweise verteilt abgeben, selbstständig mischen oder abhängig von der Flüssigkeit Aufnahme- und Abgabegeschwindigkeit regulieren.</w:t>
      </w:r>
      <w:r w:rsidR="00EC049B">
        <w:t xml:space="preserve"> Als Vertreter der elektronischen Pipetten </w:t>
      </w:r>
      <w:r w:rsidR="00BB25E9">
        <w:t xml:space="preserve">ist die </w:t>
      </w:r>
      <w:r w:rsidR="00BB25E9">
        <w:rPr>
          <w:rFonts w:cs="Times New Roman"/>
        </w:rPr>
        <w:t>Eppendorf</w:t>
      </w:r>
      <w:r w:rsidR="00BB25E9">
        <w:t xml:space="preserve"> </w:t>
      </w:r>
      <w:proofErr w:type="spellStart"/>
      <w:r w:rsidR="00BB25E9">
        <w:t>Xplorer</w:t>
      </w:r>
      <w:proofErr w:type="spellEnd"/>
      <w:r w:rsidR="00BB25E9" w:rsidRPr="00BB25E9">
        <w:rPr>
          <w:rFonts w:cs="Times New Roman"/>
          <w:vertAlign w:val="superscript"/>
        </w:rPr>
        <w:t>®</w:t>
      </w:r>
      <w:r w:rsidR="00BB25E9">
        <w:rPr>
          <w:rFonts w:cs="Times New Roman"/>
        </w:rPr>
        <w:t xml:space="preserve"> plus Einkanalpipette in </w:t>
      </w:r>
      <w:r w:rsidR="00BB25E9">
        <w:rPr>
          <w:rFonts w:cs="Times New Roman"/>
        </w:rPr>
        <w:fldChar w:fldCharType="begin"/>
      </w:r>
      <w:r w:rsidR="00BB25E9">
        <w:rPr>
          <w:rFonts w:cs="Times New Roman"/>
        </w:rPr>
        <w:instrText xml:space="preserve"> REF _Ref478840307 \h </w:instrText>
      </w:r>
      <w:r w:rsidR="00BB25E9">
        <w:rPr>
          <w:rFonts w:cs="Times New Roman"/>
        </w:rPr>
      </w:r>
      <w:r w:rsidR="00BB25E9">
        <w:rPr>
          <w:rFonts w:cs="Times New Roman"/>
        </w:rPr>
        <w:fldChar w:fldCharType="separate"/>
      </w:r>
      <w:r w:rsidR="00B17641">
        <w:t xml:space="preserve">Abbildung </w:t>
      </w:r>
      <w:r w:rsidR="00B17641">
        <w:rPr>
          <w:noProof/>
        </w:rPr>
        <w:t>9</w:t>
      </w:r>
      <w:r w:rsidR="00BB25E9">
        <w:rPr>
          <w:rFonts w:cs="Times New Roman"/>
        </w:rPr>
        <w:fldChar w:fldCharType="end"/>
      </w:r>
      <w:r w:rsidR="00BB25E9">
        <w:rPr>
          <w:rFonts w:cs="Times New Roman"/>
        </w:rPr>
        <w:t xml:space="preserve"> gezeigt.</w:t>
      </w:r>
    </w:p>
    <w:p w:rsidR="00BB25E9" w:rsidRDefault="00BB25E9" w:rsidP="00BB25E9">
      <w:pPr>
        <w:keepNext/>
      </w:pPr>
      <w:r>
        <w:rPr>
          <w:noProof/>
          <w:lang w:eastAsia="de-DE"/>
        </w:rPr>
        <w:lastRenderedPageBreak/>
        <w:drawing>
          <wp:inline distT="0" distB="0" distL="0" distR="0">
            <wp:extent cx="2381250" cy="2381250"/>
            <wp:effectExtent l="0" t="0" r="0" b="0"/>
            <wp:docPr id="16" name="Grafik 16" descr="http://www.usascientific.com/productimages/liquidhand/main/eppendorf_xplor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usascientific.com/productimages/liquidhand/main/eppendorf_xplorer.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381250" cy="2381250"/>
                    </a:xfrm>
                    <a:prstGeom prst="rect">
                      <a:avLst/>
                    </a:prstGeom>
                    <a:noFill/>
                    <a:ln>
                      <a:noFill/>
                    </a:ln>
                  </pic:spPr>
                </pic:pic>
              </a:graphicData>
            </a:graphic>
          </wp:inline>
        </w:drawing>
      </w:r>
    </w:p>
    <w:p w:rsidR="00BB25E9" w:rsidRPr="00BB25E9" w:rsidRDefault="00BB25E9" w:rsidP="00BB25E9">
      <w:pPr>
        <w:pStyle w:val="Beschriftung"/>
        <w:jc w:val="left"/>
      </w:pPr>
      <w:bookmarkStart w:id="26" w:name="_Ref478840307"/>
      <w:bookmarkStart w:id="27" w:name="_Toc478923372"/>
      <w:r>
        <w:t xml:space="preserve">Abbildung </w:t>
      </w:r>
      <w:fldSimple w:instr=" SEQ Abbildung \* ARABIC ">
        <w:r w:rsidR="00B17641">
          <w:rPr>
            <w:noProof/>
          </w:rPr>
          <w:t>9</w:t>
        </w:r>
      </w:fldSimple>
      <w:bookmarkEnd w:id="26"/>
      <w:r>
        <w:t xml:space="preserve">: Eppendorf </w:t>
      </w:r>
      <w:proofErr w:type="spellStart"/>
      <w:r>
        <w:t>Xplorer</w:t>
      </w:r>
      <w:proofErr w:type="spellEnd"/>
      <w:r w:rsidRPr="00BB25E9">
        <w:rPr>
          <w:rFonts w:cs="Times New Roman"/>
          <w:vertAlign w:val="superscript"/>
        </w:rPr>
        <w:t>®</w:t>
      </w:r>
      <w:r>
        <w:rPr>
          <w:rFonts w:cs="Times New Roman"/>
        </w:rPr>
        <w:t xml:space="preserve"> plus</w:t>
      </w:r>
      <w:r>
        <w:t xml:space="preserve"> Einkanalpipette [</w:t>
      </w:r>
      <w:r w:rsidRPr="00BB25E9">
        <w:t>http://www.usascientific.com/productimages/liquidhand/main/eppendorf_xplorer.jpg</w:t>
      </w:r>
      <w:r>
        <w:t>]</w:t>
      </w:r>
      <w:bookmarkEnd w:id="27"/>
    </w:p>
    <w:p w:rsidR="000B07EE" w:rsidRDefault="000B07EE" w:rsidP="000B07EE">
      <w:proofErr w:type="spellStart"/>
      <w:r>
        <w:t>Pipettierroboter</w:t>
      </w:r>
      <w:proofErr w:type="spellEnd"/>
      <w:r>
        <w:t xml:space="preserve"> sind meist Roboterarme, die entweder integrierte </w:t>
      </w:r>
      <w:proofErr w:type="spellStart"/>
      <w:r w:rsidR="00BB08FA">
        <w:t>Dispenser</w:t>
      </w:r>
      <w:proofErr w:type="spellEnd"/>
      <w:r w:rsidR="00BB08FA">
        <w:t xml:space="preserve"> besitzen</w:t>
      </w:r>
      <w:r>
        <w:t xml:space="preserve"> oder Kolbenhubpipetten halten können. Die Roboter können programmiert werden, um </w:t>
      </w:r>
      <w:proofErr w:type="spellStart"/>
      <w:r>
        <w:t>Pipettiervorgänge</w:t>
      </w:r>
      <w:proofErr w:type="spellEnd"/>
      <w:r>
        <w:t xml:space="preserve"> automatisch und vom Menschen unabhängig durchzuführen. Ebenfalls möglich ist eine Fernsteuerung des </w:t>
      </w:r>
      <w:proofErr w:type="spellStart"/>
      <w:r>
        <w:t>Pipettiervorgangs</w:t>
      </w:r>
      <w:proofErr w:type="spellEnd"/>
      <w:r>
        <w:t xml:space="preserve">, beispielsweise für die Ausführung von nicht-zyklischen </w:t>
      </w:r>
      <w:proofErr w:type="spellStart"/>
      <w:r>
        <w:t>Pipettiervorgängen</w:t>
      </w:r>
      <w:proofErr w:type="spellEnd"/>
      <w:r>
        <w:t xml:space="preserve"> mit Gefahrstoffen. </w:t>
      </w:r>
      <w:r w:rsidR="00EC049B">
        <w:t xml:space="preserve">Beispielhaft ist in </w:t>
      </w:r>
      <w:r w:rsidR="00BB25E9">
        <w:fldChar w:fldCharType="begin"/>
      </w:r>
      <w:r w:rsidR="00BB25E9">
        <w:instrText xml:space="preserve"> REF _Ref478840314 \h </w:instrText>
      </w:r>
      <w:r w:rsidR="00BB25E9">
        <w:fldChar w:fldCharType="separate"/>
      </w:r>
      <w:r w:rsidR="00B17641">
        <w:t xml:space="preserve">Abbildung </w:t>
      </w:r>
      <w:r w:rsidR="00B17641">
        <w:rPr>
          <w:noProof/>
        </w:rPr>
        <w:t>10</w:t>
      </w:r>
      <w:r w:rsidR="00BB25E9">
        <w:fldChar w:fldCharType="end"/>
      </w:r>
      <w:r w:rsidR="00EC049B">
        <w:t xml:space="preserve"> der Andrew 1000R-XL dargestellt. </w:t>
      </w:r>
      <w:r>
        <w:t>[</w:t>
      </w:r>
      <w:r w:rsidR="00EC049B">
        <w:t>ANDREW ALLIANCE</w:t>
      </w:r>
      <w:r>
        <w:t>, 201</w:t>
      </w:r>
      <w:r w:rsidR="001B221C">
        <w:t>6</w:t>
      </w:r>
      <w:r>
        <w:t>]</w:t>
      </w:r>
    </w:p>
    <w:p w:rsidR="00EC049B" w:rsidRDefault="00EC049B" w:rsidP="00EC049B">
      <w:pPr>
        <w:keepNext/>
      </w:pPr>
      <w:r>
        <w:rPr>
          <w:noProof/>
          <w:lang w:eastAsia="de-DE"/>
        </w:rPr>
        <w:drawing>
          <wp:inline distT="0" distB="0" distL="0" distR="0" wp14:anchorId="7B05A5D1" wp14:editId="22B749E0">
            <wp:extent cx="2856623" cy="2571750"/>
            <wp:effectExtent l="0" t="0" r="1270" b="0"/>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2860059" cy="2574843"/>
                    </a:xfrm>
                    <a:prstGeom prst="rect">
                      <a:avLst/>
                    </a:prstGeom>
                  </pic:spPr>
                </pic:pic>
              </a:graphicData>
            </a:graphic>
          </wp:inline>
        </w:drawing>
      </w:r>
    </w:p>
    <w:p w:rsidR="00EC049B" w:rsidRDefault="00EC049B" w:rsidP="00EC049B">
      <w:pPr>
        <w:pStyle w:val="Beschriftung"/>
      </w:pPr>
      <w:bookmarkStart w:id="28" w:name="_Ref478840314"/>
      <w:bookmarkStart w:id="29" w:name="_Toc478923373"/>
      <w:r>
        <w:t xml:space="preserve">Abbildung </w:t>
      </w:r>
      <w:fldSimple w:instr=" SEQ Abbildung \* ARABIC ">
        <w:r w:rsidR="00B17641">
          <w:rPr>
            <w:noProof/>
          </w:rPr>
          <w:t>10</w:t>
        </w:r>
      </w:fldSimple>
      <w:bookmarkEnd w:id="28"/>
      <w:r>
        <w:t xml:space="preserve">: </w:t>
      </w:r>
      <w:proofErr w:type="spellStart"/>
      <w:r>
        <w:t>Pipettierroboter</w:t>
      </w:r>
      <w:proofErr w:type="spellEnd"/>
      <w:r>
        <w:t xml:space="preserve"> Andrew 1000R-XL [ANDREW ALLIANCE, 2016]</w:t>
      </w:r>
      <w:bookmarkEnd w:id="29"/>
    </w:p>
    <w:p w:rsidR="000B07EE" w:rsidRDefault="000B07EE" w:rsidP="000B07EE">
      <w:proofErr w:type="spellStart"/>
      <w:r>
        <w:t>Pipettierstationen</w:t>
      </w:r>
      <w:proofErr w:type="spellEnd"/>
      <w:r>
        <w:t xml:space="preserve"> oder Liquid Handling Workstations sind Stationen mit einem oder mehr </w:t>
      </w:r>
      <w:proofErr w:type="spellStart"/>
      <w:r>
        <w:t>Pipettierrobotern</w:t>
      </w:r>
      <w:proofErr w:type="spellEnd"/>
      <w:r>
        <w:t xml:space="preserve">, die zusätzlich noch weitere Geräte zur </w:t>
      </w:r>
      <w:proofErr w:type="spellStart"/>
      <w:r>
        <w:t>Prozessierung</w:t>
      </w:r>
      <w:proofErr w:type="spellEnd"/>
      <w:r>
        <w:t xml:space="preserve"> von Flüssigkeiten haben. Sie sind meist modifizierbar und flexibel gestaltet, um sie individuellen Anforderungen anzupassen. Es können zum Beispiel Sensoren, Schüttler, </w:t>
      </w:r>
      <w:proofErr w:type="spellStart"/>
      <w:r w:rsidR="00EC11DD">
        <w:t>Peltierelemente</w:t>
      </w:r>
      <w:proofErr w:type="spellEnd"/>
      <w:r>
        <w:t xml:space="preserve"> oder Verpackungs- und Beschriftungsmodule eingebaut werden. </w:t>
      </w:r>
      <w:r w:rsidR="00EC11DD">
        <w:t xml:space="preserve">Als Beispiel für aktuelle </w:t>
      </w:r>
      <w:proofErr w:type="spellStart"/>
      <w:r w:rsidR="00EC11DD">
        <w:t>Pipettierstationen</w:t>
      </w:r>
      <w:proofErr w:type="spellEnd"/>
      <w:r w:rsidR="00EC11DD">
        <w:t xml:space="preserve"> ist in </w:t>
      </w:r>
      <w:r w:rsidR="00EC11DD">
        <w:fldChar w:fldCharType="begin"/>
      </w:r>
      <w:r w:rsidR="00EC11DD">
        <w:instrText xml:space="preserve"> REF _Ref478841521 \h </w:instrText>
      </w:r>
      <w:r w:rsidR="00EC11DD">
        <w:fldChar w:fldCharType="separate"/>
      </w:r>
      <w:r w:rsidR="00B17641">
        <w:t xml:space="preserve">Abbildung </w:t>
      </w:r>
      <w:r w:rsidR="00B17641">
        <w:rPr>
          <w:noProof/>
        </w:rPr>
        <w:t>11</w:t>
      </w:r>
      <w:r w:rsidR="00EC11DD">
        <w:fldChar w:fldCharType="end"/>
      </w:r>
      <w:r w:rsidR="00EC11DD">
        <w:t xml:space="preserve"> das </w:t>
      </w:r>
      <w:proofErr w:type="spellStart"/>
      <w:r w:rsidR="00EC11DD">
        <w:t>Tecan</w:t>
      </w:r>
      <w:proofErr w:type="spellEnd"/>
      <w:r w:rsidR="00EC11DD">
        <w:t xml:space="preserve"> </w:t>
      </w:r>
      <w:proofErr w:type="spellStart"/>
      <w:r w:rsidR="00EC11DD">
        <w:t>Fluent</w:t>
      </w:r>
      <w:proofErr w:type="spellEnd"/>
      <w:r w:rsidR="00EC11DD">
        <w:rPr>
          <w:rFonts w:cs="Times New Roman"/>
        </w:rPr>
        <w:t>™</w:t>
      </w:r>
      <w:r w:rsidR="00EC11DD">
        <w:t xml:space="preserve"> System gezeigt. </w:t>
      </w:r>
      <w:r>
        <w:t>[</w:t>
      </w:r>
      <w:proofErr w:type="spellStart"/>
      <w:r>
        <w:t>Tecan</w:t>
      </w:r>
      <w:proofErr w:type="spellEnd"/>
      <w:r>
        <w:t>, 201</w:t>
      </w:r>
      <w:r w:rsidR="00EC11DD">
        <w:t>4</w:t>
      </w:r>
      <w:r>
        <w:t>]</w:t>
      </w:r>
    </w:p>
    <w:p w:rsidR="00EC11DD" w:rsidRDefault="00EC11DD" w:rsidP="00EC11DD">
      <w:pPr>
        <w:keepNext/>
      </w:pPr>
      <w:r>
        <w:rPr>
          <w:noProof/>
          <w:lang w:eastAsia="de-DE"/>
        </w:rPr>
        <w:lastRenderedPageBreak/>
        <w:drawing>
          <wp:inline distT="0" distB="0" distL="0" distR="0" wp14:anchorId="18CB072B" wp14:editId="3FDEC022">
            <wp:extent cx="4048125" cy="2861837"/>
            <wp:effectExtent l="0" t="0" r="0" b="0"/>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51495" cy="2864220"/>
                    </a:xfrm>
                    <a:prstGeom prst="rect">
                      <a:avLst/>
                    </a:prstGeom>
                    <a:noFill/>
                    <a:ln>
                      <a:noFill/>
                    </a:ln>
                  </pic:spPr>
                </pic:pic>
              </a:graphicData>
            </a:graphic>
          </wp:inline>
        </w:drawing>
      </w:r>
    </w:p>
    <w:p w:rsidR="00BB25E9" w:rsidRDefault="00EC11DD" w:rsidP="00EC11DD">
      <w:pPr>
        <w:pStyle w:val="Beschriftung"/>
      </w:pPr>
      <w:bookmarkStart w:id="30" w:name="_Ref478841521"/>
      <w:bookmarkStart w:id="31" w:name="_Toc478923374"/>
      <w:r>
        <w:t xml:space="preserve">Abbildung </w:t>
      </w:r>
      <w:fldSimple w:instr=" SEQ Abbildung \* ARABIC ">
        <w:r w:rsidR="00B17641">
          <w:rPr>
            <w:noProof/>
          </w:rPr>
          <w:t>11</w:t>
        </w:r>
      </w:fldSimple>
      <w:bookmarkEnd w:id="30"/>
      <w:r>
        <w:t xml:space="preserve">: </w:t>
      </w:r>
      <w:proofErr w:type="spellStart"/>
      <w:r>
        <w:t>Tecan</w:t>
      </w:r>
      <w:proofErr w:type="spellEnd"/>
      <w:r>
        <w:t xml:space="preserve"> </w:t>
      </w:r>
      <w:proofErr w:type="spellStart"/>
      <w:r>
        <w:t>Fluent</w:t>
      </w:r>
      <w:proofErr w:type="spellEnd"/>
      <w:r w:rsidRPr="00EC11DD">
        <w:rPr>
          <w:rFonts w:cs="Times New Roman"/>
        </w:rPr>
        <w:t>™</w:t>
      </w:r>
      <w:r>
        <w:t xml:space="preserve"> mit angeschlossenem System zur Lagerung und Kühlung von </w:t>
      </w:r>
      <w:proofErr w:type="spellStart"/>
      <w:r>
        <w:t>Mikrotiterplatten</w:t>
      </w:r>
      <w:proofErr w:type="spellEnd"/>
      <w:r>
        <w:t xml:space="preserve"> [TECAN, 2014]</w:t>
      </w:r>
      <w:bookmarkEnd w:id="31"/>
    </w:p>
    <w:p w:rsidR="000B07EE" w:rsidRPr="006F087B" w:rsidRDefault="000B07EE" w:rsidP="006F087B">
      <w:r>
        <w:t xml:space="preserve">Die meisten </w:t>
      </w:r>
      <w:proofErr w:type="spellStart"/>
      <w:r>
        <w:t>Pipettierroboter</w:t>
      </w:r>
      <w:proofErr w:type="spellEnd"/>
      <w:r>
        <w:t xml:space="preserve"> und </w:t>
      </w:r>
      <w:proofErr w:type="spellStart"/>
      <w:r>
        <w:t>Pipettierstationen</w:t>
      </w:r>
      <w:proofErr w:type="spellEnd"/>
      <w:r>
        <w:t xml:space="preserve"> haben Computerschnittstellen für die Programmierung und Kommunikation. Elektronische Pipetten haben meist ein eingebautes Display mit Tasten und eine nicht modifizierbare Programmierung.</w:t>
      </w:r>
    </w:p>
    <w:p w:rsidR="00704DE1" w:rsidRDefault="00B75ED4">
      <w:pPr>
        <w:sectPr w:rsidR="00704DE1" w:rsidSect="00801116">
          <w:headerReference w:type="default" r:id="rId25"/>
          <w:footerReference w:type="default" r:id="rId26"/>
          <w:pgSz w:w="11906" w:h="16838"/>
          <w:pgMar w:top="1417" w:right="1417" w:bottom="1134" w:left="1417" w:header="708" w:footer="708" w:gutter="0"/>
          <w:cols w:space="708"/>
          <w:docGrid w:linePitch="360"/>
        </w:sectPr>
      </w:pPr>
      <w:r>
        <w:br w:type="page"/>
      </w:r>
    </w:p>
    <w:p w:rsidR="0096371D" w:rsidRPr="00DA540B" w:rsidRDefault="00481365" w:rsidP="00DA540B">
      <w:pPr>
        <w:pStyle w:val="berschrift1"/>
        <w:rPr>
          <w:rStyle w:val="berschrift1Zchn"/>
          <w:b/>
          <w:bCs/>
        </w:rPr>
      </w:pPr>
      <w:bookmarkStart w:id="32" w:name="_Toc478923354"/>
      <w:r w:rsidRPr="00DA540B">
        <w:rPr>
          <w:rStyle w:val="berschrift1Zchn"/>
          <w:b/>
          <w:bCs/>
        </w:rPr>
        <w:lastRenderedPageBreak/>
        <w:t>2</w:t>
      </w:r>
      <w:r w:rsidR="0096371D" w:rsidRPr="00DA540B">
        <w:rPr>
          <w:rStyle w:val="berschrift1Zchn"/>
          <w:b/>
          <w:bCs/>
        </w:rPr>
        <w:t xml:space="preserve"> </w:t>
      </w:r>
      <w:r w:rsidR="007E16E6" w:rsidRPr="00DA540B">
        <w:rPr>
          <w:rStyle w:val="berschrift1Zchn"/>
          <w:b/>
          <w:bCs/>
        </w:rPr>
        <w:t>Zielstellung</w:t>
      </w:r>
      <w:bookmarkEnd w:id="32"/>
    </w:p>
    <w:p w:rsidR="00095690" w:rsidRDefault="00095690" w:rsidP="00095690">
      <w:r w:rsidRPr="00095690">
        <w:t xml:space="preserve">Ziel dieser </w:t>
      </w:r>
      <w:r>
        <w:t xml:space="preserve">Arbeit war die theoretische Ausarbeitung eines automatischen Liquid-Handling-Systems mit integrierter Fluoreszenzmessung für die Überwachung und Auswertung von biologischen </w:t>
      </w:r>
      <w:proofErr w:type="spellStart"/>
      <w:r>
        <w:t>Assays</w:t>
      </w:r>
      <w:proofErr w:type="spellEnd"/>
      <w:r w:rsidR="003D0C9F">
        <w:t>. Dafür sollten die folgenden Schritte durchgeführt werden:</w:t>
      </w:r>
    </w:p>
    <w:p w:rsidR="003D0C9F" w:rsidRDefault="003D0C9F" w:rsidP="003D0C9F">
      <w:pPr>
        <w:pStyle w:val="Listenabsatz"/>
        <w:numPr>
          <w:ilvl w:val="0"/>
          <w:numId w:val="15"/>
        </w:numPr>
      </w:pPr>
      <w:r>
        <w:t>Recherche zum Thema Fluoreszenzdetektion und automatisiertem Liquid Handling</w:t>
      </w:r>
    </w:p>
    <w:p w:rsidR="003D0C9F" w:rsidRDefault="003D0C9F" w:rsidP="003D0C9F">
      <w:pPr>
        <w:pStyle w:val="Listenabsatz"/>
        <w:numPr>
          <w:ilvl w:val="0"/>
          <w:numId w:val="15"/>
        </w:numPr>
      </w:pPr>
      <w:r>
        <w:t xml:space="preserve">Recherche zu aktuellen </w:t>
      </w:r>
      <w:proofErr w:type="spellStart"/>
      <w:r>
        <w:t>Messsytemen</w:t>
      </w:r>
      <w:proofErr w:type="spellEnd"/>
      <w:r>
        <w:t xml:space="preserve"> für </w:t>
      </w:r>
      <w:proofErr w:type="spellStart"/>
      <w:r>
        <w:t>Fluoreszenzquantifikation</w:t>
      </w:r>
      <w:proofErr w:type="spellEnd"/>
    </w:p>
    <w:p w:rsidR="003D0C9F" w:rsidRDefault="003D0C9F" w:rsidP="003D0C9F">
      <w:pPr>
        <w:pStyle w:val="Listenabsatz"/>
        <w:numPr>
          <w:ilvl w:val="0"/>
          <w:numId w:val="15"/>
        </w:numPr>
      </w:pPr>
      <w:r>
        <w:t xml:space="preserve">Recherche zu kommerziellen Integrationen von </w:t>
      </w:r>
      <w:proofErr w:type="spellStart"/>
      <w:r>
        <w:t>Microplate</w:t>
      </w:r>
      <w:proofErr w:type="spellEnd"/>
      <w:r>
        <w:t xml:space="preserve"> Readern in </w:t>
      </w:r>
      <w:proofErr w:type="spellStart"/>
      <w:r>
        <w:t>Pipettierstationen</w:t>
      </w:r>
      <w:proofErr w:type="spellEnd"/>
    </w:p>
    <w:p w:rsidR="003D0C9F" w:rsidRPr="00095690" w:rsidRDefault="003D0C9F" w:rsidP="003D0C9F">
      <w:pPr>
        <w:pStyle w:val="Listenabsatz"/>
        <w:numPr>
          <w:ilvl w:val="0"/>
          <w:numId w:val="15"/>
        </w:numPr>
      </w:pPr>
      <w:r>
        <w:t xml:space="preserve">Entwicklung </w:t>
      </w:r>
      <w:r w:rsidR="00111695">
        <w:t>einer möglichen praktischen Umsetzung</w:t>
      </w:r>
      <w:r>
        <w:t xml:space="preserve"> zur Kopplung von Liquid-Handling-Systemen mit einem Modul zur </w:t>
      </w:r>
      <w:proofErr w:type="spellStart"/>
      <w:r>
        <w:t>Fluoreszenzquantifikation</w:t>
      </w:r>
      <w:proofErr w:type="spellEnd"/>
    </w:p>
    <w:p w:rsidR="00704DE1" w:rsidRDefault="007E16E6">
      <w:pPr>
        <w:rPr>
          <w:vertAlign w:val="subscript"/>
        </w:rPr>
        <w:sectPr w:rsidR="00704DE1" w:rsidSect="00801116">
          <w:headerReference w:type="default" r:id="rId27"/>
          <w:pgSz w:w="11906" w:h="16838"/>
          <w:pgMar w:top="1417" w:right="1417" w:bottom="1134" w:left="1417" w:header="708" w:footer="708" w:gutter="0"/>
          <w:cols w:space="708"/>
          <w:docGrid w:linePitch="360"/>
        </w:sectPr>
      </w:pPr>
      <w:r>
        <w:rPr>
          <w:vertAlign w:val="subscript"/>
        </w:rPr>
        <w:br w:type="page"/>
      </w:r>
    </w:p>
    <w:p w:rsidR="0023687B" w:rsidRDefault="0023687B" w:rsidP="0023687B">
      <w:pPr>
        <w:pStyle w:val="berschrift1"/>
      </w:pPr>
      <w:bookmarkStart w:id="33" w:name="_Toc478923355"/>
      <w:r>
        <w:lastRenderedPageBreak/>
        <w:t xml:space="preserve">3 </w:t>
      </w:r>
      <w:r w:rsidR="00C7056B">
        <w:t>Aktuelle Messsysteme</w:t>
      </w:r>
      <w:bookmarkEnd w:id="33"/>
    </w:p>
    <w:p w:rsidR="00C7056B" w:rsidRDefault="00C7056B" w:rsidP="0059594A">
      <w:pPr>
        <w:pStyle w:val="berschrift2"/>
      </w:pPr>
      <w:bookmarkStart w:id="34" w:name="_Toc478923356"/>
      <w:r>
        <w:t xml:space="preserve">3.1 </w:t>
      </w:r>
      <w:proofErr w:type="spellStart"/>
      <w:r w:rsidR="00555C9C">
        <w:t>F</w:t>
      </w:r>
      <w:r>
        <w:t>luorometer</w:t>
      </w:r>
      <w:bookmarkEnd w:id="34"/>
      <w:proofErr w:type="spellEnd"/>
    </w:p>
    <w:p w:rsidR="00B167C4" w:rsidRDefault="00555C9C" w:rsidP="00B167C4">
      <w:r>
        <w:t xml:space="preserve">Aufgrund der weiten Verbreitung der </w:t>
      </w:r>
      <w:proofErr w:type="spellStart"/>
      <w:r>
        <w:t>Fluorometer</w:t>
      </w:r>
      <w:proofErr w:type="spellEnd"/>
      <w:r>
        <w:t xml:space="preserve"> für die Überwachung und Quantifizierung verschiedener biologischer Prozesse mittels Fluoreszenzmarkern existiert derzeit eine große Vielfalt verschiedener Modelle auf dem Markt. </w:t>
      </w:r>
      <w:r w:rsidR="00221B8B">
        <w:t xml:space="preserve">Die Proben werden auf verschiedene Arten festgehalten, unter anderem in Küvetten, Kapillaren, Petrischalen oder </w:t>
      </w:r>
      <w:proofErr w:type="spellStart"/>
      <w:r w:rsidR="00221B8B">
        <w:t>Mikrotiterplatten</w:t>
      </w:r>
      <w:proofErr w:type="spellEnd"/>
      <w:r w:rsidR="00221B8B">
        <w:t xml:space="preserve">. Um eine erhöhte Funktionalität zu erreichen, werden die </w:t>
      </w:r>
      <w:proofErr w:type="spellStart"/>
      <w:r w:rsidR="00221B8B">
        <w:t>F</w:t>
      </w:r>
      <w:r w:rsidR="0098182F">
        <w:t>l</w:t>
      </w:r>
      <w:r w:rsidR="00221B8B">
        <w:t>uorometer</w:t>
      </w:r>
      <w:proofErr w:type="spellEnd"/>
      <w:r w:rsidR="00221B8B">
        <w:t xml:space="preserve"> teilweise mit den Funktionen </w:t>
      </w:r>
      <w:r w:rsidR="00BB08FA">
        <w:t>anderer Messgeräte ausgestattet.</w:t>
      </w:r>
      <w:r w:rsidR="00221B8B">
        <w:t xml:space="preserve"> </w:t>
      </w:r>
      <w:r w:rsidR="00BB08FA">
        <w:t>B</w:t>
      </w:r>
      <w:r>
        <w:t xml:space="preserve">esonders verbreitet sind Kombinationen von Spektralphotometern und </w:t>
      </w:r>
      <w:proofErr w:type="spellStart"/>
      <w:r>
        <w:t>Fluorometern</w:t>
      </w:r>
      <w:proofErr w:type="spellEnd"/>
      <w:r>
        <w:t xml:space="preserve">, mit denen sowohl Absorptionsspektroskopie als auch </w:t>
      </w:r>
      <w:r w:rsidR="00FB7F42">
        <w:t xml:space="preserve">Fluoreszenzspektroskopie betrieben werden kann. Ein aktueller Vertreter dieses Gerätetyps ist der </w:t>
      </w:r>
      <w:proofErr w:type="spellStart"/>
      <w:r w:rsidR="00FB7F42">
        <w:t>EnSpire</w:t>
      </w:r>
      <w:proofErr w:type="spellEnd"/>
      <w:r w:rsidR="00FB7F42">
        <w:t xml:space="preserve"> Multimode Plate Reader von </w:t>
      </w:r>
      <w:proofErr w:type="spellStart"/>
      <w:r w:rsidR="00FB7F42">
        <w:t>PerkinElmer</w:t>
      </w:r>
      <w:proofErr w:type="spellEnd"/>
      <w:r w:rsidR="00FB7F42">
        <w:t xml:space="preserve"> mit einem </w:t>
      </w:r>
      <w:r w:rsidR="00834DDE">
        <w:t>[PERKINELMER, 201</w:t>
      </w:r>
      <w:r w:rsidR="00B851E1">
        <w:t>1</w:t>
      </w:r>
      <w:r w:rsidR="00834DDE">
        <w:t>]</w:t>
      </w:r>
      <w:r w:rsidR="00FB7F42">
        <w:t>.</w:t>
      </w:r>
      <w:r w:rsidR="00834DDE">
        <w:t xml:space="preserve"> Dieses Gerät verwendet jeweils zwei Monochromatoren für die Filterung der Anregungs- und E</w:t>
      </w:r>
      <w:r w:rsidR="007E28FA">
        <w:t>missionsstrahlung, um eine höhere Trennschärfe der gewählte</w:t>
      </w:r>
      <w:r w:rsidR="00B167C4">
        <w:t xml:space="preserve">n Wellenlänge zu erreichen. Weitere Vertreter dieses Gerätetyps sind die Geräte der </w:t>
      </w:r>
      <w:proofErr w:type="spellStart"/>
      <w:r w:rsidR="00B167C4">
        <w:t>SpectraMax</w:t>
      </w:r>
      <w:proofErr w:type="spellEnd"/>
      <w:r w:rsidR="00B167C4">
        <w:rPr>
          <w:rFonts w:cs="Times New Roman"/>
        </w:rPr>
        <w:t>™</w:t>
      </w:r>
      <w:r w:rsidR="00B167C4">
        <w:t xml:space="preserve">-Reihe von </w:t>
      </w:r>
      <w:proofErr w:type="spellStart"/>
      <w:r w:rsidR="00B167C4">
        <w:t>Molecular</w:t>
      </w:r>
      <w:proofErr w:type="spellEnd"/>
      <w:r w:rsidR="00B167C4">
        <w:t xml:space="preserve"> Devices, der </w:t>
      </w:r>
      <w:proofErr w:type="spellStart"/>
      <w:r w:rsidR="00B167C4">
        <w:t>Safire</w:t>
      </w:r>
      <w:proofErr w:type="spellEnd"/>
      <w:r w:rsidR="00B167C4">
        <w:t xml:space="preserve"> 2 Multimode </w:t>
      </w:r>
      <w:proofErr w:type="spellStart"/>
      <w:r w:rsidR="00B167C4">
        <w:t>Microplate</w:t>
      </w:r>
      <w:proofErr w:type="spellEnd"/>
      <w:r w:rsidR="00B167C4">
        <w:t xml:space="preserve"> Reader von </w:t>
      </w:r>
      <w:proofErr w:type="spellStart"/>
      <w:r w:rsidR="00B167C4">
        <w:t>Tecan</w:t>
      </w:r>
      <w:proofErr w:type="spellEnd"/>
      <w:r w:rsidR="00B167C4">
        <w:t xml:space="preserve"> oder der </w:t>
      </w:r>
      <w:proofErr w:type="spellStart"/>
      <w:r w:rsidR="00B167C4">
        <w:t>Fluoroskan</w:t>
      </w:r>
      <w:proofErr w:type="spellEnd"/>
      <w:r w:rsidR="00B167C4">
        <w:t xml:space="preserve"> von </w:t>
      </w:r>
      <w:proofErr w:type="spellStart"/>
      <w:r w:rsidR="00B167C4">
        <w:t>Thermo</w:t>
      </w:r>
      <w:proofErr w:type="spellEnd"/>
      <w:r w:rsidR="00B167C4">
        <w:t xml:space="preserve"> Scientific</w:t>
      </w:r>
      <w:r w:rsidR="004F64F4">
        <w:t xml:space="preserve"> [TECAN</w:t>
      </w:r>
      <w:r w:rsidR="00D320E1">
        <w:t xml:space="preserve"> A</w:t>
      </w:r>
      <w:r w:rsidR="004F64F4">
        <w:t>, 2017; MOLECULAR DEVICES, 2017</w:t>
      </w:r>
      <w:r w:rsidR="008D6011">
        <w:t>; THERMO SCIENTIFIC, 2009</w:t>
      </w:r>
      <w:r w:rsidR="004F64F4">
        <w:t>]</w:t>
      </w:r>
      <w:r w:rsidR="00B167C4">
        <w:t xml:space="preserve">. </w:t>
      </w:r>
      <w:r w:rsidR="004F64F4">
        <w:t xml:space="preserve">Die genannten Geräte besitzen weiterhin integrierte </w:t>
      </w:r>
      <w:r w:rsidR="00B851E1">
        <w:t>Heizelemente, Schüttler</w:t>
      </w:r>
      <w:r w:rsidR="004F64F4">
        <w:t xml:space="preserve"> und mit Ausnahme einiger der </w:t>
      </w:r>
      <w:proofErr w:type="spellStart"/>
      <w:r w:rsidR="004F64F4">
        <w:t>SpectraMax</w:t>
      </w:r>
      <w:proofErr w:type="spellEnd"/>
      <w:r w:rsidR="004F64F4">
        <w:t xml:space="preserve">-Geräte </w:t>
      </w:r>
      <w:proofErr w:type="spellStart"/>
      <w:r w:rsidR="004F64F4">
        <w:t>Dispenser</w:t>
      </w:r>
      <w:proofErr w:type="spellEnd"/>
      <w:r w:rsidR="008D6011">
        <w:t xml:space="preserve"> für die präzise und automatisierte Zugabe von Reagenzien in die zu untersuchenden Platten, beispielsweise für die Untersuchung einer Reaktionskinetik.</w:t>
      </w:r>
    </w:p>
    <w:p w:rsidR="00555C9C" w:rsidRDefault="00E53BF3" w:rsidP="00555C9C">
      <w:pPr>
        <w:rPr>
          <w:rFonts w:cs="Times New Roman"/>
        </w:rPr>
      </w:pPr>
      <w:r>
        <w:t xml:space="preserve">Handelsübliche </w:t>
      </w:r>
      <w:proofErr w:type="spellStart"/>
      <w:r w:rsidR="008D6011">
        <w:t>Fluorimeter</w:t>
      </w:r>
      <w:proofErr w:type="spellEnd"/>
      <w:r w:rsidR="008D6011">
        <w:t xml:space="preserve"> für die M</w:t>
      </w:r>
      <w:r w:rsidR="00A06D84">
        <w:t xml:space="preserve">essung der Fluoreszenz der, in einer Küvette vorliegenden, Probe sind meist deutlich einfacher ausgestattet. Dementsprechend gibt es auch viele kleinere Anbieter und ein großes Spektrum von angebotenen Modellen. Es werden unter anderem </w:t>
      </w:r>
      <w:r w:rsidR="00E7582C">
        <w:t>mobile</w:t>
      </w:r>
      <w:r w:rsidR="00A06D84">
        <w:t xml:space="preserve">, batteriebetriebene Modelle wie das </w:t>
      </w:r>
      <w:proofErr w:type="spellStart"/>
      <w:r w:rsidR="00A06D84">
        <w:t>AccuLite</w:t>
      </w:r>
      <w:proofErr w:type="spellEnd"/>
      <w:r w:rsidR="00A06D84">
        <w:t xml:space="preserve"> 470 von </w:t>
      </w:r>
      <w:proofErr w:type="spellStart"/>
      <w:r w:rsidR="00A06D84">
        <w:t>Biotium</w:t>
      </w:r>
      <w:proofErr w:type="spellEnd"/>
      <w:r w:rsidR="00A06D84">
        <w:t xml:space="preserve"> Inc. oder das Handheld </w:t>
      </w:r>
      <w:proofErr w:type="spellStart"/>
      <w:r w:rsidR="00A06D84">
        <w:t>Fluorometer</w:t>
      </w:r>
      <w:proofErr w:type="spellEnd"/>
      <w:r w:rsidR="00A06D84">
        <w:t xml:space="preserve"> 480/530nm von </w:t>
      </w:r>
      <w:proofErr w:type="spellStart"/>
      <w:r w:rsidR="00A06D84">
        <w:t>Biotrend</w:t>
      </w:r>
      <w:proofErr w:type="spellEnd"/>
      <w:r w:rsidR="00A06D84">
        <w:t xml:space="preserve"> Chemikalien GmbH angeboten, auch Komplettlösungen für bestimmte Verfahren wie die Bestimmung von DNA- RNA-Gehalt einer Probe werden angeboten. Als ein Vertreter dieses Typs ist das </w:t>
      </w:r>
      <w:proofErr w:type="spellStart"/>
      <w:r w:rsidR="00A06D84">
        <w:t>Qubit</w:t>
      </w:r>
      <w:proofErr w:type="spellEnd"/>
      <w:r w:rsidR="00A06D84" w:rsidRPr="00A06D84">
        <w:rPr>
          <w:rFonts w:cs="Times New Roman"/>
          <w:vertAlign w:val="superscript"/>
        </w:rPr>
        <w:t>®</w:t>
      </w:r>
      <w:r w:rsidR="00A06D84">
        <w:rPr>
          <w:rFonts w:cs="Times New Roman"/>
        </w:rPr>
        <w:t xml:space="preserve"> 3.0 </w:t>
      </w:r>
      <w:proofErr w:type="spellStart"/>
      <w:r w:rsidR="00A06D84">
        <w:rPr>
          <w:rFonts w:cs="Times New Roman"/>
        </w:rPr>
        <w:t>Fluorometer</w:t>
      </w:r>
      <w:proofErr w:type="spellEnd"/>
      <w:r w:rsidR="00A06D84">
        <w:rPr>
          <w:rFonts w:cs="Times New Roman"/>
        </w:rPr>
        <w:t xml:space="preserve"> von </w:t>
      </w:r>
      <w:proofErr w:type="spellStart"/>
      <w:r w:rsidR="00A06D84">
        <w:rPr>
          <w:rFonts w:cs="Times New Roman"/>
        </w:rPr>
        <w:t>Thermo</w:t>
      </w:r>
      <w:proofErr w:type="spellEnd"/>
      <w:r w:rsidR="00A06D84">
        <w:rPr>
          <w:rFonts w:cs="Times New Roman"/>
        </w:rPr>
        <w:t xml:space="preserve"> Scientific zu nennen, das einen integrierten Prozessor und Speicher besitzt und alle Messwerte automatisch auswertet und abspeichert</w:t>
      </w:r>
      <w:r w:rsidR="007A7401">
        <w:rPr>
          <w:rFonts w:cs="Times New Roman"/>
        </w:rPr>
        <w:t>. [THERMO SCIENTIFIC, 2016]</w:t>
      </w:r>
      <w:r w:rsidR="00A06D84">
        <w:rPr>
          <w:rFonts w:cs="Times New Roman"/>
        </w:rPr>
        <w:t>.</w:t>
      </w:r>
      <w:r w:rsidR="007A7401">
        <w:rPr>
          <w:rFonts w:cs="Times New Roman"/>
        </w:rPr>
        <w:t xml:space="preserve"> Stationäre</w:t>
      </w:r>
      <w:r w:rsidR="00E7582C">
        <w:rPr>
          <w:rFonts w:cs="Times New Roman"/>
        </w:rPr>
        <w:t xml:space="preserve">, oder </w:t>
      </w:r>
      <w:proofErr w:type="spellStart"/>
      <w:r w:rsidR="00E7582C">
        <w:rPr>
          <w:rFonts w:cs="Times New Roman"/>
        </w:rPr>
        <w:t>Benchtop</w:t>
      </w:r>
      <w:proofErr w:type="spellEnd"/>
      <w:r w:rsidR="00E7582C">
        <w:rPr>
          <w:rFonts w:cs="Times New Roman"/>
        </w:rPr>
        <w:t>-,</w:t>
      </w:r>
      <w:r w:rsidR="007A7401">
        <w:rPr>
          <w:rFonts w:cs="Times New Roman"/>
        </w:rPr>
        <w:t xml:space="preserve"> </w:t>
      </w:r>
      <w:proofErr w:type="spellStart"/>
      <w:r w:rsidR="007A7401">
        <w:rPr>
          <w:rFonts w:cs="Times New Roman"/>
        </w:rPr>
        <w:t>Fluorimeter</w:t>
      </w:r>
      <w:proofErr w:type="spellEnd"/>
      <w:r w:rsidR="007A7401">
        <w:rPr>
          <w:rFonts w:cs="Times New Roman"/>
        </w:rPr>
        <w:t xml:space="preserve"> </w:t>
      </w:r>
      <w:r w:rsidR="00BB7A1C">
        <w:rPr>
          <w:rFonts w:cs="Times New Roman"/>
        </w:rPr>
        <w:t xml:space="preserve">unterscheiden sich meist in der Messgenauigkeit oder der Messgeschwindigkeit. Ebenfalls gibt es Modelle, die eine höhere Sensitivität versprechen oder durch mehr Monochromatoren ein schmaleres Anregungsspektrum erzeugen, wie den </w:t>
      </w:r>
      <w:proofErr w:type="spellStart"/>
      <w:r w:rsidR="00BB7A1C">
        <w:rPr>
          <w:rFonts w:cs="Times New Roman"/>
        </w:rPr>
        <w:t>Aqualog</w:t>
      </w:r>
      <w:proofErr w:type="spellEnd"/>
      <w:r w:rsidR="00BB7A1C" w:rsidRPr="00BB7A1C">
        <w:rPr>
          <w:rFonts w:cs="Times New Roman"/>
          <w:vertAlign w:val="superscript"/>
        </w:rPr>
        <w:t>®</w:t>
      </w:r>
      <w:r w:rsidR="00BB7A1C">
        <w:rPr>
          <w:rFonts w:cs="Times New Roman"/>
        </w:rPr>
        <w:t xml:space="preserve"> von </w:t>
      </w:r>
      <w:proofErr w:type="spellStart"/>
      <w:r w:rsidR="00BB7A1C">
        <w:rPr>
          <w:rFonts w:cs="Times New Roman"/>
        </w:rPr>
        <w:t>Horiba</w:t>
      </w:r>
      <w:proofErr w:type="spellEnd"/>
      <w:r w:rsidR="00BB7A1C">
        <w:rPr>
          <w:rFonts w:cs="Times New Roman"/>
        </w:rPr>
        <w:t xml:space="preserve"> Scientific. Ein weiteres Feature </w:t>
      </w:r>
      <w:r w:rsidR="00E22D45">
        <w:rPr>
          <w:rFonts w:cs="Times New Roman"/>
        </w:rPr>
        <w:t xml:space="preserve">ist die Möglichkeit, anstatt der Küvette für die Probe eine Durchflusszelle zu integrieren oder Titrationsmodul anzuschließen, um durch eine kontinuierliche Messung Veränderungen in der Probe zu erfassen </w:t>
      </w:r>
      <w:r w:rsidR="00221B8B">
        <w:rPr>
          <w:rFonts w:cs="Times New Roman"/>
        </w:rPr>
        <w:t>[HORIBA, 2013]</w:t>
      </w:r>
      <w:r w:rsidR="00E22D45">
        <w:rPr>
          <w:rFonts w:cs="Times New Roman"/>
        </w:rPr>
        <w:t>.</w:t>
      </w:r>
      <w:r w:rsidR="00221B8B">
        <w:rPr>
          <w:rFonts w:cs="Times New Roman"/>
        </w:rPr>
        <w:t xml:space="preserve"> Die bekanntesten Hersteller für </w:t>
      </w:r>
      <w:proofErr w:type="spellStart"/>
      <w:r w:rsidR="00221B8B">
        <w:rPr>
          <w:rFonts w:cs="Times New Roman"/>
        </w:rPr>
        <w:t>Fluorometer</w:t>
      </w:r>
      <w:proofErr w:type="spellEnd"/>
      <w:r w:rsidR="00221B8B">
        <w:rPr>
          <w:rFonts w:cs="Times New Roman"/>
        </w:rPr>
        <w:t xml:space="preserve"> sind </w:t>
      </w:r>
      <w:proofErr w:type="spellStart"/>
      <w:r w:rsidR="00221B8B">
        <w:rPr>
          <w:rFonts w:cs="Times New Roman"/>
        </w:rPr>
        <w:t>Tecan</w:t>
      </w:r>
      <w:proofErr w:type="spellEnd"/>
      <w:r w:rsidR="00221B8B">
        <w:rPr>
          <w:rFonts w:cs="Times New Roman"/>
        </w:rPr>
        <w:t xml:space="preserve">, </w:t>
      </w:r>
      <w:proofErr w:type="spellStart"/>
      <w:r w:rsidR="00221B8B">
        <w:rPr>
          <w:rFonts w:cs="Times New Roman"/>
        </w:rPr>
        <w:t>Thermo</w:t>
      </w:r>
      <w:proofErr w:type="spellEnd"/>
      <w:r w:rsidR="00221B8B">
        <w:rPr>
          <w:rFonts w:cs="Times New Roman"/>
        </w:rPr>
        <w:t xml:space="preserve"> </w:t>
      </w:r>
      <w:r w:rsidR="00B107C7">
        <w:rPr>
          <w:rFonts w:cs="Times New Roman"/>
        </w:rPr>
        <w:t xml:space="preserve">Scientific, </w:t>
      </w:r>
      <w:proofErr w:type="spellStart"/>
      <w:r w:rsidR="00B107C7">
        <w:rPr>
          <w:rFonts w:cs="Times New Roman"/>
        </w:rPr>
        <w:t>Molecular</w:t>
      </w:r>
      <w:proofErr w:type="spellEnd"/>
      <w:r w:rsidR="00B107C7">
        <w:rPr>
          <w:rFonts w:cs="Times New Roman"/>
        </w:rPr>
        <w:t xml:space="preserve"> Devices,</w:t>
      </w:r>
      <w:r w:rsidR="00221B8B">
        <w:rPr>
          <w:rFonts w:cs="Times New Roman"/>
        </w:rPr>
        <w:t xml:space="preserve"> </w:t>
      </w:r>
      <w:proofErr w:type="spellStart"/>
      <w:r w:rsidR="00221B8B">
        <w:rPr>
          <w:rFonts w:cs="Times New Roman"/>
        </w:rPr>
        <w:t>Promega</w:t>
      </w:r>
      <w:proofErr w:type="spellEnd"/>
      <w:r w:rsidR="00B107C7">
        <w:rPr>
          <w:rFonts w:cs="Times New Roman"/>
        </w:rPr>
        <w:t xml:space="preserve">, </w:t>
      </w:r>
      <w:proofErr w:type="spellStart"/>
      <w:r w:rsidR="00B107C7">
        <w:rPr>
          <w:rFonts w:cs="Times New Roman"/>
        </w:rPr>
        <w:t>Beckman</w:t>
      </w:r>
      <w:proofErr w:type="spellEnd"/>
      <w:r w:rsidR="00B107C7">
        <w:rPr>
          <w:rFonts w:cs="Times New Roman"/>
        </w:rPr>
        <w:t xml:space="preserve"> </w:t>
      </w:r>
      <w:proofErr w:type="spellStart"/>
      <w:r w:rsidR="00B107C7">
        <w:rPr>
          <w:rFonts w:cs="Times New Roman"/>
        </w:rPr>
        <w:t>Coulter</w:t>
      </w:r>
      <w:proofErr w:type="spellEnd"/>
      <w:r w:rsidR="00B107C7">
        <w:rPr>
          <w:rFonts w:cs="Times New Roman"/>
        </w:rPr>
        <w:t xml:space="preserve">, Bio-Rad und </w:t>
      </w:r>
      <w:proofErr w:type="spellStart"/>
      <w:r w:rsidR="00B107C7">
        <w:rPr>
          <w:rFonts w:cs="Times New Roman"/>
        </w:rPr>
        <w:t>BioTek</w:t>
      </w:r>
      <w:proofErr w:type="spellEnd"/>
      <w:r w:rsidR="00B107C7">
        <w:rPr>
          <w:rFonts w:cs="Times New Roman"/>
        </w:rPr>
        <w:t xml:space="preserve"> Instruments</w:t>
      </w:r>
      <w:r w:rsidR="00221B8B">
        <w:rPr>
          <w:rFonts w:cs="Times New Roman"/>
        </w:rPr>
        <w:t xml:space="preserve">. </w:t>
      </w:r>
    </w:p>
    <w:p w:rsidR="00221B8B" w:rsidRDefault="00221B8B" w:rsidP="00221B8B">
      <w:pPr>
        <w:pStyle w:val="berschrift2"/>
      </w:pPr>
      <w:bookmarkStart w:id="35" w:name="_Toc478923357"/>
      <w:r>
        <w:t xml:space="preserve">3.2 </w:t>
      </w:r>
      <w:proofErr w:type="spellStart"/>
      <w:r>
        <w:t>Durchflusszytometer</w:t>
      </w:r>
      <w:bookmarkEnd w:id="35"/>
      <w:proofErr w:type="spellEnd"/>
    </w:p>
    <w:p w:rsidR="00F825AF" w:rsidRDefault="002D7116" w:rsidP="00221B8B">
      <w:proofErr w:type="spellStart"/>
      <w:r>
        <w:t>Durchflusszytometer</w:t>
      </w:r>
      <w:proofErr w:type="spellEnd"/>
      <w:r>
        <w:t xml:space="preserve"> sind vor allem in biologischen Versuchen nötig, in denen es um die Veränderung und Überwachung von Zellen geht, wie der Transformation von Bakterien oder </w:t>
      </w:r>
      <w:r>
        <w:lastRenderedPageBreak/>
        <w:t>eine</w:t>
      </w:r>
      <w:r w:rsidR="001F53B4">
        <w:t>r</w:t>
      </w:r>
      <w:r>
        <w:t xml:space="preserve"> </w:t>
      </w:r>
      <w:proofErr w:type="spellStart"/>
      <w:r>
        <w:t>Cytotoxizitätsuntersuchung</w:t>
      </w:r>
      <w:proofErr w:type="spellEnd"/>
      <w:r>
        <w:t>.</w:t>
      </w:r>
      <w:r w:rsidR="00264128">
        <w:t xml:space="preserve"> Es wird unterteilt in </w:t>
      </w:r>
      <w:proofErr w:type="spellStart"/>
      <w:r w:rsidR="00264128">
        <w:t>Durchflusszytometer</w:t>
      </w:r>
      <w:proofErr w:type="spellEnd"/>
      <w:r w:rsidR="00264128">
        <w:t xml:space="preserve"> mit Zellsortierung (FACS) und </w:t>
      </w:r>
      <w:proofErr w:type="spellStart"/>
      <w:r w:rsidR="00264128">
        <w:t>Zytometer</w:t>
      </w:r>
      <w:proofErr w:type="spellEnd"/>
      <w:r w:rsidR="00264128">
        <w:t xml:space="preserve"> ohne </w:t>
      </w:r>
      <w:r w:rsidR="00A93C88">
        <w:t xml:space="preserve">Sortierfunktion. FACS werden besonders für die Selektion transformierter Zellen verwendet und sind aufgrund der zusätzlichen Funktionalität in der Regel teurer als ein vergleichbares </w:t>
      </w:r>
      <w:proofErr w:type="spellStart"/>
      <w:r w:rsidR="00A93C88">
        <w:t>Durchflusszytometer</w:t>
      </w:r>
      <w:proofErr w:type="spellEnd"/>
      <w:r w:rsidR="00A93C88">
        <w:t xml:space="preserve"> ohne Sortierfunktion. </w:t>
      </w:r>
      <w:r w:rsidR="005E4AFA">
        <w:t xml:space="preserve">Der schematische Aufbau eines FACS ist in </w:t>
      </w:r>
      <w:r w:rsidR="00CA77E6">
        <w:fldChar w:fldCharType="begin"/>
      </w:r>
      <w:r w:rsidR="00CA77E6">
        <w:instrText xml:space="preserve"> REF _Ref477859396 \h </w:instrText>
      </w:r>
      <w:r w:rsidR="00CA77E6">
        <w:fldChar w:fldCharType="separate"/>
      </w:r>
      <w:r w:rsidR="00B17641">
        <w:t xml:space="preserve">Abbildung </w:t>
      </w:r>
      <w:r w:rsidR="00B17641">
        <w:rPr>
          <w:noProof/>
        </w:rPr>
        <w:t>12</w:t>
      </w:r>
      <w:r w:rsidR="00CA77E6">
        <w:fldChar w:fldCharType="end"/>
      </w:r>
      <w:r w:rsidR="005E4AFA">
        <w:t xml:space="preserve"> gezeigt. </w:t>
      </w:r>
      <w:r w:rsidR="00A93C88">
        <w:t>[FOLDER, 2014]</w:t>
      </w:r>
    </w:p>
    <w:p w:rsidR="005640CF" w:rsidRDefault="005640CF" w:rsidP="005640CF">
      <w:pPr>
        <w:keepNext/>
      </w:pPr>
      <w:r>
        <w:rPr>
          <w:noProof/>
          <w:lang w:eastAsia="de-DE"/>
        </w:rPr>
        <w:drawing>
          <wp:inline distT="0" distB="0" distL="0" distR="0" wp14:anchorId="1563CE5F" wp14:editId="30F0BD26">
            <wp:extent cx="3810000" cy="3200400"/>
            <wp:effectExtent l="0" t="0" r="0" b="0"/>
            <wp:docPr id="6" name="Grafik 6" descr="http://olomouc.ueb.cas.cz/system/files/users/public/protocols/f2fas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olomouc.ueb.cas.cz/system/files/users/public/protocols/f2fasc.gif"/>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810000" cy="3200400"/>
                    </a:xfrm>
                    <a:prstGeom prst="rect">
                      <a:avLst/>
                    </a:prstGeom>
                    <a:noFill/>
                    <a:ln>
                      <a:noFill/>
                    </a:ln>
                  </pic:spPr>
                </pic:pic>
              </a:graphicData>
            </a:graphic>
          </wp:inline>
        </w:drawing>
      </w:r>
    </w:p>
    <w:p w:rsidR="005E4AFA" w:rsidRDefault="005640CF" w:rsidP="005640CF">
      <w:pPr>
        <w:pStyle w:val="Beschriftung"/>
      </w:pPr>
      <w:bookmarkStart w:id="36" w:name="_Ref477859396"/>
      <w:bookmarkStart w:id="37" w:name="_Toc478923375"/>
      <w:r>
        <w:t xml:space="preserve">Abbildung </w:t>
      </w:r>
      <w:fldSimple w:instr=" SEQ Abbildung \* ARABIC ">
        <w:r w:rsidR="00B17641">
          <w:rPr>
            <w:noProof/>
          </w:rPr>
          <w:t>12</w:t>
        </w:r>
      </w:fldSimple>
      <w:bookmarkEnd w:id="36"/>
      <w:r>
        <w:t xml:space="preserve">: Schematischer Aufbau eines </w:t>
      </w:r>
      <w:proofErr w:type="spellStart"/>
      <w:r>
        <w:t>Durchflusszytometers</w:t>
      </w:r>
      <w:proofErr w:type="spellEnd"/>
      <w:r>
        <w:t xml:space="preserve"> mit Zellsortierung</w:t>
      </w:r>
      <w:r w:rsidR="00CF55EA">
        <w:t xml:space="preserve"> [UEB, 2017]</w:t>
      </w:r>
      <w:bookmarkEnd w:id="37"/>
    </w:p>
    <w:p w:rsidR="00564F7C" w:rsidRPr="00564F7C" w:rsidRDefault="00564F7C" w:rsidP="00564F7C">
      <w:r>
        <w:t xml:space="preserve">Die Probe mit den Zellen wird mit einer Mantelflüssigkeit umgeben und in eine enge Durchflusskammer geleitet, um die Zellen zu vereinzeln. Weiterhin wird </w:t>
      </w:r>
      <w:r w:rsidR="002B2F60">
        <w:t xml:space="preserve">durch </w:t>
      </w:r>
      <w:r>
        <w:t>Vibration der Probenleitung eine Bildung von Tröpfchen induziert, die jeweils kaum größer als die Zellen sind. Die Zellen durchlaufen den fokussierten Lichtstrahl der Anregungsquelle und es erfolgt die Fluoreszenzdetektion. Darauf</w:t>
      </w:r>
      <w:r w:rsidR="00BD0405">
        <w:t>hin werden die als positiv erkannten Zellen mit einem elektrischen Impuls polarisiert und mithilfe eines elektromagnetischen Feldes von den negativen Zellen getrennt und in ein gesondertes Auffanggefäß überführt. Bei modernen FACS-Geräten können wie in der Abbildung gezeigt mehr als ein Auffanggefäß verwendet werden, um Zellen nach mehr</w:t>
      </w:r>
      <w:r w:rsidR="00A4683C">
        <w:t>eren</w:t>
      </w:r>
      <w:r w:rsidR="00BD0405">
        <w:t xml:space="preserve"> Kriterien zu trennen.</w:t>
      </w:r>
      <w:r w:rsidR="00CF55EA">
        <w:t xml:space="preserve"> [UEB, 2017]</w:t>
      </w:r>
    </w:p>
    <w:p w:rsidR="00221B8B" w:rsidRDefault="00F825AF" w:rsidP="00221B8B">
      <w:r>
        <w:t xml:space="preserve">Weiterhin unterscheiden sich die </w:t>
      </w:r>
      <w:proofErr w:type="spellStart"/>
      <w:r>
        <w:t>Durchflusszytometer</w:t>
      </w:r>
      <w:proofErr w:type="spellEnd"/>
      <w:r>
        <w:t xml:space="preserve"> durch die Anzahl der Anregungswellenlängen, mit denen die Probe </w:t>
      </w:r>
      <w:r w:rsidR="00A33797">
        <w:t xml:space="preserve">gleichzeitig </w:t>
      </w:r>
      <w:r w:rsidR="00E53BF3">
        <w:t>angeregt</w:t>
      </w:r>
      <w:r w:rsidR="00A33797">
        <w:t xml:space="preserve"> werden kann, und in der Anzahl der gleichzeitig erfassbaren Emissionswellenlängen. Je mehr Anregungswellenlängen zur Verfügung stehen, desto mehr Marker können gleichzeitig untersucht werden, allerdings besteht dabei immer das Risiko von </w:t>
      </w:r>
      <w:r w:rsidR="00DB3BEF">
        <w:t>Überlagerungen der emittierten Strahl</w:t>
      </w:r>
      <w:r w:rsidR="001540E3">
        <w:t>ungen untereinander oder mit dem anregenden Licht</w:t>
      </w:r>
      <w:r w:rsidR="00DB3BEF">
        <w:t xml:space="preserve">, wodurch die gemessenen Strahlungsintensitäten verfälscht würden. Moderne </w:t>
      </w:r>
      <w:proofErr w:type="spellStart"/>
      <w:r w:rsidR="00DB3BEF">
        <w:t>Durchflusszytometer</w:t>
      </w:r>
      <w:proofErr w:type="spellEnd"/>
      <w:r w:rsidR="00DB3BEF">
        <w:t xml:space="preserve"> bieten ein </w:t>
      </w:r>
      <w:r w:rsidR="00115F25">
        <w:t>bis fünf</w:t>
      </w:r>
      <w:r w:rsidR="00DB3BEF">
        <w:t xml:space="preserve"> Anregungswellenlängen und bis zu </w:t>
      </w:r>
      <w:r w:rsidR="00115F25">
        <w:t>fünfzig</w:t>
      </w:r>
      <w:r w:rsidR="00DB3BEF">
        <w:t xml:space="preserve"> Kanäle für die Messung der emittierten Strahlung.</w:t>
      </w:r>
      <w:r w:rsidR="00D11FE7">
        <w:t xml:space="preserve"> [HOLSCHBACH, 2013]</w:t>
      </w:r>
    </w:p>
    <w:p w:rsidR="00115F25" w:rsidRDefault="00E53BF3" w:rsidP="00221B8B">
      <w:r>
        <w:lastRenderedPageBreak/>
        <w:t>Wie a</w:t>
      </w:r>
      <w:r w:rsidR="00CF55EA">
        <w:t xml:space="preserve">uch bei den </w:t>
      </w:r>
      <w:proofErr w:type="spellStart"/>
      <w:r w:rsidR="00CF55EA">
        <w:t>Fluorometern</w:t>
      </w:r>
      <w:proofErr w:type="spellEnd"/>
      <w:r w:rsidR="00CF55EA">
        <w:t xml:space="preserve"> gibt es bei den </w:t>
      </w:r>
      <w:proofErr w:type="spellStart"/>
      <w:r w:rsidR="00CF55EA">
        <w:t>Durchflusszytometern</w:t>
      </w:r>
      <w:proofErr w:type="spellEnd"/>
      <w:r w:rsidR="00CF55EA">
        <w:t xml:space="preserve"> eine große Auswahl an Herstellern und Modellen, die für spezielle Anwendungen angepasst sind. Bekannte Hersteller sind </w:t>
      </w:r>
      <w:proofErr w:type="spellStart"/>
      <w:r w:rsidR="00CF55EA">
        <w:t>Thermo</w:t>
      </w:r>
      <w:proofErr w:type="spellEnd"/>
      <w:r w:rsidR="00CF55EA">
        <w:t xml:space="preserve"> Scientific, Bio-Rad</w:t>
      </w:r>
      <w:r w:rsidR="00883FB1">
        <w:t xml:space="preserve">, </w:t>
      </w:r>
      <w:proofErr w:type="spellStart"/>
      <w:r w:rsidR="00883FB1">
        <w:t>Beckman</w:t>
      </w:r>
      <w:proofErr w:type="spellEnd"/>
      <w:r w:rsidR="00883FB1">
        <w:t xml:space="preserve"> </w:t>
      </w:r>
      <w:proofErr w:type="spellStart"/>
      <w:r w:rsidR="00883FB1">
        <w:t>Coulter</w:t>
      </w:r>
      <w:proofErr w:type="spellEnd"/>
      <w:r w:rsidR="00CF55EA">
        <w:t xml:space="preserve"> und </w:t>
      </w:r>
      <w:proofErr w:type="spellStart"/>
      <w:r w:rsidR="00CF55EA">
        <w:t>MilliporeSigma</w:t>
      </w:r>
      <w:proofErr w:type="spellEnd"/>
      <w:r w:rsidR="005725D0">
        <w:t xml:space="preserve">. </w:t>
      </w:r>
      <w:r w:rsidR="00115F25">
        <w:t xml:space="preserve">Eine Übersicht der von den genannten Herstellern aktuellen angebotenen Modelle ist in </w:t>
      </w:r>
      <w:r w:rsidR="00862C66">
        <w:fldChar w:fldCharType="begin"/>
      </w:r>
      <w:r w:rsidR="00862C66">
        <w:instrText xml:space="preserve"> REF _Ref477866372 \h </w:instrText>
      </w:r>
      <w:r w:rsidR="00862C66">
        <w:fldChar w:fldCharType="separate"/>
      </w:r>
      <w:r w:rsidR="00B17641">
        <w:t xml:space="preserve">Tabelle </w:t>
      </w:r>
      <w:r w:rsidR="00B17641">
        <w:rPr>
          <w:noProof/>
        </w:rPr>
        <w:t>1</w:t>
      </w:r>
      <w:r w:rsidR="00862C66">
        <w:fldChar w:fldCharType="end"/>
      </w:r>
      <w:r w:rsidR="00115F25">
        <w:t xml:space="preserve"> gegeben.</w:t>
      </w:r>
    </w:p>
    <w:p w:rsidR="005E02D1" w:rsidRDefault="005E02D1" w:rsidP="005E02D1">
      <w:pPr>
        <w:pStyle w:val="Beschriftung"/>
        <w:keepNext/>
      </w:pPr>
      <w:bookmarkStart w:id="38" w:name="_Ref477866372"/>
      <w:bookmarkStart w:id="39" w:name="_Toc478386809"/>
      <w:r>
        <w:t xml:space="preserve">Tabelle </w:t>
      </w:r>
      <w:fldSimple w:instr=" SEQ Tabelle \* ARABIC ">
        <w:r w:rsidR="00B17641">
          <w:rPr>
            <w:noProof/>
          </w:rPr>
          <w:t>1</w:t>
        </w:r>
      </w:fldSimple>
      <w:bookmarkEnd w:id="38"/>
      <w:r>
        <w:t xml:space="preserve">: Übersicht aktueller </w:t>
      </w:r>
      <w:proofErr w:type="spellStart"/>
      <w:r>
        <w:t>Durchflusszytometer</w:t>
      </w:r>
      <w:proofErr w:type="spellEnd"/>
      <w:r>
        <w:t xml:space="preserve"> mit maximaler Anzahl der Anregungslaser Detektionskanäle</w:t>
      </w:r>
      <w:bookmarkEnd w:id="39"/>
    </w:p>
    <w:tbl>
      <w:tblPr>
        <w:tblStyle w:val="HelleSchattierung"/>
        <w:tblW w:w="5000" w:type="pct"/>
        <w:tblLook w:val="04A0" w:firstRow="1" w:lastRow="0" w:firstColumn="1" w:lastColumn="0" w:noHBand="0" w:noVBand="1"/>
      </w:tblPr>
      <w:tblGrid>
        <w:gridCol w:w="1517"/>
        <w:gridCol w:w="1609"/>
        <w:gridCol w:w="1958"/>
        <w:gridCol w:w="2140"/>
        <w:gridCol w:w="2064"/>
      </w:tblGrid>
      <w:tr w:rsidR="00115F25" w:rsidTr="009818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pct"/>
          </w:tcPr>
          <w:p w:rsidR="00115F25" w:rsidRDefault="00115F25" w:rsidP="00221B8B">
            <w:r>
              <w:t>Modell</w:t>
            </w:r>
          </w:p>
        </w:tc>
        <w:tc>
          <w:tcPr>
            <w:tcW w:w="866" w:type="pct"/>
          </w:tcPr>
          <w:p w:rsidR="00115F25" w:rsidRDefault="00115F25" w:rsidP="00221B8B">
            <w:pPr>
              <w:cnfStyle w:val="100000000000" w:firstRow="1" w:lastRow="0" w:firstColumn="0" w:lastColumn="0" w:oddVBand="0" w:evenVBand="0" w:oddHBand="0" w:evenHBand="0" w:firstRowFirstColumn="0" w:firstRowLastColumn="0" w:lastRowFirstColumn="0" w:lastRowLastColumn="0"/>
            </w:pPr>
            <w:r>
              <w:t>Hersteller</w:t>
            </w:r>
          </w:p>
        </w:tc>
        <w:tc>
          <w:tcPr>
            <w:tcW w:w="1054" w:type="pct"/>
          </w:tcPr>
          <w:p w:rsidR="00115F25" w:rsidRDefault="00115F25" w:rsidP="00221B8B">
            <w:pPr>
              <w:cnfStyle w:val="100000000000" w:firstRow="1" w:lastRow="0" w:firstColumn="0" w:lastColumn="0" w:oddVBand="0" w:evenVBand="0" w:oddHBand="0" w:evenHBand="0" w:firstRowFirstColumn="0" w:firstRowLastColumn="0" w:lastRowFirstColumn="0" w:lastRowLastColumn="0"/>
            </w:pPr>
            <w:r>
              <w:t>Anregungslaser</w:t>
            </w:r>
          </w:p>
        </w:tc>
        <w:tc>
          <w:tcPr>
            <w:tcW w:w="1152" w:type="pct"/>
          </w:tcPr>
          <w:p w:rsidR="00115F25" w:rsidRDefault="00115F25" w:rsidP="00221B8B">
            <w:pPr>
              <w:cnfStyle w:val="100000000000" w:firstRow="1" w:lastRow="0" w:firstColumn="0" w:lastColumn="0" w:oddVBand="0" w:evenVBand="0" w:oddHBand="0" w:evenHBand="0" w:firstRowFirstColumn="0" w:firstRowLastColumn="0" w:lastRowFirstColumn="0" w:lastRowLastColumn="0"/>
            </w:pPr>
            <w:r>
              <w:t>Detektionskanäle</w:t>
            </w:r>
          </w:p>
        </w:tc>
        <w:tc>
          <w:tcPr>
            <w:tcW w:w="1111" w:type="pct"/>
          </w:tcPr>
          <w:p w:rsidR="00115F25" w:rsidRDefault="00115F25" w:rsidP="00221B8B">
            <w:pPr>
              <w:cnfStyle w:val="100000000000" w:firstRow="1" w:lastRow="0" w:firstColumn="0" w:lastColumn="0" w:oddVBand="0" w:evenVBand="0" w:oddHBand="0" w:evenHBand="0" w:firstRowFirstColumn="0" w:firstRowLastColumn="0" w:lastRowFirstColumn="0" w:lastRowLastColumn="0"/>
            </w:pPr>
            <w:r>
              <w:t>Probendurchsatz</w:t>
            </w:r>
          </w:p>
        </w:tc>
      </w:tr>
      <w:tr w:rsidR="00115F25" w:rsidTr="00981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pct"/>
          </w:tcPr>
          <w:p w:rsidR="00115F25" w:rsidRDefault="005E02D1" w:rsidP="00221B8B">
            <w:proofErr w:type="spellStart"/>
            <w:r w:rsidRPr="005725D0">
              <w:t>Attune</w:t>
            </w:r>
            <w:proofErr w:type="spellEnd"/>
            <w:r w:rsidRPr="005725D0">
              <w:t xml:space="preserve"> </w:t>
            </w:r>
            <w:proofErr w:type="spellStart"/>
            <w:r w:rsidRPr="005725D0">
              <w:t>NxT</w:t>
            </w:r>
            <w:proofErr w:type="spellEnd"/>
          </w:p>
        </w:tc>
        <w:tc>
          <w:tcPr>
            <w:tcW w:w="866" w:type="pct"/>
          </w:tcPr>
          <w:p w:rsidR="00115F25" w:rsidRDefault="005E02D1" w:rsidP="00221B8B">
            <w:pPr>
              <w:cnfStyle w:val="000000100000" w:firstRow="0" w:lastRow="0" w:firstColumn="0" w:lastColumn="0" w:oddVBand="0" w:evenVBand="0" w:oddHBand="1" w:evenHBand="0" w:firstRowFirstColumn="0" w:firstRowLastColumn="0" w:lastRowFirstColumn="0" w:lastRowLastColumn="0"/>
            </w:pPr>
            <w:proofErr w:type="spellStart"/>
            <w:r>
              <w:t>Thermo</w:t>
            </w:r>
            <w:proofErr w:type="spellEnd"/>
            <w:r>
              <w:t xml:space="preserve"> Sc.</w:t>
            </w:r>
          </w:p>
        </w:tc>
        <w:tc>
          <w:tcPr>
            <w:tcW w:w="1054" w:type="pct"/>
          </w:tcPr>
          <w:p w:rsidR="00115F25" w:rsidRDefault="005E02D1" w:rsidP="00221B8B">
            <w:pPr>
              <w:cnfStyle w:val="000000100000" w:firstRow="0" w:lastRow="0" w:firstColumn="0" w:lastColumn="0" w:oddVBand="0" w:evenVBand="0" w:oddHBand="1" w:evenHBand="0" w:firstRowFirstColumn="0" w:firstRowLastColumn="0" w:lastRowFirstColumn="0" w:lastRowLastColumn="0"/>
            </w:pPr>
            <w:r>
              <w:t>4</w:t>
            </w:r>
          </w:p>
        </w:tc>
        <w:tc>
          <w:tcPr>
            <w:tcW w:w="1152" w:type="pct"/>
          </w:tcPr>
          <w:p w:rsidR="00115F25" w:rsidRDefault="005E02D1" w:rsidP="00221B8B">
            <w:pPr>
              <w:cnfStyle w:val="000000100000" w:firstRow="0" w:lastRow="0" w:firstColumn="0" w:lastColumn="0" w:oddVBand="0" w:evenVBand="0" w:oddHBand="1" w:evenHBand="0" w:firstRowFirstColumn="0" w:firstRowLastColumn="0" w:lastRowFirstColumn="0" w:lastRowLastColumn="0"/>
            </w:pPr>
            <w:r>
              <w:t>16</w:t>
            </w:r>
          </w:p>
        </w:tc>
        <w:tc>
          <w:tcPr>
            <w:tcW w:w="1111" w:type="pct"/>
          </w:tcPr>
          <w:p w:rsidR="00115F25" w:rsidRDefault="005E02D1" w:rsidP="00221B8B">
            <w:pPr>
              <w:cnfStyle w:val="000000100000" w:firstRow="0" w:lastRow="0" w:firstColumn="0" w:lastColumn="0" w:oddVBand="0" w:evenVBand="0" w:oddHBand="1" w:evenHBand="0" w:firstRowFirstColumn="0" w:firstRowLastColumn="0" w:lastRowFirstColumn="0" w:lastRowLastColumn="0"/>
            </w:pPr>
            <w:r>
              <w:rPr>
                <w:rFonts w:cs="Times New Roman"/>
              </w:rPr>
              <w:t>≤</w:t>
            </w:r>
            <w:r>
              <w:t xml:space="preserve"> 17 µl/s</w:t>
            </w:r>
          </w:p>
        </w:tc>
      </w:tr>
      <w:tr w:rsidR="00115F25" w:rsidTr="0098182F">
        <w:tc>
          <w:tcPr>
            <w:cnfStyle w:val="001000000000" w:firstRow="0" w:lastRow="0" w:firstColumn="1" w:lastColumn="0" w:oddVBand="0" w:evenVBand="0" w:oddHBand="0" w:evenHBand="0" w:firstRowFirstColumn="0" w:firstRowLastColumn="0" w:lastRowFirstColumn="0" w:lastRowLastColumn="0"/>
            <w:tcW w:w="817" w:type="pct"/>
          </w:tcPr>
          <w:p w:rsidR="00115F25" w:rsidRDefault="005E02D1" w:rsidP="00221B8B">
            <w:r>
              <w:t>ZE5</w:t>
            </w:r>
            <w:r w:rsidR="0098182F" w:rsidRPr="0098182F">
              <w:rPr>
                <w:rFonts w:cs="Times New Roman"/>
                <w:vertAlign w:val="superscript"/>
              </w:rPr>
              <w:t>™</w:t>
            </w:r>
          </w:p>
        </w:tc>
        <w:tc>
          <w:tcPr>
            <w:tcW w:w="866" w:type="pct"/>
          </w:tcPr>
          <w:p w:rsidR="00115F25" w:rsidRDefault="005E02D1" w:rsidP="00221B8B">
            <w:pPr>
              <w:cnfStyle w:val="000000000000" w:firstRow="0" w:lastRow="0" w:firstColumn="0" w:lastColumn="0" w:oddVBand="0" w:evenVBand="0" w:oddHBand="0" w:evenHBand="0" w:firstRowFirstColumn="0" w:firstRowLastColumn="0" w:lastRowFirstColumn="0" w:lastRowLastColumn="0"/>
            </w:pPr>
            <w:r>
              <w:t>Bio-Rad</w:t>
            </w:r>
          </w:p>
        </w:tc>
        <w:tc>
          <w:tcPr>
            <w:tcW w:w="1054" w:type="pct"/>
          </w:tcPr>
          <w:p w:rsidR="00115F25" w:rsidRDefault="005E02D1" w:rsidP="00221B8B">
            <w:pPr>
              <w:cnfStyle w:val="000000000000" w:firstRow="0" w:lastRow="0" w:firstColumn="0" w:lastColumn="0" w:oddVBand="0" w:evenVBand="0" w:oddHBand="0" w:evenHBand="0" w:firstRowFirstColumn="0" w:firstRowLastColumn="0" w:lastRowFirstColumn="0" w:lastRowLastColumn="0"/>
            </w:pPr>
            <w:r>
              <w:t>5</w:t>
            </w:r>
          </w:p>
        </w:tc>
        <w:tc>
          <w:tcPr>
            <w:tcW w:w="1152" w:type="pct"/>
          </w:tcPr>
          <w:p w:rsidR="00115F25" w:rsidRDefault="005E02D1" w:rsidP="00221B8B">
            <w:pPr>
              <w:cnfStyle w:val="000000000000" w:firstRow="0" w:lastRow="0" w:firstColumn="0" w:lastColumn="0" w:oddVBand="0" w:evenVBand="0" w:oddHBand="0" w:evenHBand="0" w:firstRowFirstColumn="0" w:firstRowLastColumn="0" w:lastRowFirstColumn="0" w:lastRowLastColumn="0"/>
            </w:pPr>
            <w:r>
              <w:t>28</w:t>
            </w:r>
          </w:p>
        </w:tc>
        <w:tc>
          <w:tcPr>
            <w:tcW w:w="1111" w:type="pct"/>
          </w:tcPr>
          <w:p w:rsidR="00115F25" w:rsidRDefault="005E02D1" w:rsidP="005E02D1">
            <w:pPr>
              <w:cnfStyle w:val="000000000000" w:firstRow="0" w:lastRow="0" w:firstColumn="0" w:lastColumn="0" w:oddVBand="0" w:evenVBand="0" w:oddHBand="0" w:evenHBand="0" w:firstRowFirstColumn="0" w:firstRowLastColumn="0" w:lastRowFirstColumn="0" w:lastRowLastColumn="0"/>
            </w:pPr>
            <w:r>
              <w:rPr>
                <w:rFonts w:cs="Times New Roman"/>
              </w:rPr>
              <w:t>≤</w:t>
            </w:r>
            <w:r>
              <w:t xml:space="preserve"> 2,5 µl/s</w:t>
            </w:r>
          </w:p>
        </w:tc>
      </w:tr>
      <w:tr w:rsidR="00115F25" w:rsidTr="00981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pct"/>
          </w:tcPr>
          <w:p w:rsidR="00115F25" w:rsidRDefault="00B719C0" w:rsidP="00221B8B">
            <w:proofErr w:type="spellStart"/>
            <w:r>
              <w:t>CytoFLEX</w:t>
            </w:r>
            <w:proofErr w:type="spellEnd"/>
          </w:p>
        </w:tc>
        <w:tc>
          <w:tcPr>
            <w:tcW w:w="866" w:type="pct"/>
          </w:tcPr>
          <w:p w:rsidR="00115F25" w:rsidRDefault="00B719C0" w:rsidP="00221B8B">
            <w:pPr>
              <w:cnfStyle w:val="000000100000" w:firstRow="0" w:lastRow="0" w:firstColumn="0" w:lastColumn="0" w:oddVBand="0" w:evenVBand="0" w:oddHBand="1" w:evenHBand="0" w:firstRowFirstColumn="0" w:firstRowLastColumn="0" w:lastRowFirstColumn="0" w:lastRowLastColumn="0"/>
            </w:pPr>
            <w:proofErr w:type="spellStart"/>
            <w:r>
              <w:t>Beckman</w:t>
            </w:r>
            <w:proofErr w:type="spellEnd"/>
            <w:r>
              <w:t xml:space="preserve"> </w:t>
            </w:r>
            <w:proofErr w:type="spellStart"/>
            <w:r>
              <w:t>Coulter</w:t>
            </w:r>
            <w:proofErr w:type="spellEnd"/>
          </w:p>
        </w:tc>
        <w:tc>
          <w:tcPr>
            <w:tcW w:w="1054" w:type="pct"/>
          </w:tcPr>
          <w:p w:rsidR="00115F25" w:rsidRDefault="00B719C0" w:rsidP="00221B8B">
            <w:pPr>
              <w:cnfStyle w:val="000000100000" w:firstRow="0" w:lastRow="0" w:firstColumn="0" w:lastColumn="0" w:oddVBand="0" w:evenVBand="0" w:oddHBand="1" w:evenHBand="0" w:firstRowFirstColumn="0" w:firstRowLastColumn="0" w:lastRowFirstColumn="0" w:lastRowLastColumn="0"/>
            </w:pPr>
            <w:r>
              <w:t>3</w:t>
            </w:r>
          </w:p>
        </w:tc>
        <w:tc>
          <w:tcPr>
            <w:tcW w:w="1152" w:type="pct"/>
          </w:tcPr>
          <w:p w:rsidR="00115F25" w:rsidRDefault="00B719C0" w:rsidP="00221B8B">
            <w:pPr>
              <w:cnfStyle w:val="000000100000" w:firstRow="0" w:lastRow="0" w:firstColumn="0" w:lastColumn="0" w:oddVBand="0" w:evenVBand="0" w:oddHBand="1" w:evenHBand="0" w:firstRowFirstColumn="0" w:firstRowLastColumn="0" w:lastRowFirstColumn="0" w:lastRowLastColumn="0"/>
            </w:pPr>
            <w:r>
              <w:t>13</w:t>
            </w:r>
          </w:p>
        </w:tc>
        <w:tc>
          <w:tcPr>
            <w:tcW w:w="1111" w:type="pct"/>
          </w:tcPr>
          <w:p w:rsidR="00115F25" w:rsidRDefault="00B719C0" w:rsidP="00221B8B">
            <w:pPr>
              <w:cnfStyle w:val="000000100000" w:firstRow="0" w:lastRow="0" w:firstColumn="0" w:lastColumn="0" w:oddVBand="0" w:evenVBand="0" w:oddHBand="1" w:evenHBand="0" w:firstRowFirstColumn="0" w:firstRowLastColumn="0" w:lastRowFirstColumn="0" w:lastRowLastColumn="0"/>
            </w:pPr>
            <w:r>
              <w:rPr>
                <w:rFonts w:cs="Times New Roman"/>
              </w:rPr>
              <w:t>≤ 4 µl/s</w:t>
            </w:r>
          </w:p>
        </w:tc>
      </w:tr>
      <w:tr w:rsidR="00B719C0" w:rsidTr="0098182F">
        <w:tc>
          <w:tcPr>
            <w:cnfStyle w:val="001000000000" w:firstRow="0" w:lastRow="0" w:firstColumn="1" w:lastColumn="0" w:oddVBand="0" w:evenVBand="0" w:oddHBand="0" w:evenHBand="0" w:firstRowFirstColumn="0" w:firstRowLastColumn="0" w:lastRowFirstColumn="0" w:lastRowLastColumn="0"/>
            <w:tcW w:w="817" w:type="pct"/>
          </w:tcPr>
          <w:p w:rsidR="00B719C0" w:rsidRDefault="00B719C0" w:rsidP="00221B8B">
            <w:proofErr w:type="spellStart"/>
            <w:r>
              <w:t>Guava</w:t>
            </w:r>
            <w:proofErr w:type="spellEnd"/>
            <w:r w:rsidRPr="00B719C0">
              <w:rPr>
                <w:rFonts w:cs="Times New Roman"/>
                <w:vertAlign w:val="superscript"/>
              </w:rPr>
              <w:t>®</w:t>
            </w:r>
            <w:r>
              <w:t xml:space="preserve"> </w:t>
            </w:r>
            <w:proofErr w:type="spellStart"/>
            <w:r>
              <w:t>easyCyte</w:t>
            </w:r>
            <w:proofErr w:type="spellEnd"/>
          </w:p>
        </w:tc>
        <w:tc>
          <w:tcPr>
            <w:tcW w:w="866" w:type="pct"/>
          </w:tcPr>
          <w:p w:rsidR="00B719C0" w:rsidRDefault="00B719C0" w:rsidP="00221B8B">
            <w:pPr>
              <w:cnfStyle w:val="000000000000" w:firstRow="0" w:lastRow="0" w:firstColumn="0" w:lastColumn="0" w:oddVBand="0" w:evenVBand="0" w:oddHBand="0" w:evenHBand="0" w:firstRowFirstColumn="0" w:firstRowLastColumn="0" w:lastRowFirstColumn="0" w:lastRowLastColumn="0"/>
            </w:pPr>
            <w:proofErr w:type="spellStart"/>
            <w:r>
              <w:t>Millipore</w:t>
            </w:r>
            <w:proofErr w:type="spellEnd"/>
          </w:p>
          <w:p w:rsidR="00B719C0" w:rsidRDefault="00B719C0" w:rsidP="00221B8B">
            <w:pPr>
              <w:cnfStyle w:val="000000000000" w:firstRow="0" w:lastRow="0" w:firstColumn="0" w:lastColumn="0" w:oddVBand="0" w:evenVBand="0" w:oddHBand="0" w:evenHBand="0" w:firstRowFirstColumn="0" w:firstRowLastColumn="0" w:lastRowFirstColumn="0" w:lastRowLastColumn="0"/>
            </w:pPr>
            <w:r>
              <w:t>Sigma</w:t>
            </w:r>
          </w:p>
        </w:tc>
        <w:tc>
          <w:tcPr>
            <w:tcW w:w="1054" w:type="pct"/>
          </w:tcPr>
          <w:p w:rsidR="00B719C0" w:rsidRDefault="00B719C0" w:rsidP="00221B8B">
            <w:pPr>
              <w:cnfStyle w:val="000000000000" w:firstRow="0" w:lastRow="0" w:firstColumn="0" w:lastColumn="0" w:oddVBand="0" w:evenVBand="0" w:oddHBand="0" w:evenHBand="0" w:firstRowFirstColumn="0" w:firstRowLastColumn="0" w:lastRowFirstColumn="0" w:lastRowLastColumn="0"/>
            </w:pPr>
            <w:r>
              <w:t>3</w:t>
            </w:r>
          </w:p>
        </w:tc>
        <w:tc>
          <w:tcPr>
            <w:tcW w:w="1152" w:type="pct"/>
          </w:tcPr>
          <w:p w:rsidR="00B719C0" w:rsidRDefault="00B719C0" w:rsidP="00221B8B">
            <w:pPr>
              <w:cnfStyle w:val="000000000000" w:firstRow="0" w:lastRow="0" w:firstColumn="0" w:lastColumn="0" w:oddVBand="0" w:evenVBand="0" w:oddHBand="0" w:evenHBand="0" w:firstRowFirstColumn="0" w:firstRowLastColumn="0" w:lastRowFirstColumn="0" w:lastRowLastColumn="0"/>
            </w:pPr>
            <w:r>
              <w:t>14</w:t>
            </w:r>
          </w:p>
        </w:tc>
        <w:tc>
          <w:tcPr>
            <w:tcW w:w="1111" w:type="pct"/>
          </w:tcPr>
          <w:p w:rsidR="00B719C0" w:rsidRDefault="00B719C0" w:rsidP="00E327D0">
            <w:pPr>
              <w:cnfStyle w:val="000000000000" w:firstRow="0" w:lastRow="0" w:firstColumn="0" w:lastColumn="0" w:oddVBand="0" w:evenVBand="0" w:oddHBand="0" w:evenHBand="0" w:firstRowFirstColumn="0" w:firstRowLastColumn="0" w:lastRowFirstColumn="0" w:lastRowLastColumn="0"/>
            </w:pPr>
            <w:r>
              <w:rPr>
                <w:rFonts w:cs="Times New Roman"/>
              </w:rPr>
              <w:t>≤ 1,2 µl/s</w:t>
            </w:r>
          </w:p>
        </w:tc>
      </w:tr>
    </w:tbl>
    <w:p w:rsidR="00115F25" w:rsidRDefault="00115F25" w:rsidP="00221B8B"/>
    <w:p w:rsidR="00B719C0" w:rsidRDefault="00B719C0" w:rsidP="00221B8B">
      <w:r>
        <w:t xml:space="preserve">Jedes der aufgeführten Geräte </w:t>
      </w:r>
      <w:r w:rsidR="00D17FAC">
        <w:t xml:space="preserve">kann Proben aus </w:t>
      </w:r>
      <w:proofErr w:type="spellStart"/>
      <w:r w:rsidR="00D17FAC">
        <w:t>Mikrotiterplatten</w:t>
      </w:r>
      <w:proofErr w:type="spellEnd"/>
      <w:r w:rsidR="00D17FAC">
        <w:t xml:space="preserve">, Reaktionsgefäßen und Petrischalen aufnehmen, besitzt integrierte Waschroutinen gegen Probenverschleppungen innerhalb der Leitungen und wird mit Software zur Auswertung der Messwerte ausgeliefert. Weiterhin bietet das </w:t>
      </w:r>
      <w:proofErr w:type="spellStart"/>
      <w:r w:rsidR="00D17FAC">
        <w:t>Attune</w:t>
      </w:r>
      <w:proofErr w:type="spellEnd"/>
      <w:r w:rsidR="00D17FAC">
        <w:t xml:space="preserve"> </w:t>
      </w:r>
      <w:proofErr w:type="spellStart"/>
      <w:r w:rsidR="00D17FAC">
        <w:t>NxT</w:t>
      </w:r>
      <w:proofErr w:type="spellEnd"/>
      <w:r w:rsidR="00D17FAC">
        <w:t xml:space="preserve"> von </w:t>
      </w:r>
      <w:proofErr w:type="spellStart"/>
      <w:r w:rsidR="00D17FAC">
        <w:t>Thermo</w:t>
      </w:r>
      <w:proofErr w:type="spellEnd"/>
      <w:r w:rsidR="00D17FAC">
        <w:t xml:space="preserve"> Scientific aufgrund einer schallunterstützten Probenfokussierung Schutz gegen Verstopfungen der Durchflusskammer</w:t>
      </w:r>
      <w:r w:rsidR="00A4683C">
        <w:t>.</w:t>
      </w:r>
      <w:r w:rsidR="00D17FAC">
        <w:t xml:space="preserve"> </w:t>
      </w:r>
      <w:r w:rsidR="00A4683C">
        <w:t>D</w:t>
      </w:r>
      <w:r w:rsidR="00D17FAC">
        <w:t xml:space="preserve">as ZE5 bietet eine Funktion zur vollautomatischen Kalibrierung und das </w:t>
      </w:r>
      <w:proofErr w:type="spellStart"/>
      <w:r w:rsidR="00D17FAC">
        <w:t>Guava</w:t>
      </w:r>
      <w:proofErr w:type="spellEnd"/>
      <w:r w:rsidR="00D17FAC" w:rsidRPr="00B719C0">
        <w:rPr>
          <w:rFonts w:cs="Times New Roman"/>
          <w:vertAlign w:val="superscript"/>
        </w:rPr>
        <w:t>®</w:t>
      </w:r>
      <w:r w:rsidR="00D17FAC">
        <w:t xml:space="preserve"> </w:t>
      </w:r>
      <w:proofErr w:type="spellStart"/>
      <w:r w:rsidR="00D17FAC">
        <w:t>easyCyte</w:t>
      </w:r>
      <w:proofErr w:type="spellEnd"/>
      <w:r w:rsidR="00D17FAC">
        <w:t xml:space="preserve"> von </w:t>
      </w:r>
      <w:proofErr w:type="spellStart"/>
      <w:r w:rsidR="00D17FAC">
        <w:t>MilliporeSigma</w:t>
      </w:r>
      <w:proofErr w:type="spellEnd"/>
      <w:r w:rsidR="00D17FAC">
        <w:t xml:space="preserve"> benötigt weniger Probenvolumen pro Analyse. </w:t>
      </w:r>
      <w:r w:rsidR="0098182F">
        <w:t>[FISHER SCIENTIFIC</w:t>
      </w:r>
      <w:r w:rsidR="00C02AD7">
        <w:t xml:space="preserve"> A</w:t>
      </w:r>
      <w:r w:rsidR="0098182F">
        <w:t>, 2017; BIORAD, 2017; BECKMAN, 2017; MERCK, 2017]</w:t>
      </w:r>
    </w:p>
    <w:p w:rsidR="00C7056B" w:rsidRDefault="00C7056B" w:rsidP="00D04FCE"/>
    <w:p w:rsidR="00C7056B" w:rsidRDefault="00C7056B" w:rsidP="00D04FCE">
      <w:pPr>
        <w:sectPr w:rsidR="00C7056B" w:rsidSect="00801116">
          <w:headerReference w:type="default" r:id="rId29"/>
          <w:pgSz w:w="11906" w:h="16838"/>
          <w:pgMar w:top="1417" w:right="1417" w:bottom="1134" w:left="1417" w:header="708" w:footer="708" w:gutter="0"/>
          <w:cols w:space="708"/>
          <w:docGrid w:linePitch="360"/>
        </w:sectPr>
      </w:pPr>
    </w:p>
    <w:p w:rsidR="000E7B64" w:rsidRDefault="00481365" w:rsidP="000E7B64">
      <w:pPr>
        <w:pStyle w:val="berschrift1"/>
      </w:pPr>
      <w:bookmarkStart w:id="40" w:name="_Toc478923358"/>
      <w:r>
        <w:lastRenderedPageBreak/>
        <w:t>4</w:t>
      </w:r>
      <w:r w:rsidR="000E7B64">
        <w:t xml:space="preserve"> </w:t>
      </w:r>
      <w:r w:rsidR="00E327D0">
        <w:t>Integration von Fluoreszenzdetektionssystemen in Liquid-Handling-Systeme</w:t>
      </w:r>
      <w:bookmarkEnd w:id="40"/>
    </w:p>
    <w:p w:rsidR="00E327D0" w:rsidRDefault="00E327D0" w:rsidP="00E327D0">
      <w:pPr>
        <w:pStyle w:val="berschrift2"/>
      </w:pPr>
      <w:bookmarkStart w:id="41" w:name="_Toc478923359"/>
      <w:r>
        <w:t>4.1 Kommerzielle Systeme</w:t>
      </w:r>
      <w:bookmarkEnd w:id="41"/>
    </w:p>
    <w:p w:rsidR="000B3933" w:rsidRPr="008B6195" w:rsidRDefault="008B6195" w:rsidP="000B3933">
      <w:r>
        <w:t xml:space="preserve">Große Hersteller von Liquid Handling Systemen und </w:t>
      </w:r>
      <w:proofErr w:type="spellStart"/>
      <w:r>
        <w:t>Fluorometern</w:t>
      </w:r>
      <w:proofErr w:type="spellEnd"/>
      <w:r>
        <w:t xml:space="preserve"> bieten miteinander kompatible, gekoppelte Systeme für die automatisierte Durchführung und Auswertung von Versuchen mit Fluoreszenzdetektion an. </w:t>
      </w:r>
      <w:r w:rsidR="00111695">
        <w:t xml:space="preserve">Um auch hohe Probendurchsätze zu ermöglichen, </w:t>
      </w:r>
      <w:r w:rsidR="00BA64B3">
        <w:t xml:space="preserve">werden </w:t>
      </w:r>
      <w:r w:rsidR="00111695">
        <w:t xml:space="preserve">auf </w:t>
      </w:r>
      <w:proofErr w:type="spellStart"/>
      <w:r w:rsidR="00111695">
        <w:t>Mikrotiterplatten</w:t>
      </w:r>
      <w:proofErr w:type="spellEnd"/>
      <w:r w:rsidR="00111695">
        <w:t xml:space="preserve"> basierende </w:t>
      </w:r>
      <w:proofErr w:type="spellStart"/>
      <w:r w:rsidR="00111695">
        <w:t>Fluorometer</w:t>
      </w:r>
      <w:proofErr w:type="spellEnd"/>
      <w:r w:rsidR="00111695">
        <w:t xml:space="preserve"> </w:t>
      </w:r>
      <w:r w:rsidR="00BA64B3">
        <w:t xml:space="preserve">verwendet. </w:t>
      </w:r>
      <w:r w:rsidR="001B697D">
        <w:t xml:space="preserve">Eine einfache Kopplungsmethode verwendet </w:t>
      </w:r>
      <w:proofErr w:type="spellStart"/>
      <w:r w:rsidR="001B697D">
        <w:t>Thermo</w:t>
      </w:r>
      <w:proofErr w:type="spellEnd"/>
      <w:r w:rsidR="001B697D">
        <w:t xml:space="preserve"> Scientific bei der Kombination des CV 2000 Liquid Handling Systems mit dem </w:t>
      </w:r>
      <w:proofErr w:type="spellStart"/>
      <w:r w:rsidR="001B697D">
        <w:t>Varioskan</w:t>
      </w:r>
      <w:proofErr w:type="spellEnd"/>
      <w:r w:rsidR="001B697D">
        <w:t xml:space="preserve"> </w:t>
      </w:r>
      <w:proofErr w:type="spellStart"/>
      <w:r w:rsidR="001B697D">
        <w:t>Fluorometer</w:t>
      </w:r>
      <w:proofErr w:type="spellEnd"/>
      <w:r w:rsidR="001B697D">
        <w:t>. Die Mikrotiterplatte befindet sich auf dem Einzugsteller des Fluoreszenzreaders und kann von dem Roboterarm der Pipettierstation erreicht und bearbeitet werden.</w:t>
      </w:r>
      <w:r w:rsidR="007C7F65">
        <w:t xml:space="preserve"> Es ist ebenfalls möglich, über einen internen </w:t>
      </w:r>
      <w:proofErr w:type="spellStart"/>
      <w:r w:rsidR="007C7F65">
        <w:t>Dispenser</w:t>
      </w:r>
      <w:proofErr w:type="spellEnd"/>
      <w:r w:rsidR="007C7F65">
        <w:t xml:space="preserve"> des </w:t>
      </w:r>
      <w:proofErr w:type="spellStart"/>
      <w:r w:rsidR="007C7F65">
        <w:t>Fluorometers</w:t>
      </w:r>
      <w:proofErr w:type="spellEnd"/>
      <w:r w:rsidR="007C7F65">
        <w:t xml:space="preserve"> Reagenzien zuzugeben. In dem </w:t>
      </w:r>
      <w:proofErr w:type="spellStart"/>
      <w:r w:rsidR="007C7F65">
        <w:t>Fluorometer</w:t>
      </w:r>
      <w:proofErr w:type="spellEnd"/>
      <w:r w:rsidR="007C7F65">
        <w:t xml:space="preserve"> kann die Platte und kontrollierten Bedingungen </w:t>
      </w:r>
      <w:proofErr w:type="spellStart"/>
      <w:r w:rsidR="007C7F65">
        <w:t>inkubiert</w:t>
      </w:r>
      <w:proofErr w:type="spellEnd"/>
      <w:r w:rsidR="007C7F65">
        <w:t xml:space="preserve"> werden.</w:t>
      </w:r>
      <w:r w:rsidR="001B697D">
        <w:t xml:space="preserve"> </w:t>
      </w:r>
      <w:r w:rsidR="007C7F65">
        <w:t xml:space="preserve">Das </w:t>
      </w:r>
      <w:proofErr w:type="spellStart"/>
      <w:r w:rsidR="007C7F65">
        <w:t>Fluorometer</w:t>
      </w:r>
      <w:proofErr w:type="spellEnd"/>
      <w:r w:rsidR="007C7F65">
        <w:t xml:space="preserve"> wird über die Software </w:t>
      </w:r>
      <w:r w:rsidR="003C6F29">
        <w:t>der Pipettierstation angesteuert.</w:t>
      </w:r>
      <w:r w:rsidR="003B568E">
        <w:t xml:space="preserve"> Es ist allerdings nicht vorgesehen, die Mikrotiterplatte aus dem </w:t>
      </w:r>
      <w:proofErr w:type="spellStart"/>
      <w:r w:rsidR="003B568E">
        <w:t>Fluorometer</w:t>
      </w:r>
      <w:proofErr w:type="spellEnd"/>
      <w:r w:rsidR="003B568E">
        <w:t xml:space="preserve"> zu entfernen und auf den eigentlichen Arbeitsbereich der Pipettierstation zu überführen. Sollen mehrere Platten bearbeitet und ausgelesen werden, muss an das </w:t>
      </w:r>
      <w:proofErr w:type="spellStart"/>
      <w:r w:rsidR="003B568E">
        <w:t>Fluorometer</w:t>
      </w:r>
      <w:proofErr w:type="spellEnd"/>
      <w:r w:rsidR="003B568E">
        <w:t xml:space="preserve"> ein </w:t>
      </w:r>
      <w:proofErr w:type="spellStart"/>
      <w:r w:rsidR="003B568E">
        <w:t>Microplate</w:t>
      </w:r>
      <w:proofErr w:type="spellEnd"/>
      <w:r w:rsidR="003B568E">
        <w:t xml:space="preserve"> </w:t>
      </w:r>
      <w:proofErr w:type="spellStart"/>
      <w:r w:rsidR="003B568E">
        <w:t>Stacker</w:t>
      </w:r>
      <w:proofErr w:type="spellEnd"/>
      <w:r w:rsidR="003B568E">
        <w:t xml:space="preserve"> wie der </w:t>
      </w:r>
      <w:proofErr w:type="spellStart"/>
      <w:r w:rsidR="003B568E">
        <w:t>RapidStak</w:t>
      </w:r>
      <w:proofErr w:type="spellEnd"/>
      <w:r w:rsidR="003B568E" w:rsidRPr="003B568E">
        <w:rPr>
          <w:rFonts w:cs="Times New Roman"/>
          <w:vertAlign w:val="superscript"/>
        </w:rPr>
        <w:t>™</w:t>
      </w:r>
      <w:r w:rsidR="003B568E">
        <w:rPr>
          <w:rFonts w:cs="Times New Roman"/>
        </w:rPr>
        <w:t xml:space="preserve"> von </w:t>
      </w:r>
      <w:proofErr w:type="spellStart"/>
      <w:r w:rsidR="003B568E">
        <w:rPr>
          <w:rFonts w:cs="Times New Roman"/>
        </w:rPr>
        <w:t>Thermo</w:t>
      </w:r>
      <w:proofErr w:type="spellEnd"/>
      <w:r w:rsidR="003B568E">
        <w:rPr>
          <w:rFonts w:cs="Times New Roman"/>
        </w:rPr>
        <w:t xml:space="preserve"> Scientific angeschlossen werden.</w:t>
      </w:r>
      <w:r w:rsidR="00C02AD7">
        <w:rPr>
          <w:rFonts w:cs="Times New Roman"/>
        </w:rPr>
        <w:t xml:space="preserve"> [</w:t>
      </w:r>
      <w:r w:rsidR="007C7F65">
        <w:rPr>
          <w:rFonts w:cs="Times New Roman"/>
        </w:rPr>
        <w:t>THERMO SCIENTIFIC B, 2017; THERMO SCIENTIFIC, 2014;</w:t>
      </w:r>
      <w:r w:rsidR="007C7F65" w:rsidRPr="007C7F65">
        <w:rPr>
          <w:rFonts w:cs="Times New Roman"/>
        </w:rPr>
        <w:t xml:space="preserve"> </w:t>
      </w:r>
      <w:r w:rsidR="007C7F65">
        <w:rPr>
          <w:rFonts w:cs="Times New Roman"/>
        </w:rPr>
        <w:t>THERMO SCIENTIFIC, 2009]</w:t>
      </w:r>
    </w:p>
    <w:p w:rsidR="007C7F65" w:rsidRDefault="007C7F65" w:rsidP="007C7F65">
      <w:pPr>
        <w:rPr>
          <w:rFonts w:cs="Times New Roman"/>
        </w:rPr>
      </w:pPr>
      <w:r>
        <w:t xml:space="preserve">Analog zu diesem gekoppelten System von </w:t>
      </w:r>
      <w:proofErr w:type="spellStart"/>
      <w:r>
        <w:t>Thermo</w:t>
      </w:r>
      <w:proofErr w:type="spellEnd"/>
      <w:r>
        <w:t xml:space="preserve"> Scientific bietet </w:t>
      </w:r>
      <w:proofErr w:type="spellStart"/>
      <w:r>
        <w:t>Tecan</w:t>
      </w:r>
      <w:proofErr w:type="spellEnd"/>
      <w:r>
        <w:t xml:space="preserve"> die </w:t>
      </w:r>
      <w:proofErr w:type="spellStart"/>
      <w:r>
        <w:t>Tecan</w:t>
      </w:r>
      <w:proofErr w:type="spellEnd"/>
      <w:r>
        <w:t xml:space="preserve"> Freedom </w:t>
      </w:r>
      <w:proofErr w:type="spellStart"/>
      <w:r>
        <w:t>Evo</w:t>
      </w:r>
      <w:proofErr w:type="spellEnd"/>
      <w:r w:rsidRPr="007C7F65">
        <w:rPr>
          <w:rFonts w:cs="Times New Roman"/>
          <w:vertAlign w:val="superscript"/>
        </w:rPr>
        <w:t>®</w:t>
      </w:r>
      <w:r>
        <w:t xml:space="preserve"> Serie und die </w:t>
      </w:r>
      <w:proofErr w:type="spellStart"/>
      <w:r>
        <w:t>Tecan</w:t>
      </w:r>
      <w:proofErr w:type="spellEnd"/>
      <w:r>
        <w:t xml:space="preserve"> </w:t>
      </w:r>
      <w:proofErr w:type="spellStart"/>
      <w:r>
        <w:t>Fluent</w:t>
      </w:r>
      <w:proofErr w:type="spellEnd"/>
      <w:r w:rsidRPr="007C7F65">
        <w:rPr>
          <w:rFonts w:cs="Times New Roman"/>
          <w:vertAlign w:val="superscript"/>
        </w:rPr>
        <w:t>®</w:t>
      </w:r>
      <w:r>
        <w:rPr>
          <w:rFonts w:cs="Times New Roman"/>
        </w:rPr>
        <w:t xml:space="preserve"> Serie als Liquid Handling Systeme an, die mit den vier von </w:t>
      </w:r>
      <w:proofErr w:type="spellStart"/>
      <w:r>
        <w:rPr>
          <w:rFonts w:cs="Times New Roman"/>
        </w:rPr>
        <w:t>Tecan</w:t>
      </w:r>
      <w:proofErr w:type="spellEnd"/>
      <w:r>
        <w:rPr>
          <w:rFonts w:cs="Times New Roman"/>
        </w:rPr>
        <w:t xml:space="preserve"> hergestellten Multimode Readern, unter anderem dem </w:t>
      </w:r>
      <w:proofErr w:type="spellStart"/>
      <w:r>
        <w:rPr>
          <w:rFonts w:cs="Times New Roman"/>
        </w:rPr>
        <w:t>Tecan</w:t>
      </w:r>
      <w:proofErr w:type="spellEnd"/>
      <w:r>
        <w:rPr>
          <w:rFonts w:cs="Times New Roman"/>
        </w:rPr>
        <w:t xml:space="preserve"> Spark</w:t>
      </w:r>
      <w:r w:rsidRPr="007C7F65">
        <w:rPr>
          <w:rFonts w:cs="Times New Roman"/>
          <w:vertAlign w:val="superscript"/>
        </w:rPr>
        <w:t>®</w:t>
      </w:r>
      <w:r>
        <w:rPr>
          <w:rFonts w:cs="Times New Roman"/>
        </w:rPr>
        <w:t xml:space="preserve">, kompatibel sind. </w:t>
      </w:r>
      <w:r w:rsidR="003C6F29">
        <w:rPr>
          <w:rFonts w:cs="Times New Roman"/>
        </w:rPr>
        <w:t xml:space="preserve">Das </w:t>
      </w:r>
      <w:proofErr w:type="spellStart"/>
      <w:r w:rsidR="003C6F29">
        <w:rPr>
          <w:rFonts w:cs="Times New Roman"/>
        </w:rPr>
        <w:t>Fluorometer</w:t>
      </w:r>
      <w:proofErr w:type="spellEnd"/>
      <w:r w:rsidR="003C6F29">
        <w:rPr>
          <w:rFonts w:cs="Times New Roman"/>
        </w:rPr>
        <w:t xml:space="preserve"> wird innerhalb des Arbeitsbereiches der Pipettierstation platziert und an das Liquid Handling System angeschlossen. Die Bearbeitung der Platte erfolgt analog zu dem im ersten Absatz beschriebenen System von </w:t>
      </w:r>
      <w:proofErr w:type="spellStart"/>
      <w:r w:rsidR="003C6F29">
        <w:rPr>
          <w:rFonts w:cs="Times New Roman"/>
        </w:rPr>
        <w:t>Thermo</w:t>
      </w:r>
      <w:proofErr w:type="spellEnd"/>
      <w:r w:rsidR="003C6F29">
        <w:rPr>
          <w:rFonts w:cs="Times New Roman"/>
        </w:rPr>
        <w:t xml:space="preserve"> Scientific, allerdings sollte für diese Systeme ein </w:t>
      </w:r>
      <w:proofErr w:type="spellStart"/>
      <w:r w:rsidR="003C6F29">
        <w:rPr>
          <w:rFonts w:cs="Times New Roman"/>
        </w:rPr>
        <w:t>Microplate</w:t>
      </w:r>
      <w:proofErr w:type="spellEnd"/>
      <w:r w:rsidR="003C6F29">
        <w:rPr>
          <w:rFonts w:cs="Times New Roman"/>
        </w:rPr>
        <w:t xml:space="preserve"> </w:t>
      </w:r>
      <w:proofErr w:type="spellStart"/>
      <w:r w:rsidR="003C6F29">
        <w:rPr>
          <w:rFonts w:cs="Times New Roman"/>
        </w:rPr>
        <w:t>Stacker</w:t>
      </w:r>
      <w:proofErr w:type="spellEnd"/>
      <w:r w:rsidR="003C6F29">
        <w:rPr>
          <w:rFonts w:cs="Times New Roman"/>
        </w:rPr>
        <w:t xml:space="preserve"> von </w:t>
      </w:r>
      <w:proofErr w:type="spellStart"/>
      <w:r w:rsidR="003C6F29">
        <w:rPr>
          <w:rFonts w:cs="Times New Roman"/>
        </w:rPr>
        <w:t>Tecan</w:t>
      </w:r>
      <w:proofErr w:type="spellEnd"/>
      <w:r w:rsidR="003C6F29">
        <w:rPr>
          <w:rFonts w:cs="Times New Roman"/>
        </w:rPr>
        <w:t xml:space="preserve"> verwendet werden, wie der Connect</w:t>
      </w:r>
      <w:r w:rsidR="003C6F29" w:rsidRPr="003C6F29">
        <w:rPr>
          <w:rFonts w:cs="Times New Roman"/>
          <w:vertAlign w:val="superscript"/>
        </w:rPr>
        <w:t>™</w:t>
      </w:r>
      <w:r w:rsidR="003C6F29">
        <w:rPr>
          <w:rFonts w:cs="Times New Roman"/>
        </w:rPr>
        <w:t xml:space="preserve">. Die Ansteuerung des </w:t>
      </w:r>
      <w:proofErr w:type="spellStart"/>
      <w:r w:rsidR="003C6F29">
        <w:rPr>
          <w:rFonts w:cs="Times New Roman"/>
        </w:rPr>
        <w:t>Fluorometers</w:t>
      </w:r>
      <w:proofErr w:type="spellEnd"/>
      <w:r w:rsidR="003C6F29">
        <w:rPr>
          <w:rFonts w:cs="Times New Roman"/>
        </w:rPr>
        <w:t xml:space="preserve"> erfolgt über die jeweilige Software des Liquid Handling Systems.</w:t>
      </w:r>
      <w:r w:rsidR="00251ED0">
        <w:rPr>
          <w:rFonts w:cs="Times New Roman"/>
        </w:rPr>
        <w:t xml:space="preserve"> Zu dieser Anordnung ist weiterhin zu erwähnen, dass von den vier kompatiblen Multimode Readern ausschließlich der </w:t>
      </w:r>
      <w:proofErr w:type="spellStart"/>
      <w:r w:rsidR="00251ED0">
        <w:rPr>
          <w:rFonts w:cs="Times New Roman"/>
        </w:rPr>
        <w:t>Tecan</w:t>
      </w:r>
      <w:proofErr w:type="spellEnd"/>
      <w:r w:rsidR="00251ED0">
        <w:rPr>
          <w:rFonts w:cs="Times New Roman"/>
        </w:rPr>
        <w:t xml:space="preserve"> Spark</w:t>
      </w:r>
      <w:r w:rsidR="00251ED0" w:rsidRPr="00251ED0">
        <w:rPr>
          <w:rFonts w:cs="Times New Roman"/>
          <w:vertAlign w:val="superscript"/>
        </w:rPr>
        <w:t>®</w:t>
      </w:r>
      <w:r w:rsidR="009F6973">
        <w:rPr>
          <w:rFonts w:cs="Times New Roman"/>
        </w:rPr>
        <w:t xml:space="preserve"> zur Steuerung des O</w:t>
      </w:r>
      <w:r w:rsidR="009F6973" w:rsidRPr="009F6973">
        <w:rPr>
          <w:rFonts w:cs="Times New Roman"/>
          <w:vertAlign w:val="subscript"/>
        </w:rPr>
        <w:t>2</w:t>
      </w:r>
      <w:r w:rsidR="009F6973">
        <w:rPr>
          <w:rFonts w:cs="Times New Roman"/>
        </w:rPr>
        <w:t>- und CO</w:t>
      </w:r>
      <w:r w:rsidR="009F6973" w:rsidRPr="009F6973">
        <w:rPr>
          <w:rFonts w:cs="Times New Roman"/>
          <w:vertAlign w:val="subscript"/>
        </w:rPr>
        <w:t>2</w:t>
      </w:r>
      <w:r w:rsidR="009F6973">
        <w:rPr>
          <w:rFonts w:cs="Times New Roman"/>
        </w:rPr>
        <w:t>-Gehaltes während der Inkubation in der Lage ist.</w:t>
      </w:r>
      <w:r w:rsidR="003C6F29">
        <w:rPr>
          <w:rFonts w:cs="Times New Roman"/>
        </w:rPr>
        <w:t xml:space="preserve"> </w:t>
      </w:r>
      <w:r w:rsidR="00B851E1">
        <w:rPr>
          <w:rFonts w:cs="Times New Roman"/>
        </w:rPr>
        <w:t>[TECAN A, 2017; TECAN B, 2017; TECAN C, 2017]</w:t>
      </w:r>
    </w:p>
    <w:p w:rsidR="00B851E1" w:rsidRDefault="00B851E1" w:rsidP="007C7F65">
      <w:pPr>
        <w:rPr>
          <w:rFonts w:cs="Times New Roman"/>
        </w:rPr>
      </w:pPr>
      <w:r>
        <w:rPr>
          <w:rFonts w:cs="Times New Roman"/>
        </w:rPr>
        <w:t xml:space="preserve">Ein weiteres gekoppeltes System wird von </w:t>
      </w:r>
      <w:proofErr w:type="spellStart"/>
      <w:r>
        <w:rPr>
          <w:rFonts w:cs="Times New Roman"/>
        </w:rPr>
        <w:t>PerkinElmer</w:t>
      </w:r>
      <w:proofErr w:type="spellEnd"/>
      <w:r>
        <w:rPr>
          <w:rFonts w:cs="Times New Roman"/>
        </w:rPr>
        <w:t xml:space="preserve"> angeboten. Bei dieser Anordnung werden die Janus</w:t>
      </w:r>
      <w:r w:rsidRPr="00B851E1">
        <w:rPr>
          <w:rFonts w:cs="Times New Roman"/>
          <w:vertAlign w:val="superscript"/>
        </w:rPr>
        <w:t>®</w:t>
      </w:r>
      <w:r>
        <w:rPr>
          <w:rFonts w:cs="Times New Roman"/>
        </w:rPr>
        <w:t xml:space="preserve"> Workstation und der </w:t>
      </w:r>
      <w:proofErr w:type="spellStart"/>
      <w:r>
        <w:rPr>
          <w:rFonts w:cs="Times New Roman"/>
        </w:rPr>
        <w:t>EnSpire</w:t>
      </w:r>
      <w:proofErr w:type="spellEnd"/>
      <w:r w:rsidRPr="00B851E1">
        <w:rPr>
          <w:rFonts w:cs="Times New Roman"/>
          <w:vertAlign w:val="superscript"/>
        </w:rPr>
        <w:t>®</w:t>
      </w:r>
      <w:r>
        <w:rPr>
          <w:rFonts w:cs="Times New Roman"/>
        </w:rPr>
        <w:t xml:space="preserve"> Multimode Plate Reader verbunden. Anders als bei den bisher genannten Systemen befindet sich der Reader dabei nicht im Arbeitsbereich der Pipettierstation. Die Anordnung ist in </w:t>
      </w:r>
      <w:r>
        <w:rPr>
          <w:rFonts w:cs="Times New Roman"/>
        </w:rPr>
        <w:fldChar w:fldCharType="begin"/>
      </w:r>
      <w:r>
        <w:rPr>
          <w:rFonts w:cs="Times New Roman"/>
        </w:rPr>
        <w:instrText xml:space="preserve"> REF _Ref477955814 \h </w:instrText>
      </w:r>
      <w:r>
        <w:rPr>
          <w:rFonts w:cs="Times New Roman"/>
        </w:rPr>
      </w:r>
      <w:r>
        <w:rPr>
          <w:rFonts w:cs="Times New Roman"/>
        </w:rPr>
        <w:fldChar w:fldCharType="separate"/>
      </w:r>
      <w:r w:rsidR="00B17641">
        <w:t xml:space="preserve">Abbildung </w:t>
      </w:r>
      <w:r w:rsidR="00B17641">
        <w:rPr>
          <w:noProof/>
        </w:rPr>
        <w:t>13</w:t>
      </w:r>
      <w:r>
        <w:rPr>
          <w:rFonts w:cs="Times New Roman"/>
        </w:rPr>
        <w:fldChar w:fldCharType="end"/>
      </w:r>
      <w:r>
        <w:rPr>
          <w:rFonts w:cs="Times New Roman"/>
        </w:rPr>
        <w:t xml:space="preserve"> gezeigt.</w:t>
      </w:r>
    </w:p>
    <w:p w:rsidR="00B851E1" w:rsidRDefault="00B851E1" w:rsidP="00B851E1">
      <w:pPr>
        <w:keepNext/>
      </w:pPr>
      <w:r>
        <w:rPr>
          <w:noProof/>
          <w:lang w:eastAsia="de-DE"/>
        </w:rPr>
        <w:lastRenderedPageBreak/>
        <w:drawing>
          <wp:inline distT="0" distB="0" distL="0" distR="0" wp14:anchorId="1E951BD8" wp14:editId="5959FA6B">
            <wp:extent cx="3265200" cy="2937600"/>
            <wp:effectExtent l="0" t="0" r="0" b="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265200" cy="2937600"/>
                    </a:xfrm>
                    <a:prstGeom prst="rect">
                      <a:avLst/>
                    </a:prstGeom>
                    <a:noFill/>
                    <a:ln>
                      <a:noFill/>
                    </a:ln>
                  </pic:spPr>
                </pic:pic>
              </a:graphicData>
            </a:graphic>
          </wp:inline>
        </w:drawing>
      </w:r>
    </w:p>
    <w:p w:rsidR="00B851E1" w:rsidRDefault="00B851E1" w:rsidP="00B851E1">
      <w:pPr>
        <w:pStyle w:val="Beschriftung"/>
      </w:pPr>
      <w:bookmarkStart w:id="42" w:name="_Ref477955814"/>
      <w:bookmarkStart w:id="43" w:name="_Toc478923376"/>
      <w:r>
        <w:t xml:space="preserve">Abbildung </w:t>
      </w:r>
      <w:fldSimple w:instr=" SEQ Abbildung \* ARABIC ">
        <w:r w:rsidR="00B17641">
          <w:rPr>
            <w:noProof/>
          </w:rPr>
          <w:t>13</w:t>
        </w:r>
      </w:fldSimple>
      <w:bookmarkEnd w:id="42"/>
      <w:r>
        <w:t xml:space="preserve">: Kopplung der Janus Workstation (links) mit dem </w:t>
      </w:r>
      <w:proofErr w:type="spellStart"/>
      <w:r>
        <w:t>EnSpire</w:t>
      </w:r>
      <w:proofErr w:type="spellEnd"/>
      <w:r>
        <w:t xml:space="preserve"> Multimode Plate Reader (rechts) mit </w:t>
      </w:r>
      <w:proofErr w:type="spellStart"/>
      <w:r>
        <w:t>Stacker</w:t>
      </w:r>
      <w:proofErr w:type="spellEnd"/>
      <w:r>
        <w:t xml:space="preserve"> [PERKINELMER, 2011]</w:t>
      </w:r>
      <w:bookmarkEnd w:id="43"/>
    </w:p>
    <w:p w:rsidR="00B851E1" w:rsidRDefault="00251ED0" w:rsidP="00B851E1">
      <w:r>
        <w:t xml:space="preserve">Der Fluoreszenzreader befindet sich außerhalb der Workstation. Beide Komponenten sind über eine Brücke für den Transport von </w:t>
      </w:r>
      <w:proofErr w:type="spellStart"/>
      <w:r>
        <w:t>Mikrotiterplatten</w:t>
      </w:r>
      <w:proofErr w:type="spellEnd"/>
      <w:r>
        <w:t xml:space="preserve"> miteinander verbunden. Über diese Brücke können </w:t>
      </w:r>
      <w:proofErr w:type="spellStart"/>
      <w:r>
        <w:t>Mikrotiterplatten</w:t>
      </w:r>
      <w:proofErr w:type="spellEnd"/>
      <w:r>
        <w:t xml:space="preserve"> von dem Reader in den Arbeitsbereich der Pipettierstation transportiert und dort bearbeitet oder gelagert werden. Die Inkubation der Platte kann demzufolge sowohl innerhalb des </w:t>
      </w:r>
      <w:proofErr w:type="spellStart"/>
      <w:r>
        <w:t>Fluorometers</w:t>
      </w:r>
      <w:proofErr w:type="spellEnd"/>
      <w:r>
        <w:t xml:space="preserve"> als auch durch entsprechende Module in der </w:t>
      </w:r>
      <w:proofErr w:type="spellStart"/>
      <w:r>
        <w:t>Pip</w:t>
      </w:r>
      <w:r w:rsidR="00D60F66">
        <w:t>e</w:t>
      </w:r>
      <w:r>
        <w:t>tettierstation</w:t>
      </w:r>
      <w:proofErr w:type="spellEnd"/>
      <w:r>
        <w:t xml:space="preserve"> erfolgen. Die Steuerung des </w:t>
      </w:r>
      <w:proofErr w:type="spellStart"/>
      <w:r>
        <w:t>Fluorometers</w:t>
      </w:r>
      <w:proofErr w:type="spellEnd"/>
      <w:r>
        <w:t xml:space="preserve"> erfolgt über die Software des Liquid Handling Systems.</w:t>
      </w:r>
    </w:p>
    <w:p w:rsidR="009F6973" w:rsidRDefault="009F6973" w:rsidP="00B851E1">
      <w:r>
        <w:t>Für alle hier genannten Systeme gilt, dass die Bedienung ausschließlich über die Software des jeweiligen Liquid Handling Systems erfolgt. Dementsprechend ist es nicht möglich, Geräte verschiedener Hersteller</w:t>
      </w:r>
      <w:r w:rsidR="00602340">
        <w:t xml:space="preserve"> unter Verwendung der mitgelieferten Software</w:t>
      </w:r>
      <w:r>
        <w:t xml:space="preserve"> miteinander zu kombinieren. </w:t>
      </w:r>
    </w:p>
    <w:p w:rsidR="002C128B" w:rsidRDefault="002C128B" w:rsidP="002C128B">
      <w:pPr>
        <w:pStyle w:val="berschrift2"/>
      </w:pPr>
      <w:bookmarkStart w:id="44" w:name="_Toc478923360"/>
      <w:r>
        <w:t>4.2 Alternative Konzeptionen</w:t>
      </w:r>
      <w:bookmarkEnd w:id="44"/>
    </w:p>
    <w:p w:rsidR="002C128B" w:rsidRDefault="002C128B" w:rsidP="002C128B">
      <w:r>
        <w:t xml:space="preserve">Ein großer Nachteil der vorgestellten </w:t>
      </w:r>
      <w:r w:rsidR="00B03A0A">
        <w:t xml:space="preserve">kommerziellen Systeme aus Liquid Handling und Fluoreszenzdetektion ist die Beschränkung der Komponenten auf Geräte der gleichen Firma, deren Kompatibilität durch den Hersteller gegeben wird. Im Hinblick auf die Hardware könnte theoretisch jede Pipettierstation mit jedem beliebigen </w:t>
      </w:r>
      <w:proofErr w:type="spellStart"/>
      <w:r w:rsidR="00B03A0A">
        <w:t>Fluorometer</w:t>
      </w:r>
      <w:proofErr w:type="spellEnd"/>
      <w:r w:rsidR="00B03A0A">
        <w:t xml:space="preserve"> au</w:t>
      </w:r>
      <w:r w:rsidR="008B6195">
        <w:t>sgestattet und betrieben werden,</w:t>
      </w:r>
      <w:r w:rsidR="00B03A0A">
        <w:t xml:space="preserve"> solange die Software der Station die Festlegung eigener Plattenpositionen und –Formate </w:t>
      </w:r>
      <w:r w:rsidR="00AD301C">
        <w:t xml:space="preserve">erlaubt und die Größe des </w:t>
      </w:r>
      <w:proofErr w:type="spellStart"/>
      <w:r w:rsidR="00AD301C">
        <w:t>Fluorometers</w:t>
      </w:r>
      <w:proofErr w:type="spellEnd"/>
      <w:r w:rsidR="00AD301C">
        <w:t xml:space="preserve"> die Größe des Arbeitsbereiches nicht übersteigt. </w:t>
      </w:r>
      <w:r w:rsidR="001176C5">
        <w:t xml:space="preserve">Weiterhin </w:t>
      </w:r>
      <w:r w:rsidR="008B6195">
        <w:t xml:space="preserve">sollte </w:t>
      </w:r>
      <w:r w:rsidR="001176C5">
        <w:t xml:space="preserve">die Halterung des </w:t>
      </w:r>
      <w:proofErr w:type="spellStart"/>
      <w:r w:rsidR="001176C5">
        <w:t>Fluorometers</w:t>
      </w:r>
      <w:proofErr w:type="spellEnd"/>
      <w:r w:rsidR="001176C5">
        <w:t xml:space="preserve"> mit dem Probengefäß, für die meisten Anwendungen eine Mikrotiterplatte, ausfahrbar sein, um für den Roboterarm des Liquid Handl</w:t>
      </w:r>
      <w:r w:rsidR="00883A89">
        <w:t xml:space="preserve">ing Systems </w:t>
      </w:r>
      <w:r w:rsidR="008B6195">
        <w:t xml:space="preserve">oder für Transportmechanismen </w:t>
      </w:r>
      <w:r w:rsidR="00883A89">
        <w:t xml:space="preserve">erreichbar zu sein. </w:t>
      </w:r>
      <w:r w:rsidR="00CA7CA7">
        <w:t xml:space="preserve">Wie bei den vorgestellten kommerziellen Systemen von </w:t>
      </w:r>
      <w:proofErr w:type="spellStart"/>
      <w:r w:rsidR="00CA7CA7">
        <w:t>Thermo</w:t>
      </w:r>
      <w:proofErr w:type="spellEnd"/>
      <w:r w:rsidR="00CA7CA7">
        <w:t xml:space="preserve"> Fischer und </w:t>
      </w:r>
      <w:proofErr w:type="spellStart"/>
      <w:r w:rsidR="00CA7CA7">
        <w:t>Tecan</w:t>
      </w:r>
      <w:proofErr w:type="spellEnd"/>
      <w:r w:rsidR="00CA7CA7">
        <w:t xml:space="preserve"> könnte die Mikrotiterplatte auf der Halterung des </w:t>
      </w:r>
      <w:proofErr w:type="spellStart"/>
      <w:r w:rsidR="00CA7CA7">
        <w:t>Fluorometers</w:t>
      </w:r>
      <w:proofErr w:type="spellEnd"/>
      <w:r w:rsidR="00CA7CA7">
        <w:t xml:space="preserve"> liegen und von der Pipettierstation bearbeitet werden, um anschließend in dem </w:t>
      </w:r>
      <w:proofErr w:type="spellStart"/>
      <w:r w:rsidR="00CA7CA7">
        <w:t>Fluorometer</w:t>
      </w:r>
      <w:proofErr w:type="spellEnd"/>
      <w:r w:rsidR="00CA7CA7">
        <w:t xml:space="preserve"> </w:t>
      </w:r>
      <w:proofErr w:type="spellStart"/>
      <w:r w:rsidR="00CA7CA7">
        <w:t>inkubiert</w:t>
      </w:r>
      <w:proofErr w:type="spellEnd"/>
      <w:r w:rsidR="00CA7CA7">
        <w:t xml:space="preserve"> und ausgelesen zu werden. </w:t>
      </w:r>
      <w:r w:rsidR="00883A89">
        <w:t>[HUANG, 2002]</w:t>
      </w:r>
    </w:p>
    <w:p w:rsidR="00D91B43" w:rsidRDefault="00883A89" w:rsidP="002C128B">
      <w:r>
        <w:lastRenderedPageBreak/>
        <w:t xml:space="preserve">Bei der Kombination von zwei Geräten unterschiedlicher Hersteller ist allerdings zu beachten, dass die Hersteller verschiedene Kommunikationsprotokolle für die Steuerung ihrer Geräte verwenden und dementsprechend die Steuerung eines Gerätes mit einer Fremdsoftware nur dann möglich ist, wenn diese Protokolle bekannt sind. Sind die Protokolle bekannt, kann eine eigene Software zur simultanen Steuerung des </w:t>
      </w:r>
      <w:proofErr w:type="spellStart"/>
      <w:r>
        <w:t>Fluorometers</w:t>
      </w:r>
      <w:proofErr w:type="spellEnd"/>
      <w:r>
        <w:t xml:space="preserve"> und der Pipettierstation geschrieben werden und ein vollautomatischer Betrieb gewährleistet werden. Allerdings würden bei der Verwendung einer eigenen Software die Vorteile der firmeneigenen Software wie automatische </w:t>
      </w:r>
      <w:r w:rsidR="00942468">
        <w:t>Datenauswertung</w:t>
      </w:r>
      <w:r>
        <w:t xml:space="preserve"> oder integrierte Korrekturmethoden für Messwerte verloren gehen oder müssten manuell in die eigene Software integriert werden.</w:t>
      </w:r>
      <w:r w:rsidR="0010121F">
        <w:t xml:space="preserve"> [HUANG, 2002; SCHAUMONT, 2010]</w:t>
      </w:r>
      <w:r>
        <w:t xml:space="preserve"> </w:t>
      </w:r>
    </w:p>
    <w:p w:rsidR="00C124CC" w:rsidRDefault="00C124CC" w:rsidP="002C128B">
      <w:r>
        <w:t xml:space="preserve">Für die Programmierung bietet es sich an, </w:t>
      </w:r>
      <w:r w:rsidR="0010121F">
        <w:t>auf mitgelieferte Programmbibliotheken zurückzugreifen, die von dem Hersteller des Gerätes oder von der mitgelieferten Betriebssoftware zur Verfügung gestellt werden</w:t>
      </w:r>
      <w:r>
        <w:t xml:space="preserve">. Ein Beispiel für eine Software, die eine solche </w:t>
      </w:r>
      <w:r w:rsidR="0010121F">
        <w:t>Bibliothek</w:t>
      </w:r>
      <w:r>
        <w:t xml:space="preserve"> </w:t>
      </w:r>
      <w:r w:rsidR="00D91B43">
        <w:t xml:space="preserve">für die Steuerung bietet, ist </w:t>
      </w:r>
      <w:proofErr w:type="spellStart"/>
      <w:r w:rsidR="00D91B43">
        <w:t>Cavro</w:t>
      </w:r>
      <w:proofErr w:type="spellEnd"/>
      <w:r w:rsidR="00D91B43" w:rsidRPr="00D91B43">
        <w:rPr>
          <w:rFonts w:cs="Times New Roman"/>
          <w:vertAlign w:val="superscript"/>
        </w:rPr>
        <w:t>®</w:t>
      </w:r>
      <w:r w:rsidR="00D91B43">
        <w:t xml:space="preserve"> Express </w:t>
      </w:r>
      <w:proofErr w:type="spellStart"/>
      <w:r w:rsidR="00D91B43">
        <w:t>Robotics</w:t>
      </w:r>
      <w:proofErr w:type="spellEnd"/>
      <w:r w:rsidR="00D91B43">
        <w:t xml:space="preserve">, die mit einigen Liquid Handling Systemen von </w:t>
      </w:r>
      <w:proofErr w:type="spellStart"/>
      <w:r w:rsidR="00D91B43">
        <w:t>Tecan</w:t>
      </w:r>
      <w:proofErr w:type="spellEnd"/>
      <w:r w:rsidR="00D91B43">
        <w:t xml:space="preserve"> mitgeliefert wird. Mit dieser Software ist die Programmierung von z.B. der </w:t>
      </w:r>
      <w:proofErr w:type="spellStart"/>
      <w:r w:rsidR="00D91B43">
        <w:t>Miniprep</w:t>
      </w:r>
      <w:proofErr w:type="spellEnd"/>
      <w:r w:rsidR="00D91B43">
        <w:t xml:space="preserve">-Reihe von </w:t>
      </w:r>
      <w:proofErr w:type="spellStart"/>
      <w:r w:rsidR="00D91B43">
        <w:t>Tecan</w:t>
      </w:r>
      <w:proofErr w:type="spellEnd"/>
      <w:r w:rsidR="00B01C23">
        <w:t xml:space="preserve"> mit Visual Basic möglich. Bieten beide Geräte Bibliotheken in derselben Programmiersprache, kann auf Grundlage der Bibliotheken eine Steuerungssoftware in dieser Sprache geschrieben werden und somit der Arbeitsaufwand </w:t>
      </w:r>
      <w:r w:rsidR="0010121F">
        <w:t>gering gehalten</w:t>
      </w:r>
      <w:r w:rsidR="00B01C23">
        <w:t xml:space="preserve"> werden. Ist die Verwendung einer einheitlichen Programmiersprache nicht möglich, können für beide Geräte in der jeweiligen Sprache Codeabschnitte für wichtige Teilprozeduren erstellt werden und dann von einer zentralen Software an den jeweiligen Stellen des Gesamtprozesses aufgerufen und ausgeführt werden. </w:t>
      </w:r>
      <w:r w:rsidR="00F772E7">
        <w:t>[SCHAUMONT, 2010; TECAN, 2003]</w:t>
      </w:r>
    </w:p>
    <w:p w:rsidR="00CA7CA7" w:rsidRDefault="00CA7CA7" w:rsidP="002C128B">
      <w:r>
        <w:t xml:space="preserve">Huang et al. (2002) haben bei der Entwicklung eines automatisierten gekoppelten Systems aus Liquid Handling und Fluoreszenzdetektion </w:t>
      </w:r>
      <w:r w:rsidR="00742265">
        <w:t xml:space="preserve">den FL600 </w:t>
      </w:r>
      <w:proofErr w:type="spellStart"/>
      <w:r w:rsidR="00ED0D35">
        <w:t>M</w:t>
      </w:r>
      <w:r w:rsidR="00742265">
        <w:t>icroplate</w:t>
      </w:r>
      <w:proofErr w:type="spellEnd"/>
      <w:r w:rsidR="00742265">
        <w:t xml:space="preserve"> </w:t>
      </w:r>
      <w:proofErr w:type="spellStart"/>
      <w:r w:rsidR="00ED0D35">
        <w:t>F</w:t>
      </w:r>
      <w:r w:rsidR="00742265">
        <w:t>lourescence</w:t>
      </w:r>
      <w:proofErr w:type="spellEnd"/>
      <w:r w:rsidR="00742265">
        <w:t xml:space="preserve"> </w:t>
      </w:r>
      <w:r w:rsidR="00ED0D35">
        <w:t>R</w:t>
      </w:r>
      <w:r w:rsidR="00742265">
        <w:t xml:space="preserve">eader und </w:t>
      </w:r>
      <w:r w:rsidR="00EA0183">
        <w:t xml:space="preserve">das Precision 2000 </w:t>
      </w:r>
      <w:proofErr w:type="spellStart"/>
      <w:r w:rsidR="00EA0183">
        <w:t>Pipettiersystem</w:t>
      </w:r>
      <w:proofErr w:type="spellEnd"/>
      <w:r w:rsidR="00EA0183">
        <w:t xml:space="preserve"> von </w:t>
      </w:r>
      <w:proofErr w:type="spellStart"/>
      <w:r w:rsidR="00EA0183">
        <w:t>BioTek</w:t>
      </w:r>
      <w:proofErr w:type="spellEnd"/>
      <w:r w:rsidR="00EA0183">
        <w:t xml:space="preserve"> Instruments verwendet. Es wurde bei diesen Versuchen auf die Entwicklung einer zentralen Steuersoftware verzichtet und stattdessen die mitgelieferte KC4-Software für das </w:t>
      </w:r>
      <w:proofErr w:type="spellStart"/>
      <w:r w:rsidR="00EA0183">
        <w:t>Fluorometer</w:t>
      </w:r>
      <w:proofErr w:type="spellEnd"/>
      <w:r w:rsidR="00EA0183">
        <w:t xml:space="preserve"> und die </w:t>
      </w:r>
      <w:proofErr w:type="spellStart"/>
      <w:r w:rsidR="00EA0183">
        <w:t>precision</w:t>
      </w:r>
      <w:proofErr w:type="spellEnd"/>
      <w:r w:rsidR="00EA0183">
        <w:t xml:space="preserve"> power Software für die Pipettierstation verwendet. Die mit dem </w:t>
      </w:r>
      <w:proofErr w:type="spellStart"/>
      <w:r w:rsidR="00EA0183">
        <w:t>Pipettiersystem</w:t>
      </w:r>
      <w:proofErr w:type="spellEnd"/>
      <w:r w:rsidR="00EA0183">
        <w:t xml:space="preserve"> vorbereiteten Platten wurden manuell in den </w:t>
      </w:r>
      <w:proofErr w:type="spellStart"/>
      <w:r w:rsidR="00EA0183">
        <w:t>Fluorometer</w:t>
      </w:r>
      <w:proofErr w:type="spellEnd"/>
      <w:r w:rsidR="00EA0183">
        <w:t xml:space="preserve"> überführt und ausgelesen. Dieses Verfahren hat den Vorteil, dass auf die aufwändige Entwicklung einer Steuerungssoftware verzichtet werden kann. Dieser Versuchsaufbau erfordert nicht, dass sich das </w:t>
      </w:r>
      <w:proofErr w:type="spellStart"/>
      <w:r w:rsidR="00EA0183">
        <w:t>Fluorometer</w:t>
      </w:r>
      <w:proofErr w:type="spellEnd"/>
      <w:r w:rsidR="00EA0183">
        <w:t xml:space="preserve"> innerhalb der Pipettierstation befindet und bietet somit eine effektivere Platznutzung innerhalb der Station. Es können von der Station mehrere Platten simultan vorbereitet werden und dann schnell und effektiv manuell ausgewertet werden. Allerdings ist dieser Versuchsaufbau nicht vollautomatisch und dementsprechend nicht für </w:t>
      </w:r>
      <w:r w:rsidR="00ED0D35">
        <w:t>die selbstständige Durchführung von zum Beispiel Langzeituntersuchungen außerhalb des Labors geeignet. [HUANG, 2002]</w:t>
      </w:r>
    </w:p>
    <w:p w:rsidR="00ED0D35" w:rsidRDefault="00B931B3" w:rsidP="002C128B">
      <w:pPr>
        <w:rPr>
          <w:rFonts w:cs="Times New Roman"/>
        </w:rPr>
      </w:pPr>
      <w:r>
        <w:t xml:space="preserve">Auf dem Versuchsaufbau von Huang et al. aufbauend könnte die Durchführung vollautomatisiert werden, indem die von der Pipettierstation vorbereitete Platte mittels eines Roboterarms in das </w:t>
      </w:r>
      <w:proofErr w:type="spellStart"/>
      <w:r>
        <w:t>Fluorometer</w:t>
      </w:r>
      <w:proofErr w:type="spellEnd"/>
      <w:r>
        <w:t xml:space="preserve"> überführt wird. Der Vorteil dieses Konzept gegenüber dem Aufbau gegenüber dem von </w:t>
      </w:r>
      <w:proofErr w:type="spellStart"/>
      <w:r>
        <w:t>Tecan</w:t>
      </w:r>
      <w:proofErr w:type="spellEnd"/>
      <w:r>
        <w:t xml:space="preserve"> und </w:t>
      </w:r>
      <w:proofErr w:type="spellStart"/>
      <w:r>
        <w:t>Thermo</w:t>
      </w:r>
      <w:proofErr w:type="spellEnd"/>
      <w:r>
        <w:t xml:space="preserve"> Scientific verwendeten Modell ist die bessere Ausnutzung der Arbeitsfläche der Pipettierstation und die Möglichkeit, mehrere </w:t>
      </w:r>
      <w:proofErr w:type="spellStart"/>
      <w:r>
        <w:lastRenderedPageBreak/>
        <w:t>Mikrotiterplatten</w:t>
      </w:r>
      <w:proofErr w:type="spellEnd"/>
      <w:r>
        <w:t xml:space="preserve"> gleichzeitig zu bearbeiten und nacheinander auszulesen. Weiterhin kann der Versuchsaufbau durch den Roboterarm </w:t>
      </w:r>
      <w:r w:rsidR="0097198A">
        <w:t>erheblich</w:t>
      </w:r>
      <w:r>
        <w:t xml:space="preserve"> erweitert werden, da die Platte mittels des Arms auch in verschiedene andere Laborgeräte, wie Zentrifugen oder spezielle Inkubationseinheiten, überführt werden kann. Mit diesem Aufbau könnten auch komplexe und zeitaufwändige Prozesse parallel ausgeführt werden und die Arbeitseffizienz würde steigen. </w:t>
      </w:r>
      <w:r w:rsidR="004C7F4E">
        <w:t>Die Steuerung des Roboterarm</w:t>
      </w:r>
      <w:r w:rsidR="00B00CB3">
        <w:t>s</w:t>
      </w:r>
      <w:r w:rsidR="004C7F4E">
        <w:t xml:space="preserve"> müsste ebenfalls in die Steuerungssoftware integriert werden.</w:t>
      </w:r>
      <w:r>
        <w:t xml:space="preserve"> Für bekannte Prozesse mit experimentell bestimmten Zeitabschnitten</w:t>
      </w:r>
      <w:r w:rsidR="00D342D9">
        <w:t xml:space="preserve"> zwischen den Transportschritten</w:t>
      </w:r>
      <w:r>
        <w:t xml:space="preserve"> könnte </w:t>
      </w:r>
      <w:r w:rsidR="00D342D9">
        <w:t>auch</w:t>
      </w:r>
      <w:r>
        <w:t xml:space="preserve"> </w:t>
      </w:r>
      <w:r w:rsidR="00D342D9">
        <w:t>eine einfache Zeitschaltung des Roboterarms erstellt werden</w:t>
      </w:r>
      <w:r w:rsidR="00DE2477">
        <w:t xml:space="preserve">. Ein Vertreter der Roboterarme, deren Software eine solche Zeitschaltung vorsieht, ist der </w:t>
      </w:r>
      <w:proofErr w:type="spellStart"/>
      <w:r w:rsidR="00DE2477">
        <w:t>PlateCrane</w:t>
      </w:r>
      <w:proofErr w:type="spellEnd"/>
      <w:r w:rsidR="00DE2477">
        <w:t xml:space="preserve"> EX</w:t>
      </w:r>
      <w:r w:rsidR="00DE2477" w:rsidRPr="00DE2477">
        <w:rPr>
          <w:rFonts w:cs="Times New Roman"/>
          <w:vertAlign w:val="superscript"/>
        </w:rPr>
        <w:t>™</w:t>
      </w:r>
      <w:r w:rsidR="00DE2477">
        <w:rPr>
          <w:rFonts w:cs="Times New Roman"/>
        </w:rPr>
        <w:t xml:space="preserve"> </w:t>
      </w:r>
      <w:proofErr w:type="spellStart"/>
      <w:r w:rsidR="00DE2477">
        <w:rPr>
          <w:rFonts w:cs="Times New Roman"/>
        </w:rPr>
        <w:t>Mikroplate</w:t>
      </w:r>
      <w:proofErr w:type="spellEnd"/>
      <w:r w:rsidR="00DE2477">
        <w:rPr>
          <w:rFonts w:cs="Times New Roman"/>
        </w:rPr>
        <w:t xml:space="preserve"> Handler von Hudson </w:t>
      </w:r>
      <w:proofErr w:type="spellStart"/>
      <w:r w:rsidR="00DE2477">
        <w:rPr>
          <w:rFonts w:cs="Times New Roman"/>
        </w:rPr>
        <w:t>Robotics</w:t>
      </w:r>
      <w:proofErr w:type="spellEnd"/>
      <w:r w:rsidR="00DE2477">
        <w:rPr>
          <w:rFonts w:cs="Times New Roman"/>
        </w:rPr>
        <w:t xml:space="preserve">, der für alle gängigen Plattenformate geeignet ist. Dieser Roboterarm bietet weiterhin eine Halterung für bis zu 450 </w:t>
      </w:r>
      <w:proofErr w:type="spellStart"/>
      <w:r w:rsidR="00DE2477">
        <w:rPr>
          <w:rFonts w:cs="Times New Roman"/>
        </w:rPr>
        <w:t>Mikrotiterplatten</w:t>
      </w:r>
      <w:proofErr w:type="spellEnd"/>
      <w:r w:rsidR="00DE2477">
        <w:rPr>
          <w:rFonts w:cs="Times New Roman"/>
        </w:rPr>
        <w:t xml:space="preserve"> für Versuche mit langer Laufzeit und hohem Durchsatz.</w:t>
      </w:r>
      <w:r w:rsidR="0097198A">
        <w:rPr>
          <w:rFonts w:cs="Times New Roman"/>
        </w:rPr>
        <w:t xml:space="preserve"> [HUDSON ROBOTICS A, 2017]</w:t>
      </w:r>
    </w:p>
    <w:p w:rsidR="0097198A" w:rsidRDefault="00D032C5" w:rsidP="002C128B">
      <w:pPr>
        <w:rPr>
          <w:rFonts w:cs="Times New Roman"/>
        </w:rPr>
      </w:pPr>
      <w:r>
        <w:rPr>
          <w:rFonts w:cs="Times New Roman"/>
        </w:rPr>
        <w:t>Soll durch das gekoppelte Sy</w:t>
      </w:r>
      <w:r w:rsidR="00802166">
        <w:rPr>
          <w:rFonts w:cs="Times New Roman"/>
        </w:rPr>
        <w:t xml:space="preserve">stem nur ein einziger bestimmter Ablauf </w:t>
      </w:r>
      <w:r>
        <w:rPr>
          <w:rFonts w:cs="Times New Roman"/>
        </w:rPr>
        <w:t>realisiert werden, kann anstatt einer allgemeinen Pipettierstation auch ein Transportsystem für die Platten</w:t>
      </w:r>
      <w:r w:rsidR="00802166">
        <w:rPr>
          <w:rFonts w:cs="Times New Roman"/>
        </w:rPr>
        <w:t>,</w:t>
      </w:r>
      <w:r>
        <w:rPr>
          <w:rFonts w:cs="Times New Roman"/>
        </w:rPr>
        <w:t xml:space="preserve"> mit spezialisierten Geräten für das Liquid Handling entlang der T</w:t>
      </w:r>
      <w:r w:rsidR="003F41FC">
        <w:rPr>
          <w:rFonts w:cs="Times New Roman"/>
        </w:rPr>
        <w:t>ransportstrecke</w:t>
      </w:r>
      <w:r w:rsidR="00802166">
        <w:rPr>
          <w:rFonts w:cs="Times New Roman"/>
        </w:rPr>
        <w:t>,</w:t>
      </w:r>
      <w:r w:rsidR="003F41FC">
        <w:rPr>
          <w:rFonts w:cs="Times New Roman"/>
        </w:rPr>
        <w:t xml:space="preserve"> verwendet </w:t>
      </w:r>
      <w:proofErr w:type="gramStart"/>
      <w:r w:rsidR="003F41FC">
        <w:rPr>
          <w:rFonts w:cs="Times New Roman"/>
        </w:rPr>
        <w:t>werden</w:t>
      </w:r>
      <w:proofErr w:type="gramEnd"/>
      <w:r>
        <w:rPr>
          <w:rFonts w:cs="Times New Roman"/>
        </w:rPr>
        <w:t>.</w:t>
      </w:r>
      <w:r w:rsidR="00B37E12">
        <w:rPr>
          <w:rFonts w:cs="Times New Roman"/>
        </w:rPr>
        <w:t xml:space="preserve"> Eine für die Durchführung eines ELISA entwickelte Anordnung wurde von </w:t>
      </w:r>
      <w:proofErr w:type="spellStart"/>
      <w:r w:rsidR="00B37E12">
        <w:rPr>
          <w:rFonts w:cs="Times New Roman"/>
        </w:rPr>
        <w:t>Tsuruta</w:t>
      </w:r>
      <w:proofErr w:type="spellEnd"/>
      <w:r w:rsidR="00B37E12">
        <w:rPr>
          <w:rFonts w:cs="Times New Roman"/>
        </w:rPr>
        <w:t xml:space="preserve"> et al. (1995) vorgestellt. Die Proben befinden sich in diesem System in mehreren Reaktionsgefäßen, die in einer Halterung angebracht sind. Die Halterung wird dabei wie in </w:t>
      </w:r>
      <w:r w:rsidR="00B37E12">
        <w:rPr>
          <w:rFonts w:cs="Times New Roman"/>
        </w:rPr>
        <w:fldChar w:fldCharType="begin"/>
      </w:r>
      <w:r w:rsidR="00B37E12">
        <w:rPr>
          <w:rFonts w:cs="Times New Roman"/>
        </w:rPr>
        <w:instrText xml:space="preserve"> REF _Ref478296504 \h </w:instrText>
      </w:r>
      <w:r w:rsidR="00B37E12">
        <w:rPr>
          <w:rFonts w:cs="Times New Roman"/>
        </w:rPr>
      </w:r>
      <w:r w:rsidR="00B37E12">
        <w:rPr>
          <w:rFonts w:cs="Times New Roman"/>
        </w:rPr>
        <w:fldChar w:fldCharType="separate"/>
      </w:r>
      <w:r w:rsidR="00B17641">
        <w:t xml:space="preserve">Abbildung </w:t>
      </w:r>
      <w:r w:rsidR="00B17641">
        <w:rPr>
          <w:noProof/>
        </w:rPr>
        <w:t>14</w:t>
      </w:r>
      <w:r w:rsidR="00B37E12">
        <w:rPr>
          <w:rFonts w:cs="Times New Roman"/>
        </w:rPr>
        <w:fldChar w:fldCharType="end"/>
      </w:r>
      <w:r w:rsidR="00B37E12">
        <w:rPr>
          <w:rFonts w:cs="Times New Roman"/>
        </w:rPr>
        <w:t xml:space="preserve"> gezeigt schrittweise bewegt.</w:t>
      </w:r>
      <w:r w:rsidR="003D19F0">
        <w:rPr>
          <w:rFonts w:cs="Times New Roman"/>
        </w:rPr>
        <w:t xml:space="preserve"> Anstatt einer Pipettierstation mit einem oder mehreren dreidimensional beweglichen </w:t>
      </w:r>
      <w:proofErr w:type="spellStart"/>
      <w:r w:rsidR="003D19F0">
        <w:rPr>
          <w:rFonts w:cs="Times New Roman"/>
        </w:rPr>
        <w:t>Pipettierarmen</w:t>
      </w:r>
      <w:proofErr w:type="spellEnd"/>
      <w:r w:rsidR="003D19F0">
        <w:rPr>
          <w:rFonts w:cs="Times New Roman"/>
        </w:rPr>
        <w:t xml:space="preserve"> wurden in der Kolonne von </w:t>
      </w:r>
      <w:proofErr w:type="spellStart"/>
      <w:r w:rsidR="003D19F0">
        <w:rPr>
          <w:rFonts w:cs="Times New Roman"/>
        </w:rPr>
        <w:t>Tsuruta</w:t>
      </w:r>
      <w:proofErr w:type="spellEnd"/>
      <w:r w:rsidR="003D19F0">
        <w:rPr>
          <w:rFonts w:cs="Times New Roman"/>
        </w:rPr>
        <w:t xml:space="preserve"> et al. drei nur in der </w:t>
      </w:r>
      <w:proofErr w:type="spellStart"/>
      <w:r w:rsidR="003D19F0">
        <w:rPr>
          <w:rFonts w:cs="Times New Roman"/>
        </w:rPr>
        <w:t>xz</w:t>
      </w:r>
      <w:proofErr w:type="spellEnd"/>
      <w:r w:rsidR="003D19F0">
        <w:rPr>
          <w:rFonts w:cs="Times New Roman"/>
        </w:rPr>
        <w:t>-Ebene bewegliche Arme (Objekt 1-3) verwendet, die jeweils nur eine einzige Reihe der Reaktionsgefäße bearbeiten können und jeweils einen einzigen festgelegten Arbeitsschritt ausführen. Sind alle erreichbaren Reaktionsgefäße bearbeitet, wird die Halterung der Gefäße (Objekt 4) um eine Reihe verschoben. Die benötigten Reagenzien liegen in Überlaufgefäßen (Objekt 5-7) vor, die gleichzeitig als Abfluss dienen. Die Versorgung mit frischen Reagenzien erfolgt über ein Pumpensystem (Objekt 9-13) aus größeren Vor</w:t>
      </w:r>
      <w:r w:rsidR="00802166">
        <w:rPr>
          <w:rFonts w:cs="Times New Roman"/>
        </w:rPr>
        <w:t>r</w:t>
      </w:r>
      <w:r w:rsidR="003D19F0">
        <w:rPr>
          <w:rFonts w:cs="Times New Roman"/>
        </w:rPr>
        <w:t>atsgefäßen (Objekt 14-16). In Folge dieser Anordnung besteht kein Risiko von Kontaminationen</w:t>
      </w:r>
      <w:r w:rsidR="00A02EC5">
        <w:rPr>
          <w:rFonts w:cs="Times New Roman"/>
        </w:rPr>
        <w:t xml:space="preserve"> mit angehafteten Reage</w:t>
      </w:r>
      <w:r w:rsidR="00802166">
        <w:rPr>
          <w:rFonts w:cs="Times New Roman"/>
        </w:rPr>
        <w:t>n</w:t>
      </w:r>
      <w:r w:rsidR="00A02EC5">
        <w:rPr>
          <w:rFonts w:cs="Times New Roman"/>
        </w:rPr>
        <w:t>zien</w:t>
      </w:r>
      <w:r w:rsidR="003D19F0">
        <w:rPr>
          <w:rFonts w:cs="Times New Roman"/>
        </w:rPr>
        <w:t xml:space="preserve"> durch die </w:t>
      </w:r>
      <w:proofErr w:type="spellStart"/>
      <w:r w:rsidR="003D19F0">
        <w:rPr>
          <w:rFonts w:cs="Times New Roman"/>
        </w:rPr>
        <w:t>Pipettierarme</w:t>
      </w:r>
      <w:proofErr w:type="spellEnd"/>
      <w:r w:rsidR="003D19F0">
        <w:rPr>
          <w:rFonts w:cs="Times New Roman"/>
        </w:rPr>
        <w:t xml:space="preserve"> und es ist gleichzeitig kein </w:t>
      </w:r>
      <w:proofErr w:type="spellStart"/>
      <w:r w:rsidR="003D19F0">
        <w:rPr>
          <w:rFonts w:cs="Times New Roman"/>
        </w:rPr>
        <w:t>Spitzenwechel</w:t>
      </w:r>
      <w:proofErr w:type="spellEnd"/>
      <w:r w:rsidR="003D19F0">
        <w:rPr>
          <w:rFonts w:cs="Times New Roman"/>
        </w:rPr>
        <w:t xml:space="preserve"> und keine häufige Reinigung der Arme notwendig. </w:t>
      </w:r>
      <w:r w:rsidR="00A02EC5">
        <w:rPr>
          <w:rFonts w:cs="Times New Roman"/>
        </w:rPr>
        <w:t>Weiterhin können die Überflussgefäße vollautomatisch mit den Pumpen gespült werden und abgeflossene Reagenzien werden automatisch in einem Abflussgefäß aufgefangen (Objekt 18).</w:t>
      </w:r>
      <w:r w:rsidR="00E02308">
        <w:rPr>
          <w:rFonts w:cs="Times New Roman"/>
        </w:rPr>
        <w:t xml:space="preserve"> Die Kosten für ein solches System wären deutlich geringer als eine vergleichbare Anordnung unter Nutzung einer kommerziellen Pi</w:t>
      </w:r>
      <w:r w:rsidR="00FB2B3A">
        <w:rPr>
          <w:rFonts w:cs="Times New Roman"/>
        </w:rPr>
        <w:t>pettierstation.</w:t>
      </w:r>
      <w:r w:rsidR="00855A21">
        <w:rPr>
          <w:rFonts w:cs="Times New Roman"/>
        </w:rPr>
        <w:t xml:space="preserve"> Allerdings steigen die Kosten mit jedem benötigten Arbeitsschritt, da jeweils ein Überlaufgefäß, eine Pumpe und ein </w:t>
      </w:r>
      <w:proofErr w:type="spellStart"/>
      <w:r w:rsidR="00855A21">
        <w:rPr>
          <w:rFonts w:cs="Times New Roman"/>
        </w:rPr>
        <w:t>Pipettierarm</w:t>
      </w:r>
      <w:proofErr w:type="spellEnd"/>
      <w:r w:rsidR="00855A21">
        <w:rPr>
          <w:rFonts w:cs="Times New Roman"/>
        </w:rPr>
        <w:t xml:space="preserve"> benötigt werden, die Pipettierstation hingegen kann beliebig viele Arbeitsschritte ausführen.</w:t>
      </w:r>
      <w:r w:rsidR="00A02EC5">
        <w:rPr>
          <w:rFonts w:cs="Times New Roman"/>
        </w:rPr>
        <w:t xml:space="preserve"> Die </w:t>
      </w:r>
      <w:proofErr w:type="spellStart"/>
      <w:r w:rsidR="00A02EC5">
        <w:rPr>
          <w:rFonts w:cs="Times New Roman"/>
        </w:rPr>
        <w:t>Pipettierarme</w:t>
      </w:r>
      <w:proofErr w:type="spellEnd"/>
      <w:r w:rsidR="00A02EC5">
        <w:rPr>
          <w:rFonts w:cs="Times New Roman"/>
        </w:rPr>
        <w:t xml:space="preserve">, Pumpen und der pH-Detektor (Objekt 8) wurden mithilfe einer von </w:t>
      </w:r>
      <w:proofErr w:type="spellStart"/>
      <w:r w:rsidR="00A02EC5">
        <w:rPr>
          <w:rFonts w:cs="Times New Roman"/>
        </w:rPr>
        <w:t>Tsuruta</w:t>
      </w:r>
      <w:proofErr w:type="spellEnd"/>
      <w:r w:rsidR="00A02EC5">
        <w:rPr>
          <w:rFonts w:cs="Times New Roman"/>
        </w:rPr>
        <w:t xml:space="preserve"> et al. entwickelten Software</w:t>
      </w:r>
      <w:r w:rsidR="00A43747">
        <w:rPr>
          <w:rFonts w:cs="Times New Roman"/>
        </w:rPr>
        <w:t xml:space="preserve"> </w:t>
      </w:r>
      <w:r w:rsidR="00A02EC5">
        <w:rPr>
          <w:rFonts w:cs="Times New Roman"/>
        </w:rPr>
        <w:t>gesteuert.</w:t>
      </w:r>
      <w:r w:rsidR="00102F8A">
        <w:rPr>
          <w:rFonts w:cs="Times New Roman"/>
        </w:rPr>
        <w:t xml:space="preserve"> [TSURUTA, 1995; THERMO SCIENTIFIC, 2016]</w:t>
      </w:r>
    </w:p>
    <w:p w:rsidR="00B37E12" w:rsidRDefault="00B37E12" w:rsidP="00B37E12">
      <w:pPr>
        <w:keepNext/>
      </w:pPr>
      <w:r>
        <w:rPr>
          <w:noProof/>
          <w:lang w:eastAsia="de-DE"/>
        </w:rPr>
        <w:lastRenderedPageBreak/>
        <w:drawing>
          <wp:inline distT="0" distB="0" distL="0" distR="0" wp14:anchorId="6BE8C99D" wp14:editId="5C8B77B5">
            <wp:extent cx="3209925" cy="3631044"/>
            <wp:effectExtent l="0" t="0" r="0" b="7620"/>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3211109" cy="3632383"/>
                    </a:xfrm>
                    <a:prstGeom prst="rect">
                      <a:avLst/>
                    </a:prstGeom>
                  </pic:spPr>
                </pic:pic>
              </a:graphicData>
            </a:graphic>
          </wp:inline>
        </w:drawing>
      </w:r>
    </w:p>
    <w:p w:rsidR="00B37E12" w:rsidRDefault="00B37E12" w:rsidP="00B37E12">
      <w:pPr>
        <w:pStyle w:val="Beschriftung"/>
        <w:rPr>
          <w:noProof/>
        </w:rPr>
      </w:pPr>
      <w:bookmarkStart w:id="45" w:name="_Ref478296504"/>
      <w:bookmarkStart w:id="46" w:name="_Toc478923377"/>
      <w:r>
        <w:t xml:space="preserve">Abbildung </w:t>
      </w:r>
      <w:fldSimple w:instr=" SEQ Abbildung \* ARABIC ">
        <w:r w:rsidR="00B17641">
          <w:rPr>
            <w:noProof/>
          </w:rPr>
          <w:t>14</w:t>
        </w:r>
      </w:fldSimple>
      <w:bookmarkEnd w:id="45"/>
      <w:r>
        <w:t>: Schematische Darstellung einer</w:t>
      </w:r>
      <w:r>
        <w:rPr>
          <w:noProof/>
        </w:rPr>
        <w:t xml:space="preserve"> </w:t>
      </w:r>
      <w:r w:rsidR="00A43747">
        <w:rPr>
          <w:noProof/>
        </w:rPr>
        <w:t>dedizierten Gerätekol</w:t>
      </w:r>
      <w:r>
        <w:rPr>
          <w:noProof/>
        </w:rPr>
        <w:t>o</w:t>
      </w:r>
      <w:r w:rsidR="00A43747">
        <w:rPr>
          <w:noProof/>
        </w:rPr>
        <w:t>n</w:t>
      </w:r>
      <w:r>
        <w:rPr>
          <w:noProof/>
        </w:rPr>
        <w:t>ne für die vollaut</w:t>
      </w:r>
      <w:r w:rsidR="00A02EC5">
        <w:rPr>
          <w:noProof/>
        </w:rPr>
        <w:t>o</w:t>
      </w:r>
      <w:r>
        <w:rPr>
          <w:noProof/>
        </w:rPr>
        <w:t>matische Durchführung eines ELISA</w:t>
      </w:r>
      <w:r w:rsidR="00A02EC5">
        <w:rPr>
          <w:noProof/>
        </w:rPr>
        <w:t xml:space="preserve"> [TSURUTA, 1995]</w:t>
      </w:r>
      <w:bookmarkEnd w:id="46"/>
    </w:p>
    <w:p w:rsidR="00A02EC5" w:rsidRDefault="00A43747" w:rsidP="00A02EC5">
      <w:pPr>
        <w:rPr>
          <w:rFonts w:cs="Times New Roman"/>
        </w:rPr>
      </w:pPr>
      <w:r>
        <w:t xml:space="preserve">Eine wie von </w:t>
      </w:r>
      <w:proofErr w:type="spellStart"/>
      <w:r>
        <w:t>Tsuruta</w:t>
      </w:r>
      <w:proofErr w:type="spellEnd"/>
      <w:r>
        <w:t xml:space="preserve"> et al. verwendete Anordnung ist allerdings auf Module beschränkt, die einen </w:t>
      </w:r>
      <w:r w:rsidR="00802166">
        <w:t>mit den verwendeten Probengefäßen kompatibel sind</w:t>
      </w:r>
      <w:r>
        <w:t xml:space="preserve">. Eine Detektion von Fluoreszenz wäre in diesem System </w:t>
      </w:r>
      <w:r w:rsidR="00991FF7">
        <w:t xml:space="preserve">mit den meisten kommerziellen </w:t>
      </w:r>
      <w:proofErr w:type="spellStart"/>
      <w:r w:rsidR="00991FF7">
        <w:t>Benchtop-Fluorometern</w:t>
      </w:r>
      <w:proofErr w:type="spellEnd"/>
      <w:r w:rsidR="00991FF7">
        <w:t xml:space="preserve"> nicht möglich, da die Proben nicht in den Innenraum transportiert werden könnten. Die Verwendung eines tragbaren </w:t>
      </w:r>
      <w:proofErr w:type="spellStart"/>
      <w:r w:rsidR="00991FF7">
        <w:t>Fluorometers</w:t>
      </w:r>
      <w:proofErr w:type="spellEnd"/>
      <w:r w:rsidR="00991FF7">
        <w:t xml:space="preserve"> wie des </w:t>
      </w:r>
      <w:proofErr w:type="spellStart"/>
      <w:r w:rsidR="00991FF7">
        <w:t>Qubit</w:t>
      </w:r>
      <w:proofErr w:type="spellEnd"/>
      <w:r w:rsidR="00991FF7" w:rsidRPr="00A06D84">
        <w:rPr>
          <w:rFonts w:cs="Times New Roman"/>
          <w:vertAlign w:val="superscript"/>
        </w:rPr>
        <w:t>®</w:t>
      </w:r>
      <w:r w:rsidR="00991FF7">
        <w:rPr>
          <w:rFonts w:cs="Times New Roman"/>
        </w:rPr>
        <w:t xml:space="preserve"> 3.0 </w:t>
      </w:r>
      <w:proofErr w:type="spellStart"/>
      <w:r w:rsidR="00991FF7">
        <w:rPr>
          <w:rFonts w:cs="Times New Roman"/>
        </w:rPr>
        <w:t>Fluorometers</w:t>
      </w:r>
      <w:proofErr w:type="spellEnd"/>
      <w:r w:rsidR="00991FF7">
        <w:rPr>
          <w:rFonts w:cs="Times New Roman"/>
        </w:rPr>
        <w:t xml:space="preserve"> von </w:t>
      </w:r>
      <w:proofErr w:type="spellStart"/>
      <w:r w:rsidR="00991FF7">
        <w:rPr>
          <w:rFonts w:cs="Times New Roman"/>
        </w:rPr>
        <w:t>Thermo</w:t>
      </w:r>
      <w:proofErr w:type="spellEnd"/>
      <w:r w:rsidR="00991FF7">
        <w:rPr>
          <w:rFonts w:cs="Times New Roman"/>
        </w:rPr>
        <w:t xml:space="preserve"> Scientific </w:t>
      </w:r>
      <w:r w:rsidR="00E02308">
        <w:rPr>
          <w:rFonts w:cs="Times New Roman"/>
        </w:rPr>
        <w:t xml:space="preserve">wäre möglich, allerdings müssten im Vorfeld Versuche zur idealen Anbringung des </w:t>
      </w:r>
      <w:proofErr w:type="spellStart"/>
      <w:r w:rsidR="00E02308">
        <w:rPr>
          <w:rFonts w:cs="Times New Roman"/>
        </w:rPr>
        <w:t>Fluorometers</w:t>
      </w:r>
      <w:proofErr w:type="spellEnd"/>
      <w:r w:rsidR="00E02308">
        <w:rPr>
          <w:rFonts w:cs="Times New Roman"/>
        </w:rPr>
        <w:t xml:space="preserve"> durchgeführt werden und die Kompatibilität mit den verwendeten Probengefäßen untersucht werden.</w:t>
      </w:r>
      <w:r w:rsidR="00102F8A">
        <w:rPr>
          <w:rFonts w:cs="Times New Roman"/>
        </w:rPr>
        <w:t xml:space="preserve"> </w:t>
      </w:r>
      <w:r w:rsidR="00D31F8A">
        <w:rPr>
          <w:rFonts w:cs="Times New Roman"/>
        </w:rPr>
        <w:t xml:space="preserve">Weiterhin könnte der Inhalt der Probengefäße mittels einer weiteren Pumpe in ein </w:t>
      </w:r>
      <w:proofErr w:type="spellStart"/>
      <w:r w:rsidR="00D31F8A">
        <w:rPr>
          <w:rFonts w:cs="Times New Roman"/>
        </w:rPr>
        <w:t>Fluorometer</w:t>
      </w:r>
      <w:proofErr w:type="spellEnd"/>
      <w:r w:rsidR="00D31F8A">
        <w:rPr>
          <w:rFonts w:cs="Times New Roman"/>
        </w:rPr>
        <w:t xml:space="preserve"> mit Durchflussküvette, zum Beispiel dem </w:t>
      </w:r>
      <w:proofErr w:type="spellStart"/>
      <w:r w:rsidR="00D31F8A">
        <w:rPr>
          <w:rFonts w:cs="Times New Roman"/>
        </w:rPr>
        <w:t>Aqualog</w:t>
      </w:r>
      <w:proofErr w:type="spellEnd"/>
      <w:r w:rsidR="00D31F8A" w:rsidRPr="00BB7A1C">
        <w:rPr>
          <w:rFonts w:cs="Times New Roman"/>
          <w:vertAlign w:val="superscript"/>
        </w:rPr>
        <w:t>®</w:t>
      </w:r>
      <w:r w:rsidR="00D31F8A">
        <w:rPr>
          <w:rFonts w:cs="Times New Roman"/>
        </w:rPr>
        <w:t xml:space="preserve"> von </w:t>
      </w:r>
      <w:proofErr w:type="spellStart"/>
      <w:r w:rsidR="00D31F8A">
        <w:rPr>
          <w:rFonts w:cs="Times New Roman"/>
        </w:rPr>
        <w:t>Horiba</w:t>
      </w:r>
      <w:proofErr w:type="spellEnd"/>
      <w:r w:rsidR="00D31F8A">
        <w:rPr>
          <w:rFonts w:cs="Times New Roman"/>
        </w:rPr>
        <w:t xml:space="preserve"> Scientific, überführt werden. Bei der Verwendung einer solchen Küvette sind allerdings gründliche Reinigungsschritte zwischen den Messungen vonnöten, um einer Verfälschung der Messwerte vorzubeugen. </w:t>
      </w:r>
      <w:r w:rsidR="00102F8A">
        <w:rPr>
          <w:rFonts w:cs="Times New Roman"/>
        </w:rPr>
        <w:t xml:space="preserve">Die Entwicklung eines speziell für diese Verwendung angepassten </w:t>
      </w:r>
      <w:proofErr w:type="spellStart"/>
      <w:r w:rsidR="00102F8A">
        <w:rPr>
          <w:rFonts w:cs="Times New Roman"/>
        </w:rPr>
        <w:t>Fluorometers</w:t>
      </w:r>
      <w:proofErr w:type="spellEnd"/>
      <w:r w:rsidR="00102F8A">
        <w:rPr>
          <w:rFonts w:cs="Times New Roman"/>
        </w:rPr>
        <w:t xml:space="preserve">, wie von </w:t>
      </w:r>
      <w:proofErr w:type="spellStart"/>
      <w:r w:rsidR="00102F8A">
        <w:rPr>
          <w:rFonts w:cs="Times New Roman"/>
        </w:rPr>
        <w:t>Jolley</w:t>
      </w:r>
      <w:proofErr w:type="spellEnd"/>
      <w:r w:rsidR="00102F8A">
        <w:rPr>
          <w:rFonts w:cs="Times New Roman"/>
        </w:rPr>
        <w:t xml:space="preserve"> et al. (1981) beschrieben, würde den Rahmen dieser Arbeit sprengen und soll an dieser Stelle nur als Möglichkeit genannt werden.</w:t>
      </w:r>
      <w:r w:rsidR="00855A21">
        <w:rPr>
          <w:rFonts w:cs="Times New Roman"/>
        </w:rPr>
        <w:t xml:space="preserve"> [TSURUTA, 1995; THERMO SCIENTIFIC, 2016]</w:t>
      </w:r>
    </w:p>
    <w:p w:rsidR="00855A21" w:rsidRDefault="00855A21" w:rsidP="00A02EC5">
      <w:pPr>
        <w:rPr>
          <w:rFonts w:cs="Times New Roman"/>
        </w:rPr>
      </w:pPr>
      <w:r>
        <w:rPr>
          <w:rFonts w:cs="Times New Roman"/>
        </w:rPr>
        <w:t>Eine Anordnung für die Fluoreszenzdetektion im kontinuierlichen Strom</w:t>
      </w:r>
      <w:r w:rsidR="00702F9A">
        <w:rPr>
          <w:rFonts w:cs="Times New Roman"/>
        </w:rPr>
        <w:t xml:space="preserve">, ähnlich einem </w:t>
      </w:r>
      <w:proofErr w:type="spellStart"/>
      <w:r w:rsidR="00702F9A">
        <w:rPr>
          <w:rFonts w:cs="Times New Roman"/>
        </w:rPr>
        <w:t>Durchflusszytometer</w:t>
      </w:r>
      <w:proofErr w:type="spellEnd"/>
      <w:r w:rsidR="00702F9A">
        <w:rPr>
          <w:rFonts w:cs="Times New Roman"/>
        </w:rPr>
        <w:t>,</w:t>
      </w:r>
      <w:r>
        <w:rPr>
          <w:rFonts w:cs="Times New Roman"/>
        </w:rPr>
        <w:t xml:space="preserve"> hat </w:t>
      </w:r>
      <w:proofErr w:type="spellStart"/>
      <w:r>
        <w:rPr>
          <w:rFonts w:cs="Times New Roman"/>
        </w:rPr>
        <w:t>Siraganian</w:t>
      </w:r>
      <w:proofErr w:type="spellEnd"/>
      <w:r>
        <w:rPr>
          <w:rFonts w:cs="Times New Roman"/>
        </w:rPr>
        <w:t xml:space="preserve"> (1973) entwickelt. In dieser Anordnung wurde die Probe durch eine Dialyse gereinigt, mittels einer Flüssig-flüssig-Extraktion isoliert und anschließend mit einem</w:t>
      </w:r>
      <w:r w:rsidR="009A4C35">
        <w:rPr>
          <w:rFonts w:cs="Times New Roman"/>
        </w:rPr>
        <w:t xml:space="preserve"> Turner Modell 110 </w:t>
      </w:r>
      <w:proofErr w:type="spellStart"/>
      <w:r w:rsidR="009A4C35">
        <w:rPr>
          <w:rFonts w:cs="Times New Roman"/>
        </w:rPr>
        <w:t>Fluorometer</w:t>
      </w:r>
      <w:proofErr w:type="spellEnd"/>
      <w:r w:rsidR="009A4C35">
        <w:rPr>
          <w:rFonts w:cs="Times New Roman"/>
        </w:rPr>
        <w:t xml:space="preserve"> die Fluoreszenz-Aktivität quantifiziert. Dieses Messsystem eignet sich für die kontinuierliche Detektion von Fluorophoren in flüssigen Proben und ist aufgrund des Aufbaus ohne Roboterarme billiger als alle bisher beschriebenen Systeme. Alle Reaktionen werden durch die kontinuierliche Zugabe von Reagenzien in den Probenstrom realisiert. </w:t>
      </w:r>
      <w:r w:rsidR="00702F9A">
        <w:rPr>
          <w:rFonts w:cs="Times New Roman"/>
        </w:rPr>
        <w:t xml:space="preserve">Die Inkubation von Zellen in dem kontinuierlichen Probenstrom ist </w:t>
      </w:r>
      <w:r w:rsidR="00702F9A">
        <w:rPr>
          <w:rFonts w:cs="Times New Roman"/>
        </w:rPr>
        <w:lastRenderedPageBreak/>
        <w:t xml:space="preserve">allerdings problematisch, weshalb solche Systeme für biologische </w:t>
      </w:r>
      <w:proofErr w:type="spellStart"/>
      <w:r w:rsidR="00702F9A">
        <w:rPr>
          <w:rFonts w:cs="Times New Roman"/>
        </w:rPr>
        <w:t>Assays</w:t>
      </w:r>
      <w:proofErr w:type="spellEnd"/>
      <w:r w:rsidR="00702F9A">
        <w:rPr>
          <w:rFonts w:cs="Times New Roman"/>
        </w:rPr>
        <w:t xml:space="preserve"> wenig relevant sind.</w:t>
      </w:r>
      <w:r w:rsidR="009A4C35">
        <w:rPr>
          <w:rFonts w:cs="Times New Roman"/>
        </w:rPr>
        <w:t xml:space="preserve"> [SIRAGANIAN, 1973]</w:t>
      </w:r>
    </w:p>
    <w:p w:rsidR="005B1A75" w:rsidRDefault="00303F76" w:rsidP="00303F76">
      <w:pPr>
        <w:pStyle w:val="berschrift2"/>
      </w:pPr>
      <w:bookmarkStart w:id="47" w:name="_Toc478923361"/>
      <w:r w:rsidRPr="00303F76">
        <w:t>4.3</w:t>
      </w:r>
      <w:r>
        <w:t xml:space="preserve"> Praktische </w:t>
      </w:r>
      <w:r w:rsidR="00FC114B">
        <w:t>Anwendung</w:t>
      </w:r>
      <w:bookmarkEnd w:id="47"/>
    </w:p>
    <w:p w:rsidR="00303F76" w:rsidRDefault="00303F76" w:rsidP="00303F76">
      <w:r>
        <w:t>Es sollte eine mögliche praktische Umsetzung eines gekoppelten Systems aus automatisiertem Liquid Handling und Fluoreszenzdetektion entworfen werden.</w:t>
      </w:r>
      <w:r w:rsidR="000E6FFA">
        <w:t xml:space="preserve"> </w:t>
      </w:r>
      <w:r w:rsidR="00193AF9">
        <w:t xml:space="preserve">Mithilfe dieses Systems soll eine Mikrotiterplatte mit verschiedenen Reagenzien und einer Probe beladen, unter Schütteln </w:t>
      </w:r>
      <w:proofErr w:type="spellStart"/>
      <w:r w:rsidR="00193AF9">
        <w:t>inkubiert</w:t>
      </w:r>
      <w:proofErr w:type="spellEnd"/>
      <w:r w:rsidR="00193AF9">
        <w:t xml:space="preserve"> und anschließend auf Fluoreszenz untersucht werden</w:t>
      </w:r>
      <w:r w:rsidR="000E6FFA">
        <w:t xml:space="preserve"> </w:t>
      </w:r>
      <w:r w:rsidR="00193AF9">
        <w:t xml:space="preserve">können. </w:t>
      </w:r>
      <w:r w:rsidR="00301D0D">
        <w:t>Das System soll für einen geringen Probendurchsatz und diskontinuierlichen Betrieb ausgelegt sein. Mit dem System sollen einerseits Fehler durch manuelle Probenbehandlung vermieden werden und andererseits das Laborpersonal entlastet werden.</w:t>
      </w:r>
    </w:p>
    <w:p w:rsidR="000D084D" w:rsidRDefault="000D084D" w:rsidP="00303F76">
      <w:r>
        <w:t xml:space="preserve">Um eine große Variabilität in der späteren Prozessführung zu erreichen, sollte eine aktuelle Pipettierstation mit </w:t>
      </w:r>
      <w:r w:rsidR="00BE2D28">
        <w:t xml:space="preserve">möglichst vielen Optionen zur späteren Modifikation ausgewählt werden. Für diese Konzeption wurde die Freedom EVO 100 Pipettierstation von </w:t>
      </w:r>
      <w:proofErr w:type="spellStart"/>
      <w:r w:rsidR="00BE2D28">
        <w:t>Tecan</w:t>
      </w:r>
      <w:proofErr w:type="spellEnd"/>
      <w:r w:rsidR="00BE2D28">
        <w:t xml:space="preserve"> ausgewählt, da für dieses Gerät eine Vielzahl von kompatiblen Modulen erhältlich sind, die auch nachträglich eingebaut und über die Pipettierstation angesteuert werden können.</w:t>
      </w:r>
      <w:r w:rsidR="007D705D">
        <w:t xml:space="preserve"> </w:t>
      </w:r>
      <w:r w:rsidR="000E6FFA">
        <w:t xml:space="preserve">Weiterhin kann der installierte </w:t>
      </w:r>
      <w:proofErr w:type="spellStart"/>
      <w:r w:rsidR="000E6FFA">
        <w:t>Pipettierarm</w:t>
      </w:r>
      <w:proofErr w:type="spellEnd"/>
      <w:r w:rsidR="000E6FFA">
        <w:t xml:space="preserve"> modifiziert werden, um Einweg-Spitzen oder wiederverwendbare Spitzen zu nutzen. Da es sich bei den angestrebten Verfahren </w:t>
      </w:r>
      <w:r w:rsidR="00193AF9">
        <w:t xml:space="preserve">um einfache Abläufe mit geringem Probendurchsatz handelt, ist die Verwendung von mehrfach nutzbaren Spitzen anzuraten, um die Betriebskosten durch Spitzenverbrauch zu mindern. Bei der Verwendung dieser Spitzen ist auf die gründliche Reinigung der Spitzen bei jedem Wechsel </w:t>
      </w:r>
      <w:proofErr w:type="gramStart"/>
      <w:r w:rsidR="00193AF9">
        <w:t>der</w:t>
      </w:r>
      <w:proofErr w:type="gramEnd"/>
      <w:r w:rsidR="00193AF9">
        <w:t xml:space="preserve"> zu pipettierenden Reagenz zu achten. Bei Verfahren ab einem bestimmten Probendurchsatz wäre der Zeitverlust durch die Reinigungsschritte erheblich größer und damit nicht mehr wirtschaftlich.</w:t>
      </w:r>
      <w:r w:rsidR="000E6FFA">
        <w:t xml:space="preserve"> </w:t>
      </w:r>
      <w:r w:rsidR="007D705D">
        <w:t>[TECAN</w:t>
      </w:r>
      <w:r w:rsidR="005B4472">
        <w:t xml:space="preserve"> A</w:t>
      </w:r>
      <w:r w:rsidR="007D705D">
        <w:t>, 2016]</w:t>
      </w:r>
    </w:p>
    <w:p w:rsidR="00301D0D" w:rsidRDefault="007D705D" w:rsidP="00303F76">
      <w:r>
        <w:t xml:space="preserve">Als </w:t>
      </w:r>
      <w:proofErr w:type="spellStart"/>
      <w:r>
        <w:t>Fluorometer</w:t>
      </w:r>
      <w:proofErr w:type="spellEnd"/>
      <w:r>
        <w:t xml:space="preserve"> sollte ein </w:t>
      </w:r>
      <w:proofErr w:type="spellStart"/>
      <w:r>
        <w:t>Microplate</w:t>
      </w:r>
      <w:proofErr w:type="spellEnd"/>
      <w:r>
        <w:t xml:space="preserve"> Reader verwendet werden. Es wurde der </w:t>
      </w:r>
      <w:proofErr w:type="spellStart"/>
      <w:r w:rsidR="00DD5450">
        <w:t>EnSpire</w:t>
      </w:r>
      <w:proofErr w:type="spellEnd"/>
      <w:r w:rsidR="00DD5450">
        <w:t xml:space="preserve"> Multimode Plate Reader von </w:t>
      </w:r>
      <w:proofErr w:type="spellStart"/>
      <w:r w:rsidR="00DD5450">
        <w:t>PerkinElmer</w:t>
      </w:r>
      <w:proofErr w:type="spellEnd"/>
      <w:r w:rsidR="00DD5450">
        <w:t xml:space="preserve"> ausgewählt. Dieses Gerät besitzt einen integrierten Schüttler mit verschiedenen Schüttelmodi und kann mit einer Temperaturkontrolle für die Inkubation von Versuchsansätzen in </w:t>
      </w:r>
      <w:proofErr w:type="spellStart"/>
      <w:r w:rsidR="00DD5450">
        <w:t>Mikrotiterplatten</w:t>
      </w:r>
      <w:proofErr w:type="spellEnd"/>
      <w:r w:rsidR="00DD5450">
        <w:t xml:space="preserve"> ausgestattet werden. Weiterhin besitzt das Gerät einen integrierten Barcode-Scanner für die vereinfachte Verwaltung von </w:t>
      </w:r>
      <w:proofErr w:type="spellStart"/>
      <w:r w:rsidR="00DD5450">
        <w:t>Mikrotiterplatten</w:t>
      </w:r>
      <w:proofErr w:type="spellEnd"/>
      <w:r w:rsidR="00DD5450">
        <w:t xml:space="preserve"> und einen Quad-Monochromator für </w:t>
      </w:r>
      <w:r w:rsidR="004323E0">
        <w:t>die präzisere Isolation von Anregungs- und Emissionswellenlängen</w:t>
      </w:r>
      <w:r w:rsidR="00DD5450">
        <w:t>. [PERKINELMER, 2011]</w:t>
      </w:r>
    </w:p>
    <w:p w:rsidR="005B4472" w:rsidRDefault="000E6FFA" w:rsidP="00303F76">
      <w:r>
        <w:t xml:space="preserve">Das </w:t>
      </w:r>
      <w:proofErr w:type="spellStart"/>
      <w:r>
        <w:t>Fluorometer</w:t>
      </w:r>
      <w:proofErr w:type="spellEnd"/>
      <w:r>
        <w:t xml:space="preserve"> </w:t>
      </w:r>
      <w:r w:rsidR="00B163D0">
        <w:t>wird an dem äußeren Rand des Arbeitsbereiches platziert, die ausfahrbare Halterung in Richtung der Pipettierstation orientiert.</w:t>
      </w:r>
      <w:r>
        <w:t xml:space="preserve"> Die aktuell zu bearbeitende Mikrotiterplatte wird in der Halterung des </w:t>
      </w:r>
      <w:proofErr w:type="spellStart"/>
      <w:r>
        <w:t>Fluorometers</w:t>
      </w:r>
      <w:proofErr w:type="spellEnd"/>
      <w:r>
        <w:t xml:space="preserve"> platziert.</w:t>
      </w:r>
      <w:r w:rsidR="00B163D0">
        <w:t xml:space="preserve"> Eine ähnliche Anordnung mit einer Freedom EVO 75 Pipettierstation und einem </w:t>
      </w:r>
      <w:proofErr w:type="spellStart"/>
      <w:r w:rsidR="00B163D0">
        <w:t>Tecan</w:t>
      </w:r>
      <w:proofErr w:type="spellEnd"/>
      <w:r w:rsidR="00B163D0">
        <w:t xml:space="preserve"> Sunrise</w:t>
      </w:r>
      <w:r w:rsidR="005B4472">
        <w:t xml:space="preserve"> Plate Reader ist in </w:t>
      </w:r>
      <w:r w:rsidR="005B4472">
        <w:fldChar w:fldCharType="begin"/>
      </w:r>
      <w:r w:rsidR="005B4472">
        <w:instrText xml:space="preserve"> REF _Ref478911325 \h </w:instrText>
      </w:r>
      <w:r w:rsidR="005B4472">
        <w:fldChar w:fldCharType="separate"/>
      </w:r>
      <w:r w:rsidR="00B17641">
        <w:t xml:space="preserve">Abbildung </w:t>
      </w:r>
      <w:r w:rsidR="00B17641">
        <w:rPr>
          <w:noProof/>
        </w:rPr>
        <w:t>15</w:t>
      </w:r>
      <w:r w:rsidR="005B4472">
        <w:fldChar w:fldCharType="end"/>
      </w:r>
      <w:r w:rsidR="005B4472">
        <w:t xml:space="preserve"> gezeigt.</w:t>
      </w:r>
    </w:p>
    <w:p w:rsidR="005B4472" w:rsidRDefault="005B4472" w:rsidP="005B4472">
      <w:pPr>
        <w:keepNext/>
      </w:pPr>
      <w:r>
        <w:rPr>
          <w:noProof/>
          <w:lang w:eastAsia="de-DE"/>
        </w:rPr>
        <w:lastRenderedPageBreak/>
        <w:drawing>
          <wp:inline distT="0" distB="0" distL="0" distR="0" wp14:anchorId="6167654C" wp14:editId="56A61257">
            <wp:extent cx="3457575" cy="2076450"/>
            <wp:effectExtent l="0" t="0" r="9525"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457575" cy="2076450"/>
                    </a:xfrm>
                    <a:prstGeom prst="rect">
                      <a:avLst/>
                    </a:prstGeom>
                    <a:noFill/>
                    <a:ln>
                      <a:noFill/>
                    </a:ln>
                  </pic:spPr>
                </pic:pic>
              </a:graphicData>
            </a:graphic>
          </wp:inline>
        </w:drawing>
      </w:r>
    </w:p>
    <w:p w:rsidR="005B4472" w:rsidRDefault="005B4472" w:rsidP="005B4472">
      <w:pPr>
        <w:pStyle w:val="Beschriftung"/>
      </w:pPr>
      <w:bookmarkStart w:id="48" w:name="_Ref478911325"/>
      <w:bookmarkStart w:id="49" w:name="_Toc478923378"/>
      <w:r>
        <w:t xml:space="preserve">Abbildung </w:t>
      </w:r>
      <w:fldSimple w:instr=" SEQ Abbildung \* ARABIC ">
        <w:r w:rsidR="00B17641">
          <w:rPr>
            <w:noProof/>
          </w:rPr>
          <w:t>15</w:t>
        </w:r>
      </w:fldSimple>
      <w:bookmarkEnd w:id="48"/>
      <w:r>
        <w:t xml:space="preserve">: Kopplung einer Freedom EVO 75 Pipettierstation mit einem </w:t>
      </w:r>
      <w:proofErr w:type="spellStart"/>
      <w:r>
        <w:t>Tecan</w:t>
      </w:r>
      <w:proofErr w:type="spellEnd"/>
      <w:r>
        <w:t xml:space="preserve"> Sunrise Plate Reader (rechter Rand)</w:t>
      </w:r>
      <w:r w:rsidR="000375D3">
        <w:t xml:space="preserve"> [TECAN B, 2016</w:t>
      </w:r>
      <w:r>
        <w:t>]</w:t>
      </w:r>
      <w:bookmarkEnd w:id="49"/>
    </w:p>
    <w:p w:rsidR="004323E0" w:rsidRDefault="00B163D0" w:rsidP="00303F76">
      <w:r>
        <w:t>Auf der Arbeitsfläche müssen</w:t>
      </w:r>
      <w:r w:rsidR="005B4472">
        <w:t xml:space="preserve"> weiterhin</w:t>
      </w:r>
      <w:r>
        <w:t xml:space="preserve"> folgende Komponenten angeordnet werden:</w:t>
      </w:r>
    </w:p>
    <w:p w:rsidR="00B163D0" w:rsidRDefault="00B163D0" w:rsidP="00B163D0">
      <w:pPr>
        <w:pStyle w:val="Listenabsatz"/>
        <w:numPr>
          <w:ilvl w:val="0"/>
          <w:numId w:val="18"/>
        </w:numPr>
      </w:pPr>
      <w:r>
        <w:t>Vorratsgefäße für Reagenzien</w:t>
      </w:r>
    </w:p>
    <w:p w:rsidR="00B163D0" w:rsidRDefault="00B163D0" w:rsidP="00B163D0">
      <w:pPr>
        <w:pStyle w:val="Listenabsatz"/>
        <w:numPr>
          <w:ilvl w:val="0"/>
          <w:numId w:val="18"/>
        </w:numPr>
      </w:pPr>
      <w:r>
        <w:t>Eine Reinigungsstation entsprechend der genutzten Spitze</w:t>
      </w:r>
    </w:p>
    <w:p w:rsidR="00BB2843" w:rsidRDefault="00B163D0" w:rsidP="00BB2843">
      <w:pPr>
        <w:pStyle w:val="Listenabsatz"/>
        <w:numPr>
          <w:ilvl w:val="0"/>
          <w:numId w:val="18"/>
        </w:numPr>
      </w:pPr>
      <w:r>
        <w:t>Ein</w:t>
      </w:r>
      <w:r w:rsidR="00BB2843">
        <w:t>e Abfallstation</w:t>
      </w:r>
    </w:p>
    <w:p w:rsidR="00B163D0" w:rsidRDefault="005B4472" w:rsidP="00BB2843">
      <w:r>
        <w:t xml:space="preserve">Die verwendeten Reinigungsstationen sind von der Art der verwendeten Pipetten abhängig. </w:t>
      </w:r>
      <w:proofErr w:type="spellStart"/>
      <w:r>
        <w:t>Tecan</w:t>
      </w:r>
      <w:proofErr w:type="spellEnd"/>
      <w:r>
        <w:t xml:space="preserve"> bietet für die Roboterarme der Freedom EVO</w:t>
      </w:r>
      <w:r w:rsidRPr="00BB2843">
        <w:rPr>
          <w:rFonts w:cs="Times New Roman"/>
          <w:vertAlign w:val="superscript"/>
        </w:rPr>
        <w:t>®</w:t>
      </w:r>
      <w:r>
        <w:t>-Serie 1-, 2- und 8-Kanalpipetten an, die jeweils verschiedene Waschstationen benötigen. Für die Durchführung von Abläufen mit geringem Probendurchsatz in Doppelbestimmung ist die Verwendung einer 2-Kanalpipette am sinnvo</w:t>
      </w:r>
      <w:r w:rsidR="000375D3">
        <w:t>llsten. Die beiden Spitzen sind mit eigenen Pumpkolben ausgerüstet und können unabhängig voneinander genutzt werden. [TECAN B, 2016]</w:t>
      </w:r>
    </w:p>
    <w:p w:rsidR="000375D3" w:rsidRDefault="000375D3" w:rsidP="00B163D0">
      <w:r>
        <w:t xml:space="preserve">Alle Vorratsgefäße für Reagenzien müssen auf der Arbeitsfläche verankert werden, um eine in der Software definierte Position einzunehmen. Für einige typische Gefäße wie 2 ml Reaktionsgefäße oder Reagenzgläser bietet </w:t>
      </w:r>
      <w:proofErr w:type="spellStart"/>
      <w:r>
        <w:t>Tecan</w:t>
      </w:r>
      <w:proofErr w:type="spellEnd"/>
      <w:r>
        <w:t xml:space="preserve"> vorgefertigte Träger an, die auf der Arbeitsfläche aufgesteckt werden können. Werden individuelle Gefäße verwendet, können eigene Halterungen beispielsweise über 3D-Druck hergestellt und auf der Arbeitsfläche befestigt werden. Für Gefäße, die keine Halterung benötigen, beispielsweise Bechergläs</w:t>
      </w:r>
      <w:r w:rsidR="0043677F">
        <w:t xml:space="preserve">er oder Erlenmeyerkolben, können Bodenplatten mit Aussparungen für die Gefäße verwendet werden. Die Gefäße müssen fest eingebettet sein, da eine Positionsänderung während des Versuchs zu einem Schaden an der Spitze des </w:t>
      </w:r>
      <w:proofErr w:type="spellStart"/>
      <w:r w:rsidR="0043677F">
        <w:t>Pipettierarms</w:t>
      </w:r>
      <w:proofErr w:type="spellEnd"/>
      <w:r w:rsidR="0043677F">
        <w:t xml:space="preserve"> führen kann. Bei der Auswahl der Reagenzgefäße ist zu beachten, dass die Flüssigkeit sich genau vertikal unter der Öffnung befinden muss. Es dürfen also keine schräg gelagerten oder gebogenen Röhrchen verwendet werden. Weiterhin muss die Flüssigkeit in dem Gefäß eine bestimmte Füllhöhe aufweisen, da die Flüssigkeitsdetektion der Spitzen sonst gestört ist. Gefäße wie Petrischalen, mit einer großen Grundfläche und geringer Höhe, sind dementsprechend ungeeignet.</w:t>
      </w:r>
      <w:r w:rsidR="00BB2843">
        <w:t xml:space="preserve"> Ebenfalls für die meisten Spitzen ungeeignet sind Gefäße mit einer abgedichteten Öffnung, bei der die Spitze erst die Abdichtung durchdringen muss. Dieser Widerstand würde bei den meisten Geräten eine Fehlermeldung hervorrufen und die Ausführung des Versuchs beenden.</w:t>
      </w:r>
    </w:p>
    <w:p w:rsidR="00BB2843" w:rsidRDefault="00BB2843" w:rsidP="00B163D0">
      <w:r>
        <w:t xml:space="preserve">Die Software der meisten </w:t>
      </w:r>
      <w:proofErr w:type="spellStart"/>
      <w:r>
        <w:t>Pipettierstationen</w:t>
      </w:r>
      <w:proofErr w:type="spellEnd"/>
      <w:r>
        <w:t xml:space="preserve"> bietet die Möglichkeit der schrittweise verteilten Abgabe von aufgenommener Flüssigkeit. Dabei bleiben nach dem letzten Abgabeschritt Reste </w:t>
      </w:r>
      <w:r>
        <w:lastRenderedPageBreak/>
        <w:t xml:space="preserve">der pipettierten Flüssigkeit in der Spitze zurück, die anschließend in der Abfallstation abgegeben werden können. Die Abfallstation kann dabei entweder ein Gefäß wie die Vorratsgefäße für Reagenzien sein oder ein </w:t>
      </w:r>
      <w:r w:rsidR="003C0A84">
        <w:t xml:space="preserve">Trichter mit einem </w:t>
      </w:r>
      <w:r>
        <w:t>Schlauch, der die Abfälle in ein tiefer gelegtes Entsorgungsgefäß oder einen Abfluss leitet.</w:t>
      </w:r>
      <w:r w:rsidR="000D07DE">
        <w:t xml:space="preserve"> Bei der Verwendung von leicht flüchtigen Gasen und Gefahrstoffen ist von der Verwendung eines einfachen Becherglases als Abfallstation abzusehen, da die Pipettierstation über keinen Abzug verfügt und die austretenden Gase Menschen in der Umgebung schädigen könnten. Ebenso ist natürlich von der Einleitung der Gefahrstoffe in den Abfluss abzusehen, stattdessen müssen die Abfälle in einem abgedichteten Entsorgungsgefäß gesammelt werden.</w:t>
      </w:r>
    </w:p>
    <w:p w:rsidR="000D07DE" w:rsidRDefault="000D07DE" w:rsidP="00B163D0">
      <w:r>
        <w:t>Es sollten auf der Arbeitsfläche weiterhin ein großer Behälter für Wasser und mehrere leere Gefäße vorhanden sein, falls beispielsweise für Kalibrierkurven Verdünnungsreihen erstellt werden müssen. Die Anzahl, Größe und Position aller verwendeten Gefäße für Reagenzien und Verdünnungen sind von dem durchzuführenden Versuch abhängig und können zwischen den Versuchen jederzeit verändert werden</w:t>
      </w:r>
      <w:r w:rsidR="003F5E59">
        <w:t>. Änderungen der Position der Gefäße müssen in der Software der Pipettierstation gespeichert werden.</w:t>
      </w:r>
    </w:p>
    <w:p w:rsidR="003F5E59" w:rsidRDefault="001A333B" w:rsidP="00B163D0">
      <w:r>
        <w:t xml:space="preserve">Ebenfalls müssten bei der Verwendung von Einwegspitzen die Halterungen der Spitzen auf der Arbeitsplatte angebracht werden. Für Versuche, in denen mehrere </w:t>
      </w:r>
      <w:proofErr w:type="spellStart"/>
      <w:r>
        <w:t>Mikrotiterplatten</w:t>
      </w:r>
      <w:proofErr w:type="spellEnd"/>
      <w:r>
        <w:t xml:space="preserve"> parallel bearbeitet werden, können außerdem Halterungen für Mikrotiter- oder </w:t>
      </w:r>
      <w:proofErr w:type="spellStart"/>
      <w:r>
        <w:t>Deepwellplatten</w:t>
      </w:r>
      <w:proofErr w:type="spellEnd"/>
      <w:r>
        <w:t xml:space="preserve"> </w:t>
      </w:r>
      <w:r w:rsidR="003C0A84">
        <w:t>angebracht werden. [TECAN B, 2016]</w:t>
      </w:r>
    </w:p>
    <w:p w:rsidR="003C0A84" w:rsidRDefault="003C0A84" w:rsidP="00B163D0">
      <w:r>
        <w:t xml:space="preserve">Für die hier beschriebene Anwendung, die Bearbeitung einer einzigen 96-Well-Platte mit maximal 300 µl pro </w:t>
      </w:r>
      <w:proofErr w:type="spellStart"/>
      <w:r>
        <w:t>Well</w:t>
      </w:r>
      <w:proofErr w:type="spellEnd"/>
      <w:r>
        <w:t xml:space="preserve">, wären drei </w:t>
      </w:r>
      <w:proofErr w:type="spellStart"/>
      <w:r>
        <w:t>Reagenziengefäße</w:t>
      </w:r>
      <w:proofErr w:type="spellEnd"/>
      <w:r>
        <w:t xml:space="preserve"> mit jeweils 10 ml Flüssigkeit </w:t>
      </w:r>
      <w:r w:rsidR="00954EF2">
        <w:t>und einige Gefäße mit Probenflüssigkeit ausreichend</w:t>
      </w:r>
      <w:r>
        <w:t xml:space="preserve">. Für Versuche mit großem </w:t>
      </w:r>
      <w:proofErr w:type="spellStart"/>
      <w:r>
        <w:t>Reagenzienverbrauch</w:t>
      </w:r>
      <w:proofErr w:type="spellEnd"/>
      <w:r>
        <w:t xml:space="preserve"> bietet sich die Nutzung von </w:t>
      </w:r>
      <w:proofErr w:type="spellStart"/>
      <w:r>
        <w:t>aufkonzentrierten</w:t>
      </w:r>
      <w:proofErr w:type="spellEnd"/>
      <w:r>
        <w:t xml:space="preserve"> Reagenzien unter Herstellung einer Verdünnungsreihe an.</w:t>
      </w:r>
    </w:p>
    <w:p w:rsidR="003C0A84" w:rsidRDefault="00FC114B" w:rsidP="00B163D0">
      <w:r>
        <w:t>Die Pipettierstation</w:t>
      </w:r>
      <w:r w:rsidR="00954EF2">
        <w:t xml:space="preserve"> und das </w:t>
      </w:r>
      <w:proofErr w:type="spellStart"/>
      <w:r w:rsidR="00954EF2">
        <w:t>Fluorometer</w:t>
      </w:r>
      <w:proofErr w:type="spellEnd"/>
      <w:r w:rsidR="00954EF2">
        <w:t xml:space="preserve"> </w:t>
      </w:r>
      <w:r>
        <w:t>verfüg</w:t>
      </w:r>
      <w:r w:rsidR="00954EF2">
        <w:t>en</w:t>
      </w:r>
      <w:r>
        <w:t xml:space="preserve"> über einen Touchscreen, </w:t>
      </w:r>
      <w:r w:rsidR="00954EF2">
        <w:t xml:space="preserve">können aber auch über eine serielle Schnittstelle mit dem Computer gesteuert werden. Für eine einfache Abfolge aus Pipettieren, </w:t>
      </w:r>
      <w:proofErr w:type="spellStart"/>
      <w:r w:rsidR="00954EF2">
        <w:t>Inkubieren</w:t>
      </w:r>
      <w:proofErr w:type="spellEnd"/>
      <w:r w:rsidR="00954EF2">
        <w:t xml:space="preserve"> und Auslesen einer einzelnen Platte bietet es sich an, das Liquid Handling der Pipettierstation getrennt von der Steuerung des </w:t>
      </w:r>
      <w:proofErr w:type="spellStart"/>
      <w:r w:rsidR="00954EF2">
        <w:t>Fluorometers</w:t>
      </w:r>
      <w:proofErr w:type="spellEnd"/>
      <w:r w:rsidR="00954EF2">
        <w:t xml:space="preserve"> als Skript zu schreiben. Experimentell müsste dann die für das Liquid Handling benötigte Zeit ermittelt werden. Die Steuerung des </w:t>
      </w:r>
      <w:proofErr w:type="spellStart"/>
      <w:r w:rsidR="00954EF2">
        <w:t>Fluorometers</w:t>
      </w:r>
      <w:proofErr w:type="spellEnd"/>
      <w:r w:rsidR="00954EF2">
        <w:t xml:space="preserve">, also die Inkubation der Platte und das anschließende Auslesen der Fluoreszenzaktivität, könnten als zeitgesteuerte Aufgabe, nach Ende des Liquid Handlings, in der mitgelieferten Software ausgeführt werden. </w:t>
      </w:r>
      <w:r w:rsidR="00EA15AB">
        <w:t xml:space="preserve">Dabei sollte immer ein Zeitpuffer einberechnet werden, da die Dauer der </w:t>
      </w:r>
      <w:proofErr w:type="spellStart"/>
      <w:r w:rsidR="00EA15AB">
        <w:t>Pipettiervorgänge</w:t>
      </w:r>
      <w:proofErr w:type="spellEnd"/>
      <w:r w:rsidR="00EA15AB">
        <w:t xml:space="preserve"> beispielsweise durch Änderungen von Füllständen oder durch Probleme bei der </w:t>
      </w:r>
      <w:proofErr w:type="spellStart"/>
      <w:r w:rsidR="00EA15AB">
        <w:t>Füllstandsdetektion</w:t>
      </w:r>
      <w:proofErr w:type="spellEnd"/>
      <w:r w:rsidR="00EA15AB">
        <w:t xml:space="preserve"> schwanken kann.</w:t>
      </w:r>
    </w:p>
    <w:p w:rsidR="00EA15AB" w:rsidRDefault="00EA15AB" w:rsidP="00B163D0">
      <w:r>
        <w:t xml:space="preserve">Für komplexere Abläufe sollten alle Arbeitsschritte der Pipettierstation und des </w:t>
      </w:r>
      <w:proofErr w:type="spellStart"/>
      <w:r>
        <w:t>Fluorometers</w:t>
      </w:r>
      <w:proofErr w:type="spellEnd"/>
      <w:r w:rsidR="00792BC3">
        <w:t xml:space="preserve"> in einer kombinierten Software, auf Grundlage der mitgelieferten Programmbibliotheken, zusammengefasst werden, um das Timing beider Geräte abzustimmen.</w:t>
      </w:r>
    </w:p>
    <w:p w:rsidR="00792BC3" w:rsidRDefault="00792BC3" w:rsidP="00B163D0">
      <w:r>
        <w:lastRenderedPageBreak/>
        <w:t xml:space="preserve">Für längere Versuche mit mehr Proben, als in einer einzigen Platte vermessen werden können, kann der </w:t>
      </w:r>
      <w:proofErr w:type="spellStart"/>
      <w:r>
        <w:t>EnSpire</w:t>
      </w:r>
      <w:proofErr w:type="spellEnd"/>
      <w:r>
        <w:t xml:space="preserve"> Plate Reader mit einem 20- oder 50-Platten-Stacker aufgerüstet werden. [PERKINELMER, 2011]</w:t>
      </w:r>
    </w:p>
    <w:p w:rsidR="00792BC3" w:rsidRDefault="00792BC3" w:rsidP="00B163D0">
      <w:r>
        <w:t xml:space="preserve">Ein Vorteil dieses einfachen Konzeptes ohne Transport von </w:t>
      </w:r>
      <w:proofErr w:type="spellStart"/>
      <w:r>
        <w:t>Mikrotiterplatten</w:t>
      </w:r>
      <w:proofErr w:type="spellEnd"/>
      <w:r>
        <w:t xml:space="preserve"> ist der vereinfachte Auf- und Abbau des Versuchsstandes. So können alle Bestandteile des Versuchsaufbaues einfach entfernt werden, sobald der Versuch abgeschlossen ist und die Pipettierstation für andere Versuche benötigt wird. Andererseits belegt der Plate Reader mit eingefahrener Plattenhalterung nicht die Arbeitsfläche und muss dementsprechend nicht zwangsläufig entfernt werden. Alle Gefäße </w:t>
      </w:r>
      <w:r w:rsidR="00230634">
        <w:t>und Halterungen sind lediglich mit Steckverbindungen befestigt</w:t>
      </w:r>
      <w:r>
        <w:t xml:space="preserve"> und können jederzeit entfernt werden, falls der Platz auf der Arbeitsfläche benötigt wird.</w:t>
      </w:r>
      <w:r w:rsidR="00230634">
        <w:t xml:space="preserve"> Somit eignet sich dieser Aufbau besser für den diskontinuierlichen Betrieb als ein starrer, fest verbauter Zusammenschluss aus Pipettierstation, </w:t>
      </w:r>
      <w:proofErr w:type="spellStart"/>
      <w:r w:rsidR="00230634">
        <w:t>Fluorometer</w:t>
      </w:r>
      <w:proofErr w:type="spellEnd"/>
      <w:r w:rsidR="00230634">
        <w:t>, Gefäßen und eventuellen Transportmechanismen für das Handling von Platten.</w:t>
      </w:r>
    </w:p>
    <w:p w:rsidR="00E55AD9" w:rsidRPr="00303F76" w:rsidRDefault="00230634" w:rsidP="00B163D0">
      <w:r>
        <w:t xml:space="preserve">Für Versuche, in denen der Transport von </w:t>
      </w:r>
      <w:proofErr w:type="spellStart"/>
      <w:r>
        <w:t>Mikrotiterplatten</w:t>
      </w:r>
      <w:proofErr w:type="spellEnd"/>
      <w:r>
        <w:t xml:space="preserve"> nötig ist, bietet der Freedom EVO 100 die Möglichkeit, einen zweiten Roboterarm zum Handling von Laborequipment zu installieren. Durch die Nutzung dieses Roboterarms wäre die Durchführung komplexerer Versuche möglich, da mehrere Platten parallel mit der Pipettierstation bearbeitet und anschließend nacheinander ausgelesen werden könnten. Allerdings würde dadurch auch die Komplexität der benötigten Steuerungssoftware steigen, da die zeitliche Abstimmung des Liquid Handlings und der Fluoreszenzdetektion beachtet werden muss. Die Steuerung dieses Arms ist in der Pipettierstation integriert. [TECAN B, 2016]</w:t>
      </w:r>
    </w:p>
    <w:p w:rsidR="00ED06F8" w:rsidRDefault="00041229">
      <w:pPr>
        <w:sectPr w:rsidR="00ED06F8" w:rsidSect="00D5377B">
          <w:headerReference w:type="default" r:id="rId33"/>
          <w:pgSz w:w="11906" w:h="16838"/>
          <w:pgMar w:top="1417" w:right="1417" w:bottom="1134" w:left="1417" w:header="708" w:footer="708" w:gutter="0"/>
          <w:cols w:space="708"/>
          <w:docGrid w:linePitch="360"/>
        </w:sectPr>
      </w:pPr>
      <w:r>
        <w:br w:type="page"/>
      </w:r>
    </w:p>
    <w:p w:rsidR="000978BC" w:rsidRDefault="001A0978" w:rsidP="000978BC">
      <w:pPr>
        <w:pStyle w:val="berschrift1"/>
      </w:pPr>
      <w:bookmarkStart w:id="50" w:name="_Toc478923362"/>
      <w:r>
        <w:lastRenderedPageBreak/>
        <w:t>5</w:t>
      </w:r>
      <w:r w:rsidR="000978BC">
        <w:t xml:space="preserve"> Zusammenfassung</w:t>
      </w:r>
      <w:bookmarkEnd w:id="50"/>
    </w:p>
    <w:p w:rsidR="00A72BD9" w:rsidRDefault="00704DE1" w:rsidP="001A0978">
      <w:r>
        <w:t xml:space="preserve">Ziel dieser Arbeit war die Recherche und Entwicklung von Kopplungstechniken zwischen </w:t>
      </w:r>
      <w:r w:rsidR="00494098">
        <w:t xml:space="preserve">Fluoreszenzdetektionssystemen und Systemen zum Liquid Handling zur automatischen Detektion von fluoreszierenden Biomolekülen. </w:t>
      </w:r>
      <w:r w:rsidR="00A72BD9">
        <w:t>Insbesondere sollte dabei auf Möglichkeiten der Vollautomatisierung eingegangen und mögliche Probleme bei der Umsetzung beschrieben werden.</w:t>
      </w:r>
    </w:p>
    <w:p w:rsidR="00A72BD9" w:rsidRDefault="00A72BD9" w:rsidP="001A0978">
      <w:r>
        <w:t xml:space="preserve">Im Rahmen dieser Arbeit wurden aktuelle Systeme zur Fluoreszenzdetektion recherchiert und vergleichend dargestellt. Es wurde unterteilt in </w:t>
      </w:r>
      <w:proofErr w:type="spellStart"/>
      <w:r>
        <w:t>Fluorometer</w:t>
      </w:r>
      <w:proofErr w:type="spellEnd"/>
      <w:r>
        <w:t xml:space="preserve"> und </w:t>
      </w:r>
      <w:proofErr w:type="spellStart"/>
      <w:r>
        <w:t>Durchflusszytometer</w:t>
      </w:r>
      <w:proofErr w:type="spellEnd"/>
      <w:r>
        <w:t xml:space="preserve">, wobei die </w:t>
      </w:r>
      <w:proofErr w:type="spellStart"/>
      <w:r>
        <w:t>Fluorometer</w:t>
      </w:r>
      <w:proofErr w:type="spellEnd"/>
      <w:r>
        <w:t xml:space="preserve"> wi</w:t>
      </w:r>
      <w:r w:rsidR="003B58DA">
        <w:t xml:space="preserve">ederum in mobile und </w:t>
      </w:r>
      <w:proofErr w:type="spellStart"/>
      <w:r w:rsidR="003B58DA">
        <w:t>Benchtop-Fluorometer</w:t>
      </w:r>
      <w:proofErr w:type="spellEnd"/>
      <w:r w:rsidR="003B58DA">
        <w:t xml:space="preserve"> </w:t>
      </w:r>
      <w:r w:rsidR="008D05CB">
        <w:t>sowie in</w:t>
      </w:r>
      <w:r w:rsidR="003B58DA">
        <w:t xml:space="preserve"> </w:t>
      </w:r>
      <w:proofErr w:type="spellStart"/>
      <w:r w:rsidR="003B58DA">
        <w:t>Fluorometer</w:t>
      </w:r>
      <w:proofErr w:type="spellEnd"/>
      <w:r w:rsidR="003B58DA">
        <w:t xml:space="preserve"> und Multimode-Reader unterteilt wurden.</w:t>
      </w:r>
    </w:p>
    <w:p w:rsidR="003B58DA" w:rsidRDefault="003B58DA" w:rsidP="001A0978">
      <w:r>
        <w:t xml:space="preserve">Die </w:t>
      </w:r>
      <w:r w:rsidR="0062623E">
        <w:t xml:space="preserve">vorgestellten </w:t>
      </w:r>
      <w:r>
        <w:t xml:space="preserve">kommerziellen Systeme aus </w:t>
      </w:r>
      <w:proofErr w:type="spellStart"/>
      <w:r>
        <w:t>Fluorometer</w:t>
      </w:r>
      <w:proofErr w:type="spellEnd"/>
      <w:r>
        <w:t xml:space="preserve"> und Liquid Handling System integrieren einen </w:t>
      </w:r>
      <w:proofErr w:type="spellStart"/>
      <w:r>
        <w:t>Benchtop</w:t>
      </w:r>
      <w:proofErr w:type="spellEnd"/>
      <w:r>
        <w:t xml:space="preserve"> </w:t>
      </w:r>
      <w:proofErr w:type="spellStart"/>
      <w:r>
        <w:t>Fluorometer</w:t>
      </w:r>
      <w:proofErr w:type="spellEnd"/>
      <w:r>
        <w:t xml:space="preserve"> in einer</w:t>
      </w:r>
      <w:r w:rsidR="0062623E">
        <w:t xml:space="preserve"> kompatiblen</w:t>
      </w:r>
      <w:r>
        <w:t xml:space="preserve"> Pipettierstation</w:t>
      </w:r>
      <w:r w:rsidR="0062623E">
        <w:t xml:space="preserve"> des gleichen Herstellers</w:t>
      </w:r>
      <w:r>
        <w:t xml:space="preserve">, entweder durch Installation des Messgerätes direkt im Arbeitsbereich der Station oder durch ein Transportsystem für die Probengefäße in das </w:t>
      </w:r>
      <w:proofErr w:type="spellStart"/>
      <w:r>
        <w:t>Fluorometer</w:t>
      </w:r>
      <w:proofErr w:type="spellEnd"/>
      <w:r>
        <w:t xml:space="preserve">. </w:t>
      </w:r>
      <w:r w:rsidR="00E55AD9">
        <w:t>Ein</w:t>
      </w:r>
      <w:r>
        <w:t xml:space="preserve"> Vorteil der kommerziellen Systeme ist die in die Software der Pipettierstation integrierte Steuerung des </w:t>
      </w:r>
      <w:proofErr w:type="spellStart"/>
      <w:r>
        <w:t>Fluorometers</w:t>
      </w:r>
      <w:proofErr w:type="spellEnd"/>
      <w:r w:rsidR="00523899">
        <w:t>, die eine Kommunikation der Geräte garantiert und die Programm</w:t>
      </w:r>
      <w:r w:rsidR="00E55AD9">
        <w:t>ierung von Abläufen vereinfacht</w:t>
      </w:r>
      <w:r w:rsidR="00690CD4">
        <w:t>. Dementsprechend kann auf die Programmierung einer eigenen Software verzichtet werden.</w:t>
      </w:r>
    </w:p>
    <w:p w:rsidR="0062623E" w:rsidRDefault="0062623E" w:rsidP="001A0978">
      <w:r>
        <w:t xml:space="preserve">Nach dem von den kommerziellen Systemen genutzten Modell können unter Umständen auch </w:t>
      </w:r>
      <w:proofErr w:type="spellStart"/>
      <w:r>
        <w:t>Fluorometer</w:t>
      </w:r>
      <w:proofErr w:type="spellEnd"/>
      <w:r>
        <w:t xml:space="preserve"> und </w:t>
      </w:r>
      <w:proofErr w:type="spellStart"/>
      <w:r>
        <w:t>Pipettierstationen</w:t>
      </w:r>
      <w:proofErr w:type="spellEnd"/>
      <w:r>
        <w:t xml:space="preserve"> unterschiedlicher Hersteller verbunden werden, allerdings ist die Steuerung dieses gekoppelten Systems </w:t>
      </w:r>
      <w:r w:rsidR="00690CD4">
        <w:t>mithilfe der mitgelieferten Software</w:t>
      </w:r>
      <w:r>
        <w:t xml:space="preserve"> </w:t>
      </w:r>
      <w:r w:rsidR="00690CD4">
        <w:t xml:space="preserve">nicht </w:t>
      </w:r>
      <w:r>
        <w:t xml:space="preserve">möglich. Um das System vollautomatisch betreiben zu können, muss eine geeignete Software geschrieben werden, </w:t>
      </w:r>
      <w:r w:rsidR="00D55B67">
        <w:t xml:space="preserve">mithilfe derer alle Komponenten des gekoppelten Systems angesteuert werden können. </w:t>
      </w:r>
    </w:p>
    <w:p w:rsidR="00D55B67" w:rsidRDefault="00D55B67" w:rsidP="001A0978">
      <w:r>
        <w:t xml:space="preserve">Für </w:t>
      </w:r>
      <w:r w:rsidR="00690CD4">
        <w:t xml:space="preserve">statische, nicht mehr zu verändernde </w:t>
      </w:r>
      <w:r>
        <w:t xml:space="preserve">Prozesse mit geringer Variabilität in der Durchführung können feste Gerätekolonnen entworfen werden, bei denen die Proben in geeigneten Gefäßen eine definierte Strecke zurücklegen und dabei von spezialisierten, an der Laufstrecke festgelegten </w:t>
      </w:r>
      <w:r w:rsidR="008D05CB">
        <w:t xml:space="preserve">Liquid Handling Systemen für die Messung vorbereitet werden. Bei diesen </w:t>
      </w:r>
      <w:r w:rsidR="00690CD4">
        <w:t xml:space="preserve">Prozessketten werden mehrere spezialisierte Roboterarme anstelle einer Pipettierstation verwendet, </w:t>
      </w:r>
      <w:r w:rsidR="008D05CB">
        <w:t>wodurch gerade bei einfachen Prozessen mit wenigen Arbeitsschritten</w:t>
      </w:r>
      <w:r w:rsidR="00690CD4">
        <w:t>, und demzufolge</w:t>
      </w:r>
      <w:r w:rsidR="008D05CB">
        <w:t xml:space="preserve"> </w:t>
      </w:r>
      <w:r w:rsidR="00690CD4">
        <w:t xml:space="preserve">wenigen benötigten Roboterarmen, </w:t>
      </w:r>
      <w:r w:rsidR="008D05CB">
        <w:t>große finanzielle Einsparungen erreicht werden können. Mit diesem Aufbau kann der Probendurchsatz deutlich erhöht werden, allerdings können diese Kolonnen nur mit großem Aufwand an Änderungen im Prozess angepasst werden.</w:t>
      </w:r>
    </w:p>
    <w:p w:rsidR="00787D8E" w:rsidRDefault="008D05CB" w:rsidP="00A83523">
      <w:pPr>
        <w:sectPr w:rsidR="00787D8E" w:rsidSect="00D5377B">
          <w:headerReference w:type="default" r:id="rId34"/>
          <w:pgSz w:w="11906" w:h="16838"/>
          <w:pgMar w:top="1417" w:right="1417" w:bottom="1134" w:left="1417" w:header="708" w:footer="708" w:gutter="0"/>
          <w:cols w:space="708"/>
          <w:docGrid w:linePitch="360"/>
        </w:sectPr>
      </w:pPr>
      <w:r>
        <w:t xml:space="preserve">Weiterhin besteht, wie von </w:t>
      </w:r>
      <w:proofErr w:type="spellStart"/>
      <w:r>
        <w:t>Siraganian</w:t>
      </w:r>
      <w:proofErr w:type="spellEnd"/>
      <w:r>
        <w:t xml:space="preserve"> </w:t>
      </w:r>
      <w:proofErr w:type="gramStart"/>
      <w:r>
        <w:t>beschrieben</w:t>
      </w:r>
      <w:proofErr w:type="gramEnd"/>
      <w:r>
        <w:t xml:space="preserve">, die Möglichkeit, Fluoreszenz in einem kontinuierlichen Probenstrom zu messen. Dieses System realisiert das Liquid Handling durch die kontinuierliche Zugabe von Reagenzien in den Probenstrom und die Fluoreszenzdetektion durch ein </w:t>
      </w:r>
      <w:proofErr w:type="spellStart"/>
      <w:r>
        <w:t>Fluorometer</w:t>
      </w:r>
      <w:proofErr w:type="spellEnd"/>
      <w:r>
        <w:t xml:space="preserve"> mit Durchflusszelle. Aufgrund von Schwierigkeiten bei der Inkubation </w:t>
      </w:r>
      <w:r w:rsidR="00753985">
        <w:lastRenderedPageBreak/>
        <w:t xml:space="preserve">von Zellen </w:t>
      </w:r>
      <w:r>
        <w:t xml:space="preserve">innerhalb des Probenstroms </w:t>
      </w:r>
      <w:r w:rsidR="00753985">
        <w:t xml:space="preserve">ist das System </w:t>
      </w:r>
      <w:r>
        <w:t xml:space="preserve">für biologische </w:t>
      </w:r>
      <w:proofErr w:type="spellStart"/>
      <w:r>
        <w:t>Assays</w:t>
      </w:r>
      <w:proofErr w:type="spellEnd"/>
      <w:r w:rsidR="00753985">
        <w:t xml:space="preserve"> allerdings</w:t>
      </w:r>
      <w:r>
        <w:t xml:space="preserve"> meist ungeeignet.</w:t>
      </w:r>
      <w:r w:rsidR="00A83523">
        <w:br w:type="page"/>
      </w:r>
    </w:p>
    <w:p w:rsidR="00CF5FAA" w:rsidRDefault="00A83523" w:rsidP="00A83523">
      <w:pPr>
        <w:pStyle w:val="berschrift1"/>
      </w:pPr>
      <w:bookmarkStart w:id="51" w:name="_Toc478923363"/>
      <w:r>
        <w:lastRenderedPageBreak/>
        <w:t>Literaturverzeichnis</w:t>
      </w:r>
      <w:bookmarkEnd w:id="51"/>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4"/>
        <w:gridCol w:w="8754"/>
      </w:tblGrid>
      <w:tr w:rsidR="00E55AD9" w:rsidRPr="00AD761C" w:rsidTr="00FA4C20">
        <w:trPr>
          <w:cantSplit/>
        </w:trPr>
        <w:tc>
          <w:tcPr>
            <w:tcW w:w="534" w:type="dxa"/>
          </w:tcPr>
          <w:p w:rsidR="00E55AD9" w:rsidRDefault="00E55AD9" w:rsidP="0006131C">
            <w:pPr>
              <w:jc w:val="left"/>
            </w:pPr>
            <w:r>
              <w:t>1</w:t>
            </w:r>
          </w:p>
        </w:tc>
        <w:tc>
          <w:tcPr>
            <w:tcW w:w="8754" w:type="dxa"/>
          </w:tcPr>
          <w:p w:rsidR="00E55AD9" w:rsidRDefault="00E55AD9" w:rsidP="004C505A">
            <w:pPr>
              <w:rPr>
                <w:lang w:val="en-US"/>
              </w:rPr>
            </w:pPr>
            <w:r>
              <w:rPr>
                <w:lang w:val="en-US"/>
              </w:rPr>
              <w:t>ANDREW ALLIANCE (2016</w:t>
            </w:r>
            <w:r w:rsidRPr="005028E2">
              <w:rPr>
                <w:lang w:val="en-US"/>
              </w:rPr>
              <w:t xml:space="preserve">): Better Pipetting, In: </w:t>
            </w:r>
          </w:p>
          <w:p w:rsidR="00E55AD9" w:rsidRDefault="00E55AD9" w:rsidP="004C505A">
            <w:r w:rsidRPr="001B221C">
              <w:t xml:space="preserve">http://www.andrewalliance.com/wp-content/uploads/2016/09/brochure_3V_A4_2016_web.pdf </w:t>
            </w:r>
          </w:p>
          <w:p w:rsidR="00E55AD9" w:rsidRDefault="00E55AD9" w:rsidP="001B221C">
            <w:r>
              <w:t>15.05.2016</w:t>
            </w:r>
          </w:p>
        </w:tc>
      </w:tr>
      <w:tr w:rsidR="00E55AD9" w:rsidRPr="00AD761C" w:rsidTr="00FA4C20">
        <w:trPr>
          <w:cantSplit/>
        </w:trPr>
        <w:tc>
          <w:tcPr>
            <w:tcW w:w="534" w:type="dxa"/>
          </w:tcPr>
          <w:p w:rsidR="00E55AD9" w:rsidRDefault="00E55AD9" w:rsidP="0006131C">
            <w:pPr>
              <w:jc w:val="left"/>
            </w:pPr>
            <w:r>
              <w:t>2</w:t>
            </w:r>
          </w:p>
        </w:tc>
        <w:tc>
          <w:tcPr>
            <w:tcW w:w="8754" w:type="dxa"/>
          </w:tcPr>
          <w:p w:rsidR="00E55AD9" w:rsidRPr="005028E2" w:rsidRDefault="00E55AD9" w:rsidP="0018524E">
            <w:pPr>
              <w:rPr>
                <w:lang w:val="en-US"/>
              </w:rPr>
            </w:pPr>
            <w:r w:rsidRPr="005028E2">
              <w:rPr>
                <w:lang w:val="en-US"/>
              </w:rPr>
              <w:t xml:space="preserve">BECKMAN (2017): </w:t>
            </w:r>
            <w:proofErr w:type="spellStart"/>
            <w:r w:rsidRPr="005028E2">
              <w:rPr>
                <w:lang w:val="en-US"/>
              </w:rPr>
              <w:t>CytoFLEX</w:t>
            </w:r>
            <w:proofErr w:type="spellEnd"/>
            <w:r w:rsidRPr="005028E2">
              <w:rPr>
                <w:lang w:val="en-US"/>
              </w:rPr>
              <w:t xml:space="preserve"> (B-R-V), In:</w:t>
            </w:r>
          </w:p>
          <w:p w:rsidR="00E55AD9" w:rsidRPr="005028E2" w:rsidRDefault="00E55AD9" w:rsidP="0018524E">
            <w:pPr>
              <w:rPr>
                <w:lang w:val="en-US"/>
              </w:rPr>
            </w:pPr>
            <w:r w:rsidRPr="0049656A">
              <w:rPr>
                <w:lang w:val="en-US"/>
              </w:rPr>
              <w:t>http://www.beckman.de/coulter-flow-cytometry/instruments/flow-cytometers/platform/cytoflex</w:t>
            </w:r>
          </w:p>
          <w:p w:rsidR="00E55AD9" w:rsidRDefault="00E55AD9" w:rsidP="0018524E">
            <w:r>
              <w:t>21.03.2017 14:09</w:t>
            </w:r>
          </w:p>
        </w:tc>
      </w:tr>
      <w:tr w:rsidR="00E55AD9" w:rsidRPr="00AD761C" w:rsidTr="00FA4C20">
        <w:trPr>
          <w:cantSplit/>
        </w:trPr>
        <w:tc>
          <w:tcPr>
            <w:tcW w:w="534" w:type="dxa"/>
          </w:tcPr>
          <w:p w:rsidR="00E55AD9" w:rsidRDefault="00E55AD9" w:rsidP="0006131C">
            <w:pPr>
              <w:jc w:val="left"/>
            </w:pPr>
            <w:r>
              <w:t>3</w:t>
            </w:r>
          </w:p>
        </w:tc>
        <w:tc>
          <w:tcPr>
            <w:tcW w:w="8754" w:type="dxa"/>
          </w:tcPr>
          <w:p w:rsidR="00E55AD9" w:rsidRDefault="00E55AD9" w:rsidP="0018524E">
            <w:r>
              <w:t xml:space="preserve">BIORAD (2017): ZE5 </w:t>
            </w:r>
            <w:proofErr w:type="spellStart"/>
            <w:r>
              <w:t>Cell</w:t>
            </w:r>
            <w:proofErr w:type="spellEnd"/>
            <w:r>
              <w:t xml:space="preserve"> </w:t>
            </w:r>
            <w:proofErr w:type="spellStart"/>
            <w:r>
              <w:t>Analyser</w:t>
            </w:r>
            <w:proofErr w:type="spellEnd"/>
            <w:r>
              <w:t>, In:</w:t>
            </w:r>
          </w:p>
          <w:p w:rsidR="00E55AD9" w:rsidRDefault="00E55AD9" w:rsidP="0018524E">
            <w:r w:rsidRPr="0049656A">
              <w:t>http://www.bio-rad.com/en-fr/product/ze5-cell-analyzer</w:t>
            </w:r>
          </w:p>
          <w:p w:rsidR="00E55AD9" w:rsidRDefault="00E55AD9" w:rsidP="0018524E">
            <w:r>
              <w:t>21.03.2017</w:t>
            </w:r>
          </w:p>
        </w:tc>
      </w:tr>
      <w:tr w:rsidR="00E55AD9" w:rsidRPr="00AD761C" w:rsidTr="00FA4C20">
        <w:trPr>
          <w:cantSplit/>
        </w:trPr>
        <w:tc>
          <w:tcPr>
            <w:tcW w:w="534" w:type="dxa"/>
          </w:tcPr>
          <w:p w:rsidR="00E55AD9" w:rsidRDefault="00E55AD9" w:rsidP="0006131C">
            <w:pPr>
              <w:jc w:val="left"/>
            </w:pPr>
            <w:r>
              <w:t>4</w:t>
            </w:r>
          </w:p>
        </w:tc>
        <w:tc>
          <w:tcPr>
            <w:tcW w:w="8754" w:type="dxa"/>
          </w:tcPr>
          <w:p w:rsidR="00E55AD9" w:rsidRDefault="00E55AD9" w:rsidP="004C505A">
            <w:r>
              <w:t xml:space="preserve">FOLDER, S. (2014): Flow </w:t>
            </w:r>
            <w:proofErr w:type="spellStart"/>
            <w:r>
              <w:t>cytometrie</w:t>
            </w:r>
            <w:proofErr w:type="spellEnd"/>
            <w:r>
              <w:t>, In:</w:t>
            </w:r>
          </w:p>
          <w:p w:rsidR="00E55AD9" w:rsidRDefault="00E55AD9" w:rsidP="004C505A">
            <w:r w:rsidRPr="0049656A">
              <w:t>https://www.ucl.ac.uk/wibr/scientific-support/flow-cytometry1</w:t>
            </w:r>
          </w:p>
          <w:p w:rsidR="00E55AD9" w:rsidRDefault="00E55AD9" w:rsidP="004C505A">
            <w:r>
              <w:t>14.03.2017 13:25</w:t>
            </w:r>
          </w:p>
        </w:tc>
      </w:tr>
      <w:tr w:rsidR="00E55AD9" w:rsidRPr="00AD761C" w:rsidTr="00FA4C20">
        <w:trPr>
          <w:cantSplit/>
        </w:trPr>
        <w:tc>
          <w:tcPr>
            <w:tcW w:w="534" w:type="dxa"/>
          </w:tcPr>
          <w:p w:rsidR="00E55AD9" w:rsidRDefault="00E55AD9" w:rsidP="0006131C">
            <w:pPr>
              <w:jc w:val="left"/>
            </w:pPr>
            <w:r>
              <w:t>5</w:t>
            </w:r>
          </w:p>
        </w:tc>
        <w:tc>
          <w:tcPr>
            <w:tcW w:w="8754" w:type="dxa"/>
          </w:tcPr>
          <w:p w:rsidR="00E55AD9" w:rsidRPr="003E5304" w:rsidRDefault="00E55AD9" w:rsidP="004D413D">
            <w:pPr>
              <w:jc w:val="left"/>
              <w:rPr>
                <w:lang w:val="en-US"/>
              </w:rPr>
            </w:pPr>
            <w:r>
              <w:t>GEY</w:t>
            </w:r>
            <w:r w:rsidRPr="00542F2C">
              <w:t xml:space="preserve">, M.: </w:t>
            </w:r>
            <w:r>
              <w:t>Instrumentelle Analytik und Bioanalytik</w:t>
            </w:r>
            <w:r w:rsidRPr="00542F2C">
              <w:t xml:space="preserve">, </w:t>
            </w:r>
            <w:r>
              <w:t>Springer Verlag</w:t>
            </w:r>
            <w:r w:rsidRPr="00542F2C">
              <w:t xml:space="preserve">, </w:t>
            </w:r>
            <w:r>
              <w:t>Berlin, 3</w:t>
            </w:r>
            <w:r w:rsidRPr="00542F2C">
              <w:t>. Auflage, 2014</w:t>
            </w:r>
          </w:p>
        </w:tc>
      </w:tr>
      <w:tr w:rsidR="00E55AD9" w:rsidRPr="00AD761C" w:rsidTr="00FA4C20">
        <w:trPr>
          <w:cantSplit/>
        </w:trPr>
        <w:tc>
          <w:tcPr>
            <w:tcW w:w="534" w:type="dxa"/>
          </w:tcPr>
          <w:p w:rsidR="00E55AD9" w:rsidRDefault="00E55AD9" w:rsidP="0006131C">
            <w:pPr>
              <w:jc w:val="left"/>
            </w:pPr>
            <w:r>
              <w:t>6</w:t>
            </w:r>
          </w:p>
        </w:tc>
        <w:tc>
          <w:tcPr>
            <w:tcW w:w="8754" w:type="dxa"/>
          </w:tcPr>
          <w:p w:rsidR="00E55AD9" w:rsidRDefault="00E55AD9" w:rsidP="004C505A">
            <w:r>
              <w:t xml:space="preserve">HOLSCHBACH, M. (2013): </w:t>
            </w:r>
            <w:proofErr w:type="spellStart"/>
            <w:r>
              <w:t>Durchflusszytometrie</w:t>
            </w:r>
            <w:proofErr w:type="spellEnd"/>
            <w:r>
              <w:t>, Messprinzip und Aufbau. In:</w:t>
            </w:r>
          </w:p>
          <w:p w:rsidR="00E55AD9" w:rsidRDefault="00E55AD9" w:rsidP="004C505A">
            <w:r w:rsidRPr="0049656A">
              <w:t>http://www.antikoerper-online.de/resources/17/1247/durchflusszytometrie-facs-messprinzip-aufbau/</w:t>
            </w:r>
          </w:p>
          <w:p w:rsidR="00E55AD9" w:rsidRDefault="00E55AD9" w:rsidP="004C505A">
            <w:r>
              <w:t>14.03.2017 13:30</w:t>
            </w:r>
          </w:p>
        </w:tc>
      </w:tr>
      <w:tr w:rsidR="00E55AD9" w:rsidRPr="00AD761C" w:rsidTr="00FA4C20">
        <w:trPr>
          <w:cantSplit/>
        </w:trPr>
        <w:tc>
          <w:tcPr>
            <w:tcW w:w="534" w:type="dxa"/>
          </w:tcPr>
          <w:p w:rsidR="00E55AD9" w:rsidRDefault="00E55AD9" w:rsidP="0006131C">
            <w:pPr>
              <w:jc w:val="left"/>
            </w:pPr>
            <w:r>
              <w:t>7</w:t>
            </w:r>
          </w:p>
        </w:tc>
        <w:tc>
          <w:tcPr>
            <w:tcW w:w="8754" w:type="dxa"/>
          </w:tcPr>
          <w:p w:rsidR="00E55AD9" w:rsidRPr="005028E2" w:rsidRDefault="00E55AD9" w:rsidP="0018524E">
            <w:pPr>
              <w:rPr>
                <w:lang w:val="en-US"/>
              </w:rPr>
            </w:pPr>
            <w:r w:rsidRPr="005028E2">
              <w:rPr>
                <w:lang w:val="en-US"/>
              </w:rPr>
              <w:t xml:space="preserve">HORIBA SCIENTIFIC (2013): </w:t>
            </w:r>
            <w:proofErr w:type="spellStart"/>
            <w:r w:rsidRPr="005028E2">
              <w:rPr>
                <w:lang w:val="en-US"/>
              </w:rPr>
              <w:t>Aqualog</w:t>
            </w:r>
            <w:proofErr w:type="spellEnd"/>
            <w:r w:rsidRPr="005028E2">
              <w:rPr>
                <w:lang w:val="en-US"/>
              </w:rPr>
              <w:t>, In:</w:t>
            </w:r>
          </w:p>
          <w:p w:rsidR="00E55AD9" w:rsidRPr="005028E2" w:rsidRDefault="00E55AD9" w:rsidP="0018524E">
            <w:pPr>
              <w:rPr>
                <w:lang w:val="en-US"/>
              </w:rPr>
            </w:pPr>
            <w:r w:rsidRPr="0049656A">
              <w:rPr>
                <w:lang w:val="en-US"/>
              </w:rPr>
              <w:t>http://www.horiba.com/fileadmin/uploads/Scientific/Documents/Fluorescence/Aqualog-Nov13.pdf</w:t>
            </w:r>
          </w:p>
          <w:p w:rsidR="00E55AD9" w:rsidRDefault="00E55AD9" w:rsidP="0018524E">
            <w:r>
              <w:t>20.03.2017</w:t>
            </w:r>
          </w:p>
        </w:tc>
      </w:tr>
      <w:tr w:rsidR="00E55AD9" w:rsidRPr="002B2F60" w:rsidTr="00FA4C20">
        <w:trPr>
          <w:cantSplit/>
        </w:trPr>
        <w:tc>
          <w:tcPr>
            <w:tcW w:w="534" w:type="dxa"/>
          </w:tcPr>
          <w:p w:rsidR="00E55AD9" w:rsidRDefault="00E55AD9" w:rsidP="0006131C">
            <w:pPr>
              <w:jc w:val="left"/>
            </w:pPr>
            <w:r>
              <w:t>8</w:t>
            </w:r>
          </w:p>
        </w:tc>
        <w:tc>
          <w:tcPr>
            <w:tcW w:w="8754" w:type="dxa"/>
          </w:tcPr>
          <w:p w:rsidR="00E55AD9" w:rsidRPr="005028E2" w:rsidRDefault="00E55AD9" w:rsidP="0018524E">
            <w:pPr>
              <w:rPr>
                <w:lang w:val="en-US"/>
              </w:rPr>
            </w:pPr>
            <w:r w:rsidRPr="005028E2">
              <w:rPr>
                <w:lang w:val="en-US"/>
              </w:rPr>
              <w:t xml:space="preserve">HUANG, D. et al. (2002): High-Throughput Assay of Oxygen Radical Absorbance Capacity (ORAC) Using a Multichannel Liquid Handling System Coupled with a </w:t>
            </w:r>
            <w:proofErr w:type="spellStart"/>
            <w:r w:rsidRPr="005028E2">
              <w:rPr>
                <w:lang w:val="en-US"/>
              </w:rPr>
              <w:t>Microplate</w:t>
            </w:r>
            <w:proofErr w:type="spellEnd"/>
            <w:r w:rsidRPr="005028E2">
              <w:rPr>
                <w:lang w:val="en-US"/>
              </w:rPr>
              <w:t xml:space="preserve"> Fluorescence Reader in 96-Well Format, In:</w:t>
            </w:r>
          </w:p>
          <w:p w:rsidR="00E55AD9" w:rsidRPr="005028E2" w:rsidRDefault="00E55AD9" w:rsidP="00B03A0A">
            <w:pPr>
              <w:rPr>
                <w:lang w:val="en-US"/>
              </w:rPr>
            </w:pPr>
            <w:r w:rsidRPr="005028E2">
              <w:rPr>
                <w:lang w:val="en-US"/>
              </w:rPr>
              <w:t>Journal Of Agricultural And Food Chemistry, Vol. 50, 2002</w:t>
            </w:r>
          </w:p>
        </w:tc>
      </w:tr>
      <w:tr w:rsidR="00E55AD9" w:rsidRPr="00AD761C" w:rsidTr="00FA4C20">
        <w:trPr>
          <w:cantSplit/>
        </w:trPr>
        <w:tc>
          <w:tcPr>
            <w:tcW w:w="534" w:type="dxa"/>
          </w:tcPr>
          <w:p w:rsidR="00E55AD9" w:rsidRDefault="00E55AD9" w:rsidP="007E28FA">
            <w:r>
              <w:t>9</w:t>
            </w:r>
          </w:p>
        </w:tc>
        <w:tc>
          <w:tcPr>
            <w:tcW w:w="8754" w:type="dxa"/>
          </w:tcPr>
          <w:p w:rsidR="00E55AD9" w:rsidRPr="005028E2" w:rsidRDefault="00E55AD9" w:rsidP="00F772E7">
            <w:pPr>
              <w:rPr>
                <w:lang w:val="en-US"/>
              </w:rPr>
            </w:pPr>
            <w:r w:rsidRPr="005028E2">
              <w:rPr>
                <w:lang w:val="en-US"/>
              </w:rPr>
              <w:t xml:space="preserve">HUDSON ROBOTICS A (2017): </w:t>
            </w:r>
            <w:proofErr w:type="spellStart"/>
            <w:r w:rsidRPr="005028E2">
              <w:rPr>
                <w:lang w:val="en-US"/>
              </w:rPr>
              <w:t>PlateCrane</w:t>
            </w:r>
            <w:proofErr w:type="spellEnd"/>
            <w:r w:rsidRPr="005028E2">
              <w:rPr>
                <w:lang w:val="en-US"/>
              </w:rPr>
              <w:t xml:space="preserve"> EX </w:t>
            </w:r>
            <w:proofErr w:type="spellStart"/>
            <w:r w:rsidRPr="005028E2">
              <w:rPr>
                <w:lang w:val="en-US"/>
              </w:rPr>
              <w:t>Microplate</w:t>
            </w:r>
            <w:proofErr w:type="spellEnd"/>
            <w:r w:rsidRPr="005028E2">
              <w:rPr>
                <w:lang w:val="en-US"/>
              </w:rPr>
              <w:t xml:space="preserve"> Handler, In:</w:t>
            </w:r>
          </w:p>
          <w:p w:rsidR="00E55AD9" w:rsidRPr="005028E2" w:rsidRDefault="00E55AD9" w:rsidP="00F772E7">
            <w:pPr>
              <w:rPr>
                <w:lang w:val="en-US"/>
              </w:rPr>
            </w:pPr>
            <w:r w:rsidRPr="0049656A">
              <w:rPr>
                <w:lang w:val="en-US"/>
              </w:rPr>
              <w:t>http://hudsonrobotics.com/products/microplate-handling/platecrane-ex/</w:t>
            </w:r>
          </w:p>
          <w:p w:rsidR="00E55AD9" w:rsidRDefault="00E55AD9" w:rsidP="00F772E7">
            <w:r>
              <w:t>24.03.2017 17:00</w:t>
            </w:r>
          </w:p>
        </w:tc>
      </w:tr>
      <w:tr w:rsidR="00E55AD9" w:rsidRPr="00AD761C" w:rsidTr="00FA4C20">
        <w:trPr>
          <w:cantSplit/>
        </w:trPr>
        <w:tc>
          <w:tcPr>
            <w:tcW w:w="534" w:type="dxa"/>
          </w:tcPr>
          <w:p w:rsidR="00E55AD9" w:rsidRDefault="00E55AD9" w:rsidP="0006131C">
            <w:pPr>
              <w:jc w:val="left"/>
            </w:pPr>
            <w:r>
              <w:t>10</w:t>
            </w:r>
          </w:p>
        </w:tc>
        <w:tc>
          <w:tcPr>
            <w:tcW w:w="8754" w:type="dxa"/>
          </w:tcPr>
          <w:p w:rsidR="00E55AD9" w:rsidRPr="005028E2" w:rsidRDefault="00E55AD9" w:rsidP="0097198A">
            <w:pPr>
              <w:rPr>
                <w:lang w:val="en-US"/>
              </w:rPr>
            </w:pPr>
            <w:r w:rsidRPr="005028E2">
              <w:rPr>
                <w:lang w:val="en-US"/>
              </w:rPr>
              <w:t xml:space="preserve">HUDSON ROBOTICS B (2017): </w:t>
            </w:r>
            <w:proofErr w:type="spellStart"/>
            <w:r w:rsidRPr="005028E2">
              <w:rPr>
                <w:lang w:val="en-US"/>
              </w:rPr>
              <w:t>LabLinx</w:t>
            </w:r>
            <w:proofErr w:type="spellEnd"/>
            <w:r w:rsidRPr="005028E2">
              <w:rPr>
                <w:lang w:val="en-US"/>
              </w:rPr>
              <w:t xml:space="preserve"> </w:t>
            </w:r>
            <w:proofErr w:type="spellStart"/>
            <w:r w:rsidRPr="005028E2">
              <w:rPr>
                <w:lang w:val="en-US"/>
              </w:rPr>
              <w:t>Microplate</w:t>
            </w:r>
            <w:proofErr w:type="spellEnd"/>
            <w:r w:rsidRPr="005028E2">
              <w:rPr>
                <w:lang w:val="en-US"/>
              </w:rPr>
              <w:t xml:space="preserve"> Delivery System, In:</w:t>
            </w:r>
          </w:p>
          <w:p w:rsidR="00E55AD9" w:rsidRPr="005028E2" w:rsidRDefault="00E55AD9" w:rsidP="0097198A">
            <w:pPr>
              <w:rPr>
                <w:lang w:val="en-US"/>
              </w:rPr>
            </w:pPr>
            <w:r w:rsidRPr="0049656A">
              <w:rPr>
                <w:lang w:val="en-US"/>
              </w:rPr>
              <w:t>http://hudsonrobotics.com/products/microplate-handling/lablinx/</w:t>
            </w:r>
          </w:p>
          <w:p w:rsidR="00E55AD9" w:rsidRDefault="00E55AD9" w:rsidP="0097198A">
            <w:r>
              <w:t>24.03.2017 17:05</w:t>
            </w:r>
          </w:p>
        </w:tc>
      </w:tr>
      <w:tr w:rsidR="00E55AD9" w:rsidRPr="002B2F60" w:rsidTr="00FA4C20">
        <w:trPr>
          <w:cantSplit/>
        </w:trPr>
        <w:tc>
          <w:tcPr>
            <w:tcW w:w="534" w:type="dxa"/>
          </w:tcPr>
          <w:p w:rsidR="00E55AD9" w:rsidRDefault="00E55AD9" w:rsidP="0006131C">
            <w:pPr>
              <w:jc w:val="left"/>
            </w:pPr>
            <w:r>
              <w:t>11</w:t>
            </w:r>
          </w:p>
        </w:tc>
        <w:tc>
          <w:tcPr>
            <w:tcW w:w="8754" w:type="dxa"/>
          </w:tcPr>
          <w:p w:rsidR="00E55AD9" w:rsidRPr="005028E2" w:rsidRDefault="00E55AD9" w:rsidP="0097198A">
            <w:pPr>
              <w:rPr>
                <w:lang w:val="en-US"/>
              </w:rPr>
            </w:pPr>
            <w:r w:rsidRPr="005028E2">
              <w:rPr>
                <w:lang w:val="en-US"/>
              </w:rPr>
              <w:t>JOLLEY, M. et al. (1981): Fluorescence polarization immunoassay. III An Automated System For Therapeutic Drug Determination, In:</w:t>
            </w:r>
          </w:p>
          <w:p w:rsidR="00E55AD9" w:rsidRPr="005028E2" w:rsidRDefault="00E55AD9" w:rsidP="0097198A">
            <w:pPr>
              <w:rPr>
                <w:lang w:val="en-US"/>
              </w:rPr>
            </w:pPr>
            <w:r w:rsidRPr="005028E2">
              <w:rPr>
                <w:lang w:val="en-US"/>
              </w:rPr>
              <w:t xml:space="preserve">Clinical Chemistry, Vol. 27 </w:t>
            </w:r>
            <w:proofErr w:type="spellStart"/>
            <w:r w:rsidRPr="005028E2">
              <w:rPr>
                <w:lang w:val="en-US"/>
              </w:rPr>
              <w:t>Iss</w:t>
            </w:r>
            <w:proofErr w:type="spellEnd"/>
            <w:r w:rsidRPr="005028E2">
              <w:rPr>
                <w:lang w:val="en-US"/>
              </w:rPr>
              <w:t>. 9, 1981</w:t>
            </w:r>
          </w:p>
        </w:tc>
      </w:tr>
      <w:tr w:rsidR="00E55AD9" w:rsidRPr="00AD761C" w:rsidTr="00FA4C20">
        <w:trPr>
          <w:cantSplit/>
        </w:trPr>
        <w:tc>
          <w:tcPr>
            <w:tcW w:w="534" w:type="dxa"/>
          </w:tcPr>
          <w:p w:rsidR="00E55AD9" w:rsidRDefault="00E55AD9" w:rsidP="0006131C">
            <w:pPr>
              <w:jc w:val="left"/>
            </w:pPr>
            <w:r>
              <w:t>12</w:t>
            </w:r>
          </w:p>
        </w:tc>
        <w:tc>
          <w:tcPr>
            <w:tcW w:w="8754" w:type="dxa"/>
          </w:tcPr>
          <w:p w:rsidR="00E55AD9" w:rsidRDefault="00E55AD9" w:rsidP="00F6664A">
            <w:pPr>
              <w:jc w:val="left"/>
            </w:pPr>
            <w:r w:rsidRPr="005028E2">
              <w:rPr>
                <w:lang w:val="en-US"/>
              </w:rPr>
              <w:t xml:space="preserve">KECK BIOPHYSICS RESOURCE (2017): Fluorescence Plate Reader. </w:t>
            </w:r>
            <w:r>
              <w:t xml:space="preserve">In: </w:t>
            </w:r>
            <w:r w:rsidRPr="0049656A">
              <w:t>http://keck.med.yale.edu/biophysics/technologies/platereader/platereader.aspx</w:t>
            </w:r>
          </w:p>
          <w:p w:rsidR="00E55AD9" w:rsidRDefault="00E55AD9" w:rsidP="00F6664A">
            <w:pPr>
              <w:jc w:val="left"/>
            </w:pPr>
            <w:r>
              <w:t>13.03.2017 18:30</w:t>
            </w:r>
          </w:p>
        </w:tc>
      </w:tr>
      <w:tr w:rsidR="00E55AD9" w:rsidRPr="00526096" w:rsidTr="00FA4C20">
        <w:trPr>
          <w:cantSplit/>
        </w:trPr>
        <w:tc>
          <w:tcPr>
            <w:tcW w:w="534" w:type="dxa"/>
          </w:tcPr>
          <w:p w:rsidR="00E55AD9" w:rsidRDefault="00E55AD9" w:rsidP="0006131C">
            <w:pPr>
              <w:jc w:val="left"/>
            </w:pPr>
            <w:r>
              <w:t>13</w:t>
            </w:r>
          </w:p>
        </w:tc>
        <w:tc>
          <w:tcPr>
            <w:tcW w:w="8754" w:type="dxa"/>
          </w:tcPr>
          <w:p w:rsidR="00E55AD9" w:rsidRDefault="00E55AD9" w:rsidP="0018524E">
            <w:pPr>
              <w:rPr>
                <w:lang w:val="en-US"/>
              </w:rPr>
            </w:pPr>
            <w:r>
              <w:rPr>
                <w:lang w:val="en-US"/>
              </w:rPr>
              <w:t xml:space="preserve">KNOWLTON, M. (1984): Flow-Through </w:t>
            </w:r>
            <w:proofErr w:type="spellStart"/>
            <w:r>
              <w:rPr>
                <w:lang w:val="en-US"/>
              </w:rPr>
              <w:t>Microcuvette</w:t>
            </w:r>
            <w:proofErr w:type="spellEnd"/>
            <w:r>
              <w:rPr>
                <w:lang w:val="en-US"/>
              </w:rPr>
              <w:t xml:space="preserve"> for </w:t>
            </w:r>
            <w:proofErr w:type="spellStart"/>
            <w:r>
              <w:rPr>
                <w:lang w:val="en-US"/>
              </w:rPr>
              <w:t>fluorometric</w:t>
            </w:r>
            <w:proofErr w:type="spellEnd"/>
            <w:r>
              <w:rPr>
                <w:lang w:val="en-US"/>
              </w:rPr>
              <w:t xml:space="preserve"> determination of Chlorophyll, In:</w:t>
            </w:r>
          </w:p>
          <w:p w:rsidR="00E55AD9" w:rsidRPr="005028E2" w:rsidRDefault="00E55AD9" w:rsidP="0018524E">
            <w:pPr>
              <w:rPr>
                <w:lang w:val="en-US"/>
              </w:rPr>
            </w:pPr>
            <w:r>
              <w:rPr>
                <w:lang w:val="en-US"/>
              </w:rPr>
              <w:t xml:space="preserve">Water </w:t>
            </w:r>
            <w:proofErr w:type="spellStart"/>
            <w:r>
              <w:rPr>
                <w:lang w:val="en-US"/>
              </w:rPr>
              <w:t>Ressources</w:t>
            </w:r>
            <w:proofErr w:type="spellEnd"/>
            <w:r>
              <w:rPr>
                <w:lang w:val="en-US"/>
              </w:rPr>
              <w:t xml:space="preserve"> Bulletin, Vol. 20 </w:t>
            </w:r>
            <w:proofErr w:type="spellStart"/>
            <w:r>
              <w:rPr>
                <w:lang w:val="en-US"/>
              </w:rPr>
              <w:t>Iss</w:t>
            </w:r>
            <w:proofErr w:type="spellEnd"/>
            <w:r>
              <w:rPr>
                <w:lang w:val="en-US"/>
              </w:rPr>
              <w:t>. 5, 1984</w:t>
            </w:r>
          </w:p>
        </w:tc>
      </w:tr>
      <w:tr w:rsidR="00E55AD9" w:rsidRPr="00AD761C" w:rsidTr="00FA4C20">
        <w:trPr>
          <w:cantSplit/>
        </w:trPr>
        <w:tc>
          <w:tcPr>
            <w:tcW w:w="534" w:type="dxa"/>
          </w:tcPr>
          <w:p w:rsidR="00E55AD9" w:rsidRDefault="00E55AD9" w:rsidP="0006131C">
            <w:pPr>
              <w:jc w:val="left"/>
            </w:pPr>
            <w:r>
              <w:t>14</w:t>
            </w:r>
          </w:p>
        </w:tc>
        <w:tc>
          <w:tcPr>
            <w:tcW w:w="8754" w:type="dxa"/>
          </w:tcPr>
          <w:p w:rsidR="00E55AD9" w:rsidRPr="00E53BF3" w:rsidRDefault="00E55AD9" w:rsidP="00E53BF3">
            <w:pPr>
              <w:rPr>
                <w:lang w:val="en-US"/>
              </w:rPr>
            </w:pPr>
            <w:proofErr w:type="spellStart"/>
            <w:r w:rsidRPr="005028E2">
              <w:rPr>
                <w:lang w:val="en-US"/>
              </w:rPr>
              <w:t>McGUINESS</w:t>
            </w:r>
            <w:proofErr w:type="spellEnd"/>
            <w:r w:rsidRPr="005028E2">
              <w:rPr>
                <w:lang w:val="en-US"/>
              </w:rPr>
              <w:t xml:space="preserve"> et al. (2010): Detection of single nucleotide polymorphisms using a DNA Holliday junction </w:t>
            </w:r>
            <w:proofErr w:type="spellStart"/>
            <w:r w:rsidRPr="005028E2">
              <w:rPr>
                <w:lang w:val="en-US"/>
              </w:rPr>
              <w:t>nanoswitch</w:t>
            </w:r>
            <w:proofErr w:type="spellEnd"/>
            <w:r w:rsidRPr="005028E2">
              <w:rPr>
                <w:lang w:val="en-US"/>
              </w:rPr>
              <w:t xml:space="preserve">—a high-throughput fluorescence lifetime assay. </w:t>
            </w:r>
            <w:r w:rsidRPr="00E53BF3">
              <w:rPr>
                <w:lang w:val="en-US"/>
              </w:rPr>
              <w:t>In:</w:t>
            </w:r>
          </w:p>
          <w:p w:rsidR="00E55AD9" w:rsidRPr="00E53BF3" w:rsidRDefault="00E55AD9" w:rsidP="00E53BF3">
            <w:pPr>
              <w:rPr>
                <w:lang w:val="en-US"/>
              </w:rPr>
            </w:pPr>
            <w:r w:rsidRPr="00E53BF3">
              <w:rPr>
                <w:lang w:val="en-US"/>
              </w:rPr>
              <w:t xml:space="preserve">Mol. </w:t>
            </w:r>
            <w:proofErr w:type="spellStart"/>
            <w:r w:rsidRPr="00E53BF3">
              <w:rPr>
                <w:lang w:val="en-US"/>
              </w:rPr>
              <w:t>BioSyst</w:t>
            </w:r>
            <w:proofErr w:type="spellEnd"/>
            <w:r w:rsidRPr="00E53BF3">
              <w:rPr>
                <w:lang w:val="en-US"/>
              </w:rPr>
              <w:t>, Vol. 6, 2010</w:t>
            </w:r>
          </w:p>
        </w:tc>
      </w:tr>
      <w:tr w:rsidR="00E55AD9" w:rsidRPr="00AD761C" w:rsidTr="00FA4C20">
        <w:trPr>
          <w:cantSplit/>
        </w:trPr>
        <w:tc>
          <w:tcPr>
            <w:tcW w:w="534" w:type="dxa"/>
          </w:tcPr>
          <w:p w:rsidR="00E55AD9" w:rsidRDefault="00E55AD9" w:rsidP="0006131C">
            <w:pPr>
              <w:jc w:val="left"/>
            </w:pPr>
            <w:r>
              <w:lastRenderedPageBreak/>
              <w:t>15</w:t>
            </w:r>
          </w:p>
        </w:tc>
        <w:tc>
          <w:tcPr>
            <w:tcW w:w="8754" w:type="dxa"/>
          </w:tcPr>
          <w:p w:rsidR="00E55AD9" w:rsidRPr="005028E2" w:rsidRDefault="00E55AD9" w:rsidP="0018524E">
            <w:pPr>
              <w:rPr>
                <w:lang w:val="en-US"/>
              </w:rPr>
            </w:pPr>
            <w:r w:rsidRPr="005028E2">
              <w:rPr>
                <w:lang w:val="en-US"/>
              </w:rPr>
              <w:t xml:space="preserve">MERCK (2017): Guava® </w:t>
            </w:r>
            <w:proofErr w:type="spellStart"/>
            <w:r w:rsidRPr="005028E2">
              <w:rPr>
                <w:lang w:val="en-US"/>
              </w:rPr>
              <w:t>easyCyte</w:t>
            </w:r>
            <w:proofErr w:type="spellEnd"/>
            <w:r w:rsidRPr="005028E2">
              <w:rPr>
                <w:lang w:val="en-US"/>
              </w:rPr>
              <w:t xml:space="preserve"> Instrument Specifications, In:</w:t>
            </w:r>
          </w:p>
          <w:p w:rsidR="00E55AD9" w:rsidRPr="005028E2" w:rsidRDefault="00E55AD9" w:rsidP="0018524E">
            <w:pPr>
              <w:rPr>
                <w:lang w:val="en-US"/>
              </w:rPr>
            </w:pPr>
            <w:r w:rsidRPr="0049656A">
              <w:rPr>
                <w:lang w:val="en-US"/>
              </w:rPr>
              <w:t>http://www.merckmillipore.com/DE/de/life-science-research/cell-analysis/guava-easycyte-flow-cytometers/specifications/7syb.qB.D6MAAAFBV7o7FnRb,nav</w:t>
            </w:r>
          </w:p>
          <w:p w:rsidR="00E55AD9" w:rsidRDefault="00E55AD9" w:rsidP="0018524E">
            <w:r>
              <w:t>21.03.2017 14:05</w:t>
            </w:r>
          </w:p>
        </w:tc>
      </w:tr>
      <w:tr w:rsidR="00E55AD9" w:rsidRPr="00AD761C" w:rsidTr="00FA4C20">
        <w:trPr>
          <w:cantSplit/>
        </w:trPr>
        <w:tc>
          <w:tcPr>
            <w:tcW w:w="534" w:type="dxa"/>
          </w:tcPr>
          <w:p w:rsidR="00E55AD9" w:rsidRDefault="00E55AD9" w:rsidP="0006131C">
            <w:pPr>
              <w:jc w:val="left"/>
            </w:pPr>
            <w:r>
              <w:t>16</w:t>
            </w:r>
          </w:p>
        </w:tc>
        <w:tc>
          <w:tcPr>
            <w:tcW w:w="8754" w:type="dxa"/>
          </w:tcPr>
          <w:p w:rsidR="00E55AD9" w:rsidRPr="005028E2" w:rsidRDefault="00E55AD9" w:rsidP="00B167C4">
            <w:pPr>
              <w:rPr>
                <w:lang w:val="en-US"/>
              </w:rPr>
            </w:pPr>
            <w:r w:rsidRPr="005028E2">
              <w:rPr>
                <w:lang w:val="en-US"/>
              </w:rPr>
              <w:t>MOLECULAR DEVICES (2017): Multi-Mode Reader, In:</w:t>
            </w:r>
          </w:p>
          <w:p w:rsidR="00E55AD9" w:rsidRPr="005028E2" w:rsidRDefault="00E55AD9" w:rsidP="00B167C4">
            <w:pPr>
              <w:rPr>
                <w:lang w:val="en-US"/>
              </w:rPr>
            </w:pPr>
            <w:r w:rsidRPr="0049656A">
              <w:rPr>
                <w:lang w:val="en-US"/>
              </w:rPr>
              <w:t>https://www.moleculardevices.com/systems/microplate-readers/multi-mode-readers</w:t>
            </w:r>
          </w:p>
          <w:p w:rsidR="00E55AD9" w:rsidRDefault="00E55AD9" w:rsidP="00B167C4">
            <w:r>
              <w:t>20.03.2017 10:41</w:t>
            </w:r>
          </w:p>
        </w:tc>
      </w:tr>
      <w:tr w:rsidR="00E55AD9" w:rsidRPr="002B2F60" w:rsidTr="00FA4C20">
        <w:trPr>
          <w:cantSplit/>
        </w:trPr>
        <w:tc>
          <w:tcPr>
            <w:tcW w:w="534" w:type="dxa"/>
          </w:tcPr>
          <w:p w:rsidR="00E55AD9" w:rsidRDefault="00E55AD9" w:rsidP="0006131C">
            <w:pPr>
              <w:jc w:val="left"/>
            </w:pPr>
            <w:r>
              <w:t>17</w:t>
            </w:r>
          </w:p>
        </w:tc>
        <w:tc>
          <w:tcPr>
            <w:tcW w:w="8754" w:type="dxa"/>
          </w:tcPr>
          <w:p w:rsidR="00E55AD9" w:rsidRPr="005028E2" w:rsidRDefault="00E55AD9" w:rsidP="004C505A">
            <w:pPr>
              <w:rPr>
                <w:lang w:val="en-US"/>
              </w:rPr>
            </w:pPr>
            <w:r w:rsidRPr="005028E2">
              <w:rPr>
                <w:lang w:val="en-US"/>
              </w:rPr>
              <w:t xml:space="preserve">MORGAN, H. et al. (2013): Non-Invasive Label-Free Studies of Receptor Activation in </w:t>
            </w:r>
            <w:proofErr w:type="spellStart"/>
            <w:r w:rsidRPr="005028E2">
              <w:rPr>
                <w:lang w:val="en-US"/>
              </w:rPr>
              <w:t>Lonza</w:t>
            </w:r>
            <w:proofErr w:type="spellEnd"/>
            <w:r w:rsidRPr="005028E2">
              <w:rPr>
                <w:lang w:val="en-US"/>
              </w:rPr>
              <w:t xml:space="preserve"> Primary &amp; </w:t>
            </w:r>
            <w:proofErr w:type="spellStart"/>
            <w:r w:rsidRPr="005028E2">
              <w:rPr>
                <w:lang w:val="en-US"/>
              </w:rPr>
              <w:t>Mesenchymal</w:t>
            </w:r>
            <w:proofErr w:type="spellEnd"/>
            <w:r w:rsidRPr="005028E2">
              <w:rPr>
                <w:lang w:val="en-US"/>
              </w:rPr>
              <w:t xml:space="preserve"> stem cells using the </w:t>
            </w:r>
            <w:proofErr w:type="spellStart"/>
            <w:r w:rsidRPr="005028E2">
              <w:rPr>
                <w:lang w:val="en-US"/>
              </w:rPr>
              <w:t>EnSpire</w:t>
            </w:r>
            <w:proofErr w:type="spellEnd"/>
            <w:r w:rsidRPr="005028E2">
              <w:rPr>
                <w:lang w:val="en-US"/>
              </w:rPr>
              <w:t xml:space="preserve"> Multimode Plate Reader &amp; Janus Automated Workstation, In:</w:t>
            </w:r>
          </w:p>
          <w:p w:rsidR="00E55AD9" w:rsidRPr="005028E2" w:rsidRDefault="00E55AD9" w:rsidP="004C505A">
            <w:pPr>
              <w:rPr>
                <w:lang w:val="en-US"/>
              </w:rPr>
            </w:pPr>
            <w:r w:rsidRPr="0049656A">
              <w:rPr>
                <w:lang w:val="en-US"/>
              </w:rPr>
              <w:t>http://www.perkinelmer.de/lab-solutions/resources/docs/PST_44-153169PST_Labelfree_Receptor_Activation_EnSpire_LabelFree_JANUS.pdf</w:t>
            </w:r>
          </w:p>
          <w:p w:rsidR="00E55AD9" w:rsidRDefault="00E55AD9" w:rsidP="004C505A">
            <w:r>
              <w:t>20.03.2017 10:28</w:t>
            </w:r>
          </w:p>
        </w:tc>
      </w:tr>
      <w:tr w:rsidR="00E55AD9" w:rsidRPr="00AD761C" w:rsidTr="00FA4C20">
        <w:trPr>
          <w:cantSplit/>
        </w:trPr>
        <w:tc>
          <w:tcPr>
            <w:tcW w:w="534" w:type="dxa"/>
          </w:tcPr>
          <w:p w:rsidR="00E55AD9" w:rsidRDefault="00E55AD9" w:rsidP="0006131C">
            <w:pPr>
              <w:jc w:val="left"/>
            </w:pPr>
            <w:r>
              <w:t>17</w:t>
            </w:r>
          </w:p>
        </w:tc>
        <w:tc>
          <w:tcPr>
            <w:tcW w:w="8754" w:type="dxa"/>
          </w:tcPr>
          <w:p w:rsidR="00E55AD9" w:rsidRPr="009E5D57" w:rsidRDefault="00E55AD9" w:rsidP="00A85A92">
            <w:r>
              <w:rPr>
                <w:lang w:val="en-US"/>
              </w:rPr>
              <w:t xml:space="preserve">NÄTHER, D. et al. (2006): </w:t>
            </w:r>
            <w:r w:rsidRPr="00A85A92">
              <w:rPr>
                <w:lang w:val="en-US"/>
              </w:rPr>
              <w:t>Time Cor</w:t>
            </w:r>
            <w:r>
              <w:rPr>
                <w:lang w:val="en-US"/>
              </w:rPr>
              <w:t xml:space="preserve">related Single Photon Counting </w:t>
            </w:r>
            <w:r w:rsidRPr="00A85A92">
              <w:rPr>
                <w:lang w:val="en-US"/>
              </w:rPr>
              <w:t>- an Advancing Technique</w:t>
            </w:r>
            <w:r>
              <w:rPr>
                <w:lang w:val="en-US"/>
              </w:rPr>
              <w:t xml:space="preserve"> in a Plate Reader </w:t>
            </w:r>
            <w:r w:rsidRPr="00A85A92">
              <w:rPr>
                <w:lang w:val="en-US"/>
              </w:rPr>
              <w:t>for Assay Development and High Throughput Screening</w:t>
            </w:r>
            <w:r>
              <w:rPr>
                <w:lang w:val="en-US"/>
              </w:rPr>
              <w:t xml:space="preserve">, In: </w:t>
            </w:r>
            <w:proofErr w:type="spellStart"/>
            <w:r>
              <w:t>Proc</w:t>
            </w:r>
            <w:proofErr w:type="spellEnd"/>
            <w:r>
              <w:t>. SPIE 6372, 2006</w:t>
            </w:r>
          </w:p>
        </w:tc>
      </w:tr>
      <w:tr w:rsidR="00E55AD9" w:rsidRPr="002B2F60" w:rsidTr="00FA4C20">
        <w:trPr>
          <w:cantSplit/>
        </w:trPr>
        <w:tc>
          <w:tcPr>
            <w:tcW w:w="534" w:type="dxa"/>
          </w:tcPr>
          <w:p w:rsidR="00E55AD9" w:rsidRDefault="00E55AD9" w:rsidP="0006131C">
            <w:pPr>
              <w:jc w:val="left"/>
            </w:pPr>
            <w:r>
              <w:t>18</w:t>
            </w:r>
          </w:p>
        </w:tc>
        <w:tc>
          <w:tcPr>
            <w:tcW w:w="8754" w:type="dxa"/>
          </w:tcPr>
          <w:p w:rsidR="00E55AD9" w:rsidRDefault="00E55AD9" w:rsidP="007E28FA">
            <w:r>
              <w:t xml:space="preserve">PERKINELMER (2011): </w:t>
            </w:r>
            <w:proofErr w:type="spellStart"/>
            <w:r>
              <w:t>EnSpire</w:t>
            </w:r>
            <w:proofErr w:type="spellEnd"/>
            <w:r>
              <w:t xml:space="preserve"> Multimode Plate Reader, In:</w:t>
            </w:r>
          </w:p>
          <w:p w:rsidR="00E55AD9" w:rsidRDefault="00E55AD9" w:rsidP="007E28FA">
            <w:r w:rsidRPr="0049656A">
              <w:t>http://www.perkinelmer.de/lab-solutions/resources/docs/44-129435BRO_EnSpire.pdf</w:t>
            </w:r>
          </w:p>
          <w:p w:rsidR="00E55AD9" w:rsidRDefault="00E55AD9" w:rsidP="007E28FA">
            <w:r>
              <w:t>19.03.2017</w:t>
            </w:r>
          </w:p>
        </w:tc>
      </w:tr>
      <w:tr w:rsidR="00E55AD9" w:rsidRPr="00AD761C" w:rsidTr="00FA4C20">
        <w:trPr>
          <w:cantSplit/>
        </w:trPr>
        <w:tc>
          <w:tcPr>
            <w:tcW w:w="534" w:type="dxa"/>
          </w:tcPr>
          <w:p w:rsidR="00E55AD9" w:rsidRDefault="00E55AD9" w:rsidP="0006131C">
            <w:pPr>
              <w:jc w:val="left"/>
            </w:pPr>
            <w:r>
              <w:t>19</w:t>
            </w:r>
          </w:p>
        </w:tc>
        <w:tc>
          <w:tcPr>
            <w:tcW w:w="8754" w:type="dxa"/>
          </w:tcPr>
          <w:p w:rsidR="00E55AD9" w:rsidRPr="005028E2" w:rsidRDefault="00E55AD9" w:rsidP="00F772E7">
            <w:pPr>
              <w:rPr>
                <w:lang w:val="en-US"/>
              </w:rPr>
            </w:pPr>
            <w:r w:rsidRPr="005028E2">
              <w:rPr>
                <w:lang w:val="en-US"/>
              </w:rPr>
              <w:t xml:space="preserve">RODRIGUEZ-PUENTE, S. (2013): A simple and effective calibration method to determine the accuracy of liquid-handling </w:t>
            </w:r>
            <w:proofErr w:type="spellStart"/>
            <w:r w:rsidRPr="005028E2">
              <w:rPr>
                <w:lang w:val="en-US"/>
              </w:rPr>
              <w:t>nano</w:t>
            </w:r>
            <w:proofErr w:type="spellEnd"/>
            <w:r w:rsidRPr="005028E2">
              <w:rPr>
                <w:lang w:val="en-US"/>
              </w:rPr>
              <w:t>-dispenser devices, In:</w:t>
            </w:r>
          </w:p>
          <w:p w:rsidR="00E55AD9" w:rsidRPr="005028E2" w:rsidRDefault="00E55AD9" w:rsidP="00F772E7">
            <w:pPr>
              <w:rPr>
                <w:lang w:val="en-US"/>
              </w:rPr>
            </w:pPr>
            <w:proofErr w:type="spellStart"/>
            <w:r w:rsidRPr="005028E2">
              <w:rPr>
                <w:lang w:val="en-US"/>
              </w:rPr>
              <w:t>Acta</w:t>
            </w:r>
            <w:proofErr w:type="spellEnd"/>
            <w:r w:rsidRPr="005028E2">
              <w:rPr>
                <w:lang w:val="en-US"/>
              </w:rPr>
              <w:t xml:space="preserve"> </w:t>
            </w:r>
            <w:proofErr w:type="spellStart"/>
            <w:r w:rsidRPr="005028E2">
              <w:rPr>
                <w:lang w:val="en-US"/>
              </w:rPr>
              <w:t>Crystallographica</w:t>
            </w:r>
            <w:proofErr w:type="spellEnd"/>
            <w:r w:rsidRPr="005028E2">
              <w:rPr>
                <w:lang w:val="en-US"/>
              </w:rPr>
              <w:t xml:space="preserve"> Section F Vol. 69(3), 2013</w:t>
            </w:r>
          </w:p>
        </w:tc>
      </w:tr>
      <w:tr w:rsidR="00E55AD9" w:rsidRPr="002B2F60" w:rsidTr="00FA4C20">
        <w:trPr>
          <w:cantSplit/>
        </w:trPr>
        <w:tc>
          <w:tcPr>
            <w:tcW w:w="534" w:type="dxa"/>
          </w:tcPr>
          <w:p w:rsidR="00E55AD9" w:rsidRDefault="00E55AD9" w:rsidP="0006131C">
            <w:pPr>
              <w:jc w:val="left"/>
            </w:pPr>
            <w:r>
              <w:t>20</w:t>
            </w:r>
          </w:p>
        </w:tc>
        <w:tc>
          <w:tcPr>
            <w:tcW w:w="8754" w:type="dxa"/>
          </w:tcPr>
          <w:p w:rsidR="00E55AD9" w:rsidRDefault="00E55AD9" w:rsidP="0018524E">
            <w:r w:rsidRPr="005028E2">
              <w:rPr>
                <w:lang w:val="en-US"/>
              </w:rPr>
              <w:t xml:space="preserve">SCHAUMONT, P. (2010): A Practical Introduction to Hardware/Software </w:t>
            </w:r>
            <w:proofErr w:type="spellStart"/>
            <w:r w:rsidRPr="005028E2">
              <w:rPr>
                <w:lang w:val="en-US"/>
              </w:rPr>
              <w:t>Codesign</w:t>
            </w:r>
            <w:proofErr w:type="spellEnd"/>
            <w:r w:rsidRPr="005028E2">
              <w:rPr>
                <w:lang w:val="en-US"/>
              </w:rPr>
              <w:t xml:space="preserve">, Springer </w:t>
            </w:r>
            <w:proofErr w:type="spellStart"/>
            <w:r w:rsidRPr="005028E2">
              <w:rPr>
                <w:lang w:val="en-US"/>
              </w:rPr>
              <w:t>Verlag</w:t>
            </w:r>
            <w:proofErr w:type="spellEnd"/>
            <w:r w:rsidRPr="005028E2">
              <w:rPr>
                <w:lang w:val="en-US"/>
              </w:rPr>
              <w:t xml:space="preserve">, New York, 1. </w:t>
            </w:r>
            <w:r>
              <w:t>Auflage, 2010</w:t>
            </w:r>
          </w:p>
        </w:tc>
      </w:tr>
      <w:tr w:rsidR="00E55AD9" w:rsidRPr="002B2F60" w:rsidTr="00FA4C20">
        <w:trPr>
          <w:cantSplit/>
        </w:trPr>
        <w:tc>
          <w:tcPr>
            <w:tcW w:w="534" w:type="dxa"/>
          </w:tcPr>
          <w:p w:rsidR="00E55AD9" w:rsidRDefault="00E55AD9" w:rsidP="0006131C">
            <w:pPr>
              <w:jc w:val="left"/>
            </w:pPr>
            <w:r>
              <w:t>21</w:t>
            </w:r>
          </w:p>
        </w:tc>
        <w:tc>
          <w:tcPr>
            <w:tcW w:w="8754" w:type="dxa"/>
          </w:tcPr>
          <w:p w:rsidR="00E55AD9" w:rsidRDefault="00E55AD9" w:rsidP="00A85A92">
            <w:pPr>
              <w:rPr>
                <w:lang w:val="en-US"/>
              </w:rPr>
            </w:pPr>
            <w:r>
              <w:rPr>
                <w:lang w:val="en-US"/>
              </w:rPr>
              <w:t xml:space="preserve">SHAPIRO, H. (2003): Practical Flow </w:t>
            </w:r>
            <w:proofErr w:type="spellStart"/>
            <w:r>
              <w:rPr>
                <w:lang w:val="en-US"/>
              </w:rPr>
              <w:t>Cytometry</w:t>
            </w:r>
            <w:proofErr w:type="spellEnd"/>
          </w:p>
          <w:p w:rsidR="00E55AD9" w:rsidRDefault="00E55AD9" w:rsidP="00A85A92">
            <w:pPr>
              <w:rPr>
                <w:lang w:val="en-US"/>
              </w:rPr>
            </w:pPr>
            <w:r>
              <w:rPr>
                <w:lang w:val="en-US"/>
              </w:rPr>
              <w:t xml:space="preserve">John Wiley &amp; Sons Inc., New Jersey, 4. </w:t>
            </w:r>
            <w:proofErr w:type="spellStart"/>
            <w:r>
              <w:rPr>
                <w:lang w:val="en-US"/>
              </w:rPr>
              <w:t>Auflage</w:t>
            </w:r>
            <w:proofErr w:type="spellEnd"/>
            <w:r>
              <w:rPr>
                <w:lang w:val="en-US"/>
              </w:rPr>
              <w:t>, 2003</w:t>
            </w:r>
          </w:p>
        </w:tc>
      </w:tr>
      <w:tr w:rsidR="00E55AD9" w:rsidRPr="00AD761C" w:rsidTr="00FA4C20">
        <w:trPr>
          <w:cantSplit/>
        </w:trPr>
        <w:tc>
          <w:tcPr>
            <w:tcW w:w="534" w:type="dxa"/>
          </w:tcPr>
          <w:p w:rsidR="00E55AD9" w:rsidRDefault="00E55AD9" w:rsidP="0006131C">
            <w:pPr>
              <w:jc w:val="left"/>
            </w:pPr>
            <w:r>
              <w:t>22</w:t>
            </w:r>
          </w:p>
        </w:tc>
        <w:tc>
          <w:tcPr>
            <w:tcW w:w="8754" w:type="dxa"/>
          </w:tcPr>
          <w:p w:rsidR="00E55AD9" w:rsidRPr="005028E2" w:rsidRDefault="00E55AD9" w:rsidP="009A4C35">
            <w:pPr>
              <w:rPr>
                <w:lang w:val="en-US"/>
              </w:rPr>
            </w:pPr>
            <w:r w:rsidRPr="005028E2">
              <w:rPr>
                <w:lang w:val="en-US"/>
              </w:rPr>
              <w:t xml:space="preserve">SIRAGANIAN, P. (1973): Automated Continuous-Flow System for the Extraction and </w:t>
            </w:r>
            <w:proofErr w:type="spellStart"/>
            <w:r w:rsidRPr="005028E2">
              <w:rPr>
                <w:lang w:val="en-US"/>
              </w:rPr>
              <w:t>Fluorometric</w:t>
            </w:r>
            <w:proofErr w:type="spellEnd"/>
            <w:r w:rsidRPr="005028E2">
              <w:rPr>
                <w:lang w:val="en-US"/>
              </w:rPr>
              <w:t xml:space="preserve"> Analysis of Histamine</w:t>
            </w:r>
          </w:p>
        </w:tc>
      </w:tr>
      <w:tr w:rsidR="00E55AD9" w:rsidRPr="00AD761C" w:rsidTr="00FA4C20">
        <w:trPr>
          <w:cantSplit/>
        </w:trPr>
        <w:tc>
          <w:tcPr>
            <w:tcW w:w="534" w:type="dxa"/>
          </w:tcPr>
          <w:p w:rsidR="00E55AD9" w:rsidRDefault="00E55AD9" w:rsidP="0006131C">
            <w:pPr>
              <w:jc w:val="left"/>
            </w:pPr>
            <w:r>
              <w:t>23</w:t>
            </w:r>
          </w:p>
        </w:tc>
        <w:tc>
          <w:tcPr>
            <w:tcW w:w="8754" w:type="dxa"/>
          </w:tcPr>
          <w:p w:rsidR="00E55AD9" w:rsidRPr="005028E2" w:rsidRDefault="00E55AD9" w:rsidP="0018524E">
            <w:pPr>
              <w:rPr>
                <w:lang w:val="en-US"/>
              </w:rPr>
            </w:pPr>
            <w:r w:rsidRPr="005028E2">
              <w:rPr>
                <w:lang w:val="en-US"/>
              </w:rPr>
              <w:t xml:space="preserve">TECAN (2003): </w:t>
            </w:r>
            <w:proofErr w:type="spellStart"/>
            <w:r w:rsidRPr="005028E2">
              <w:rPr>
                <w:lang w:val="en-US"/>
              </w:rPr>
              <w:t>MiniPrep</w:t>
            </w:r>
            <w:proofErr w:type="spellEnd"/>
            <w:r w:rsidRPr="005028E2">
              <w:rPr>
                <w:lang w:val="en-US"/>
              </w:rPr>
              <w:t xml:space="preserve"> Operator’s Guide, In:</w:t>
            </w:r>
          </w:p>
          <w:p w:rsidR="00E55AD9" w:rsidRPr="005028E2" w:rsidRDefault="00E55AD9" w:rsidP="0018524E">
            <w:pPr>
              <w:rPr>
                <w:lang w:val="en-US"/>
              </w:rPr>
            </w:pPr>
            <w:r w:rsidRPr="0049656A">
              <w:rPr>
                <w:lang w:val="en-US"/>
              </w:rPr>
              <w:t>http://www.yeec.com/uploadimages1/forum/2006-3/20063251094580338.pdf</w:t>
            </w:r>
          </w:p>
          <w:p w:rsidR="00E55AD9" w:rsidRDefault="00E55AD9" w:rsidP="0018524E">
            <w:r>
              <w:t>23.03.2017 14:21</w:t>
            </w:r>
          </w:p>
        </w:tc>
      </w:tr>
      <w:tr w:rsidR="00E55AD9" w:rsidRPr="00AD761C" w:rsidTr="00FA4C20">
        <w:trPr>
          <w:cantSplit/>
        </w:trPr>
        <w:tc>
          <w:tcPr>
            <w:tcW w:w="534" w:type="dxa"/>
          </w:tcPr>
          <w:p w:rsidR="00E55AD9" w:rsidRDefault="00E55AD9" w:rsidP="0006131C">
            <w:pPr>
              <w:jc w:val="left"/>
            </w:pPr>
            <w:r>
              <w:t>24</w:t>
            </w:r>
          </w:p>
        </w:tc>
        <w:tc>
          <w:tcPr>
            <w:tcW w:w="8754" w:type="dxa"/>
          </w:tcPr>
          <w:p w:rsidR="00E55AD9" w:rsidRPr="005028E2" w:rsidRDefault="00E55AD9" w:rsidP="00F772E7">
            <w:pPr>
              <w:rPr>
                <w:lang w:val="en-US"/>
              </w:rPr>
            </w:pPr>
            <w:r w:rsidRPr="005028E2">
              <w:rPr>
                <w:lang w:val="en-US"/>
              </w:rPr>
              <w:t xml:space="preserve">TECAN (2003): </w:t>
            </w:r>
            <w:proofErr w:type="spellStart"/>
            <w:r w:rsidRPr="005028E2">
              <w:rPr>
                <w:lang w:val="en-US"/>
              </w:rPr>
              <w:t>Tecan</w:t>
            </w:r>
            <w:proofErr w:type="spellEnd"/>
            <w:r w:rsidRPr="005028E2">
              <w:rPr>
                <w:lang w:val="en-US"/>
              </w:rPr>
              <w:t xml:space="preserve"> </w:t>
            </w:r>
            <w:proofErr w:type="spellStart"/>
            <w:r w:rsidRPr="005028E2">
              <w:rPr>
                <w:lang w:val="en-US"/>
              </w:rPr>
              <w:t>MiniPrep</w:t>
            </w:r>
            <w:proofErr w:type="spellEnd"/>
            <w:r w:rsidRPr="005028E2">
              <w:rPr>
                <w:lang w:val="en-US"/>
              </w:rPr>
              <w:t xml:space="preserve"> Robots, In:</w:t>
            </w:r>
          </w:p>
          <w:p w:rsidR="00E55AD9" w:rsidRPr="005028E2" w:rsidRDefault="00E55AD9" w:rsidP="00F772E7">
            <w:pPr>
              <w:rPr>
                <w:lang w:val="en-US"/>
              </w:rPr>
            </w:pPr>
            <w:r w:rsidRPr="0049656A">
              <w:rPr>
                <w:lang w:val="en-US"/>
              </w:rPr>
              <w:t>http://www.massetrecovery.com/pictures7/tecan.pdf</w:t>
            </w:r>
          </w:p>
          <w:p w:rsidR="00E55AD9" w:rsidRDefault="00E55AD9" w:rsidP="00F772E7">
            <w:r>
              <w:t>23.03.2017 14:23</w:t>
            </w:r>
          </w:p>
        </w:tc>
      </w:tr>
      <w:tr w:rsidR="00E55AD9" w:rsidRPr="00AD761C" w:rsidTr="00FA4C20">
        <w:trPr>
          <w:cantSplit/>
        </w:trPr>
        <w:tc>
          <w:tcPr>
            <w:tcW w:w="534" w:type="dxa"/>
          </w:tcPr>
          <w:p w:rsidR="00E55AD9" w:rsidRDefault="00E55AD9" w:rsidP="0006131C">
            <w:pPr>
              <w:jc w:val="left"/>
            </w:pPr>
            <w:r>
              <w:t>25</w:t>
            </w:r>
          </w:p>
        </w:tc>
        <w:tc>
          <w:tcPr>
            <w:tcW w:w="8754" w:type="dxa"/>
          </w:tcPr>
          <w:p w:rsidR="00E55AD9" w:rsidRDefault="00E55AD9" w:rsidP="004C505A">
            <w:pPr>
              <w:rPr>
                <w:lang w:val="en-US"/>
              </w:rPr>
            </w:pPr>
            <w:r w:rsidRPr="005028E2">
              <w:rPr>
                <w:lang w:val="en-US"/>
              </w:rPr>
              <w:t>TECAN (201</w:t>
            </w:r>
            <w:r>
              <w:rPr>
                <w:lang w:val="en-US"/>
              </w:rPr>
              <w:t>4</w:t>
            </w:r>
            <w:r w:rsidRPr="005028E2">
              <w:rPr>
                <w:lang w:val="en-US"/>
              </w:rPr>
              <w:t xml:space="preserve">): </w:t>
            </w:r>
            <w:r>
              <w:rPr>
                <w:lang w:val="en-US"/>
              </w:rPr>
              <w:t>Fluent</w:t>
            </w:r>
            <w:r w:rsidRPr="005028E2">
              <w:rPr>
                <w:lang w:val="en-US"/>
              </w:rPr>
              <w:t xml:space="preserve">, In: </w:t>
            </w:r>
          </w:p>
          <w:p w:rsidR="00E55AD9" w:rsidRDefault="00E55AD9" w:rsidP="00EC11DD">
            <w:r w:rsidRPr="0049656A">
              <w:t>http://www.tecan.com/hubfs/Tecan_Journal/201402/04_05_Fluent_the_new_laboratory_automation_solution_022014.pdf</w:t>
            </w:r>
          </w:p>
          <w:p w:rsidR="00E55AD9" w:rsidRDefault="00E55AD9" w:rsidP="00EC11DD">
            <w:r>
              <w:t>01.04.2017 20:15</w:t>
            </w:r>
          </w:p>
        </w:tc>
      </w:tr>
      <w:tr w:rsidR="00E55AD9" w:rsidRPr="00AD761C" w:rsidTr="00FA4C20">
        <w:trPr>
          <w:cantSplit/>
        </w:trPr>
        <w:tc>
          <w:tcPr>
            <w:tcW w:w="534" w:type="dxa"/>
          </w:tcPr>
          <w:p w:rsidR="00E55AD9" w:rsidRDefault="00E55AD9" w:rsidP="0006131C">
            <w:pPr>
              <w:jc w:val="left"/>
            </w:pPr>
            <w:r>
              <w:t>25</w:t>
            </w:r>
          </w:p>
        </w:tc>
        <w:tc>
          <w:tcPr>
            <w:tcW w:w="8754" w:type="dxa"/>
          </w:tcPr>
          <w:p w:rsidR="00E55AD9" w:rsidRDefault="00E55AD9" w:rsidP="004C505A">
            <w:pPr>
              <w:rPr>
                <w:lang w:val="en-US"/>
              </w:rPr>
            </w:pPr>
            <w:r>
              <w:rPr>
                <w:lang w:val="en-US"/>
              </w:rPr>
              <w:t>TECAN A (2016): Freedom EVO, In:</w:t>
            </w:r>
          </w:p>
          <w:p w:rsidR="00E55AD9" w:rsidRDefault="00E55AD9" w:rsidP="004C505A">
            <w:pPr>
              <w:rPr>
                <w:lang w:val="en-US"/>
              </w:rPr>
            </w:pPr>
            <w:r w:rsidRPr="0049656A">
              <w:rPr>
                <w:lang w:val="en-US"/>
              </w:rPr>
              <w:t>http://www.tecan.com/request-pdf?file=/mandant/files/doc/24/BR_FreedomEvo_SpecsSheet_399174_V1-0.pdf&amp;title=BR_FreedomEvo_SpecsSheet_399174_V1-0.pdf</w:t>
            </w:r>
          </w:p>
          <w:p w:rsidR="00E55AD9" w:rsidRPr="005028E2" w:rsidRDefault="00E55AD9" w:rsidP="007D705D">
            <w:pPr>
              <w:rPr>
                <w:lang w:val="en-US"/>
              </w:rPr>
            </w:pPr>
            <w:r>
              <w:rPr>
                <w:lang w:val="en-US"/>
              </w:rPr>
              <w:t>02.04.2017 14:03</w:t>
            </w:r>
          </w:p>
        </w:tc>
      </w:tr>
      <w:tr w:rsidR="00E55AD9" w:rsidRPr="00AD761C" w:rsidTr="00FA4C20">
        <w:trPr>
          <w:cantSplit/>
        </w:trPr>
        <w:tc>
          <w:tcPr>
            <w:tcW w:w="534" w:type="dxa"/>
          </w:tcPr>
          <w:p w:rsidR="00E55AD9" w:rsidRDefault="00E55AD9" w:rsidP="0006131C">
            <w:pPr>
              <w:jc w:val="left"/>
            </w:pPr>
            <w:r>
              <w:t>26</w:t>
            </w:r>
          </w:p>
        </w:tc>
        <w:tc>
          <w:tcPr>
            <w:tcW w:w="8754" w:type="dxa"/>
          </w:tcPr>
          <w:p w:rsidR="00E55AD9" w:rsidRPr="005028E2" w:rsidRDefault="00E55AD9" w:rsidP="00B167C4">
            <w:pPr>
              <w:rPr>
                <w:lang w:val="en-US"/>
              </w:rPr>
            </w:pPr>
            <w:r w:rsidRPr="005028E2">
              <w:rPr>
                <w:lang w:val="en-US"/>
              </w:rPr>
              <w:t>TECAN A (2017): Spark Multimode Reader, In:</w:t>
            </w:r>
          </w:p>
          <w:p w:rsidR="00E55AD9" w:rsidRPr="005028E2" w:rsidRDefault="00E55AD9" w:rsidP="00B167C4">
            <w:pPr>
              <w:rPr>
                <w:lang w:val="en-US"/>
              </w:rPr>
            </w:pPr>
            <w:r w:rsidRPr="0049656A">
              <w:rPr>
                <w:lang w:val="en-US"/>
              </w:rPr>
              <w:t>http://ww3.tecan.com/mandant/files/doc/718/BR_Spark_Complete_398983_V1-0.pdf</w:t>
            </w:r>
          </w:p>
          <w:p w:rsidR="00E55AD9" w:rsidRDefault="00E55AD9" w:rsidP="00B167C4">
            <w:r>
              <w:t>20.03.2017 10:56</w:t>
            </w:r>
          </w:p>
        </w:tc>
      </w:tr>
      <w:tr w:rsidR="00E55AD9" w:rsidRPr="00AD761C" w:rsidTr="00FA4C20">
        <w:trPr>
          <w:cantSplit/>
        </w:trPr>
        <w:tc>
          <w:tcPr>
            <w:tcW w:w="534" w:type="dxa"/>
          </w:tcPr>
          <w:p w:rsidR="00E55AD9" w:rsidRDefault="00E55AD9" w:rsidP="0006131C">
            <w:pPr>
              <w:jc w:val="left"/>
            </w:pPr>
            <w:r>
              <w:t>27</w:t>
            </w:r>
          </w:p>
        </w:tc>
        <w:tc>
          <w:tcPr>
            <w:tcW w:w="8754" w:type="dxa"/>
          </w:tcPr>
          <w:p w:rsidR="00E55AD9" w:rsidRDefault="00E55AD9" w:rsidP="005B4472">
            <w:pPr>
              <w:rPr>
                <w:lang w:val="en-US"/>
              </w:rPr>
            </w:pPr>
            <w:r>
              <w:rPr>
                <w:lang w:val="en-US"/>
              </w:rPr>
              <w:t>TECAN B (2016): Freedom EVO 75, In:</w:t>
            </w:r>
          </w:p>
          <w:p w:rsidR="00E55AD9" w:rsidRDefault="00E55AD9" w:rsidP="005B4472">
            <w:pPr>
              <w:rPr>
                <w:lang w:val="en-US"/>
              </w:rPr>
            </w:pPr>
            <w:r w:rsidRPr="0049656A">
              <w:rPr>
                <w:lang w:val="en-US"/>
              </w:rPr>
              <w:t>http://ww3.tecan.com/mandant/files/doc/239/BR_Freedom_EVO_75_394342_V4-2.pdf</w:t>
            </w:r>
          </w:p>
          <w:p w:rsidR="00E55AD9" w:rsidRDefault="00E55AD9" w:rsidP="005B4472">
            <w:pPr>
              <w:rPr>
                <w:lang w:val="en-US"/>
              </w:rPr>
            </w:pPr>
            <w:r>
              <w:rPr>
                <w:lang w:val="en-US"/>
              </w:rPr>
              <w:t>02.04.2017 15:52</w:t>
            </w:r>
          </w:p>
        </w:tc>
      </w:tr>
      <w:tr w:rsidR="00E55AD9" w:rsidRPr="00AD761C" w:rsidTr="00FA4C20">
        <w:trPr>
          <w:cantSplit/>
        </w:trPr>
        <w:tc>
          <w:tcPr>
            <w:tcW w:w="534" w:type="dxa"/>
          </w:tcPr>
          <w:p w:rsidR="00E55AD9" w:rsidRDefault="00E55AD9" w:rsidP="0006131C">
            <w:pPr>
              <w:jc w:val="left"/>
            </w:pPr>
            <w:r>
              <w:lastRenderedPageBreak/>
              <w:t>28</w:t>
            </w:r>
          </w:p>
        </w:tc>
        <w:tc>
          <w:tcPr>
            <w:tcW w:w="8754" w:type="dxa"/>
          </w:tcPr>
          <w:p w:rsidR="00E55AD9" w:rsidRPr="005028E2" w:rsidRDefault="00E55AD9" w:rsidP="0018524E">
            <w:pPr>
              <w:rPr>
                <w:lang w:val="en-US"/>
              </w:rPr>
            </w:pPr>
            <w:r w:rsidRPr="005028E2">
              <w:rPr>
                <w:lang w:val="en-US"/>
              </w:rPr>
              <w:t>TECAN B (2017): Fluent Laboratory Automation Solution, In:</w:t>
            </w:r>
          </w:p>
          <w:p w:rsidR="00E55AD9" w:rsidRPr="005028E2" w:rsidRDefault="00E55AD9" w:rsidP="0018524E">
            <w:pPr>
              <w:rPr>
                <w:lang w:val="en-US"/>
              </w:rPr>
            </w:pPr>
            <w:r w:rsidRPr="0049656A">
              <w:rPr>
                <w:lang w:val="en-US"/>
              </w:rPr>
              <w:t>http://ww3.tecan.com/mandant/files/doc/669/BR_Fluent_Specification_Sheet_398328_V1-5.pdf</w:t>
            </w:r>
          </w:p>
          <w:p w:rsidR="00E55AD9" w:rsidRDefault="00E55AD9" w:rsidP="0018524E">
            <w:r>
              <w:t>22.03.2017 10:41</w:t>
            </w:r>
          </w:p>
        </w:tc>
      </w:tr>
      <w:tr w:rsidR="00E55AD9" w:rsidRPr="00AD761C" w:rsidTr="00FA4C20">
        <w:trPr>
          <w:cantSplit/>
        </w:trPr>
        <w:tc>
          <w:tcPr>
            <w:tcW w:w="534" w:type="dxa"/>
          </w:tcPr>
          <w:p w:rsidR="00E55AD9" w:rsidRDefault="00E55AD9" w:rsidP="0006131C">
            <w:pPr>
              <w:jc w:val="left"/>
            </w:pPr>
            <w:r>
              <w:t>29</w:t>
            </w:r>
          </w:p>
        </w:tc>
        <w:tc>
          <w:tcPr>
            <w:tcW w:w="8754" w:type="dxa"/>
          </w:tcPr>
          <w:p w:rsidR="00E55AD9" w:rsidRPr="005028E2" w:rsidRDefault="00E55AD9" w:rsidP="0018524E">
            <w:pPr>
              <w:rPr>
                <w:lang w:val="en-US"/>
              </w:rPr>
            </w:pPr>
            <w:r w:rsidRPr="005028E2">
              <w:rPr>
                <w:lang w:val="en-US"/>
              </w:rPr>
              <w:t>TECAN C (2017): Comparison of Absorbance- and Multimode Readers, In:</w:t>
            </w:r>
          </w:p>
          <w:p w:rsidR="00E55AD9" w:rsidRPr="005028E2" w:rsidRDefault="00E55AD9" w:rsidP="0018524E">
            <w:pPr>
              <w:rPr>
                <w:lang w:val="en-US"/>
              </w:rPr>
            </w:pPr>
            <w:r w:rsidRPr="0049656A">
              <w:rPr>
                <w:lang w:val="en-US"/>
              </w:rPr>
              <w:t>http://lifesciences.tecan.com/products/reader_and_washer/microplate_readers/reader_comparison?p=%20Multimode%20Reader%20Guide</w:t>
            </w:r>
          </w:p>
          <w:p w:rsidR="00E55AD9" w:rsidRDefault="00E55AD9" w:rsidP="0018524E">
            <w:r>
              <w:t>22.03.2017 14:14</w:t>
            </w:r>
          </w:p>
        </w:tc>
      </w:tr>
      <w:tr w:rsidR="00E55AD9" w:rsidRPr="00AD761C" w:rsidTr="00FA4C20">
        <w:trPr>
          <w:cantSplit/>
        </w:trPr>
        <w:tc>
          <w:tcPr>
            <w:tcW w:w="534" w:type="dxa"/>
          </w:tcPr>
          <w:p w:rsidR="00E55AD9" w:rsidRDefault="00E55AD9" w:rsidP="0006131C">
            <w:pPr>
              <w:jc w:val="left"/>
            </w:pPr>
            <w:r>
              <w:t>30</w:t>
            </w:r>
          </w:p>
        </w:tc>
        <w:tc>
          <w:tcPr>
            <w:tcW w:w="8754" w:type="dxa"/>
          </w:tcPr>
          <w:p w:rsidR="00E55AD9" w:rsidRPr="005028E2" w:rsidRDefault="00E55AD9" w:rsidP="004C505A">
            <w:pPr>
              <w:rPr>
                <w:lang w:val="en-US"/>
              </w:rPr>
            </w:pPr>
            <w:r w:rsidRPr="005028E2">
              <w:rPr>
                <w:lang w:val="en-US"/>
              </w:rPr>
              <w:t xml:space="preserve">THERMO FISHER (2017): Fluorescent Probes. In: </w:t>
            </w:r>
          </w:p>
          <w:p w:rsidR="00E55AD9" w:rsidRPr="005028E2" w:rsidRDefault="00E55AD9" w:rsidP="004C505A">
            <w:pPr>
              <w:rPr>
                <w:lang w:val="en-US"/>
              </w:rPr>
            </w:pPr>
            <w:r w:rsidRPr="0049656A">
              <w:rPr>
                <w:lang w:val="en-US"/>
              </w:rPr>
              <w:t>https://www.thermofisher.com/de/de/home/life-science/protein-biology/protein-biology-learning-center/protein-biology-resource-library/pierce-protein-methods/fluorescent-probes.html</w:t>
            </w:r>
          </w:p>
          <w:p w:rsidR="00E55AD9" w:rsidRDefault="00E55AD9" w:rsidP="004C505A">
            <w:r>
              <w:t>12.03.2017 14:20</w:t>
            </w:r>
          </w:p>
        </w:tc>
      </w:tr>
      <w:tr w:rsidR="00E55AD9" w:rsidRPr="00AD761C" w:rsidTr="00FA4C20">
        <w:trPr>
          <w:cantSplit/>
        </w:trPr>
        <w:tc>
          <w:tcPr>
            <w:tcW w:w="534" w:type="dxa"/>
          </w:tcPr>
          <w:p w:rsidR="00E55AD9" w:rsidRDefault="00E55AD9" w:rsidP="0006131C">
            <w:pPr>
              <w:jc w:val="left"/>
            </w:pPr>
            <w:r>
              <w:t>31</w:t>
            </w:r>
          </w:p>
        </w:tc>
        <w:tc>
          <w:tcPr>
            <w:tcW w:w="8754" w:type="dxa"/>
          </w:tcPr>
          <w:p w:rsidR="00E55AD9" w:rsidRPr="005028E2" w:rsidRDefault="00E55AD9" w:rsidP="00B167C4">
            <w:pPr>
              <w:rPr>
                <w:lang w:val="en-US"/>
              </w:rPr>
            </w:pPr>
            <w:r w:rsidRPr="005028E2">
              <w:rPr>
                <w:lang w:val="en-US"/>
              </w:rPr>
              <w:t xml:space="preserve">THERMO SCIENTIFIC (2009): </w:t>
            </w:r>
            <w:proofErr w:type="spellStart"/>
            <w:r w:rsidRPr="005028E2">
              <w:rPr>
                <w:lang w:val="en-US"/>
              </w:rPr>
              <w:t>Varioskan</w:t>
            </w:r>
            <w:proofErr w:type="spellEnd"/>
            <w:r w:rsidRPr="005028E2">
              <w:rPr>
                <w:lang w:val="en-US"/>
              </w:rPr>
              <w:t xml:space="preserve"> Flash Spectral Scanning Multimode Reader, In: </w:t>
            </w:r>
            <w:r w:rsidRPr="0049656A">
              <w:rPr>
                <w:lang w:val="en-US"/>
              </w:rPr>
              <w:t>http://www.level.com.tw/html/ezcatfiles/vipweb20/img/img/19201/varioskan.pdf</w:t>
            </w:r>
          </w:p>
          <w:p w:rsidR="00E55AD9" w:rsidRDefault="00E55AD9" w:rsidP="00B167C4">
            <w:r>
              <w:t>20.03.2017</w:t>
            </w:r>
          </w:p>
        </w:tc>
      </w:tr>
      <w:tr w:rsidR="00E55AD9" w:rsidRPr="00AD761C" w:rsidTr="00FA4C20">
        <w:trPr>
          <w:cantSplit/>
        </w:trPr>
        <w:tc>
          <w:tcPr>
            <w:tcW w:w="534" w:type="dxa"/>
          </w:tcPr>
          <w:p w:rsidR="00E55AD9" w:rsidRDefault="00E55AD9" w:rsidP="0006131C">
            <w:pPr>
              <w:jc w:val="left"/>
            </w:pPr>
            <w:r>
              <w:t>32</w:t>
            </w:r>
          </w:p>
        </w:tc>
        <w:tc>
          <w:tcPr>
            <w:tcW w:w="8754" w:type="dxa"/>
          </w:tcPr>
          <w:p w:rsidR="00E55AD9" w:rsidRPr="005028E2" w:rsidRDefault="00E55AD9" w:rsidP="0018524E">
            <w:pPr>
              <w:rPr>
                <w:lang w:val="en-US"/>
              </w:rPr>
            </w:pPr>
            <w:r w:rsidRPr="005028E2">
              <w:rPr>
                <w:lang w:val="en-US"/>
              </w:rPr>
              <w:t xml:space="preserve">THERMO SCIENTIFIC (2014): </w:t>
            </w:r>
            <w:proofErr w:type="spellStart"/>
            <w:r w:rsidRPr="005028E2">
              <w:rPr>
                <w:lang w:val="en-US"/>
              </w:rPr>
              <w:t>RapidStak</w:t>
            </w:r>
            <w:proofErr w:type="spellEnd"/>
            <w:r w:rsidRPr="005028E2">
              <w:rPr>
                <w:lang w:val="en-US"/>
              </w:rPr>
              <w:t xml:space="preserve"> </w:t>
            </w:r>
            <w:proofErr w:type="spellStart"/>
            <w:r w:rsidRPr="005028E2">
              <w:rPr>
                <w:lang w:val="en-US"/>
              </w:rPr>
              <w:t>Microplate</w:t>
            </w:r>
            <w:proofErr w:type="spellEnd"/>
            <w:r w:rsidRPr="005028E2">
              <w:rPr>
                <w:lang w:val="en-US"/>
              </w:rPr>
              <w:t xml:space="preserve"> Stacker, In:</w:t>
            </w:r>
          </w:p>
          <w:p w:rsidR="00E55AD9" w:rsidRPr="005028E2" w:rsidRDefault="00E55AD9" w:rsidP="0018524E">
            <w:pPr>
              <w:rPr>
                <w:lang w:val="en-US"/>
              </w:rPr>
            </w:pPr>
            <w:r w:rsidRPr="0049656A">
              <w:rPr>
                <w:lang w:val="en-US"/>
              </w:rPr>
              <w:t>http://tools.thermofisher.com/content/sfs/brochures/RapidStak_SpecSheet_2014.pdf</w:t>
            </w:r>
          </w:p>
          <w:p w:rsidR="00E55AD9" w:rsidRDefault="00E55AD9" w:rsidP="0018524E">
            <w:r>
              <w:t>22.03.2017 13:42</w:t>
            </w:r>
          </w:p>
        </w:tc>
      </w:tr>
      <w:tr w:rsidR="00E55AD9" w:rsidRPr="00AD761C" w:rsidTr="00FA4C20">
        <w:trPr>
          <w:cantSplit/>
        </w:trPr>
        <w:tc>
          <w:tcPr>
            <w:tcW w:w="534" w:type="dxa"/>
          </w:tcPr>
          <w:p w:rsidR="00E55AD9" w:rsidRDefault="00E55AD9" w:rsidP="0006131C">
            <w:pPr>
              <w:jc w:val="left"/>
            </w:pPr>
            <w:r>
              <w:t>33</w:t>
            </w:r>
          </w:p>
        </w:tc>
        <w:tc>
          <w:tcPr>
            <w:tcW w:w="8754" w:type="dxa"/>
          </w:tcPr>
          <w:p w:rsidR="00E55AD9" w:rsidRPr="005028E2" w:rsidRDefault="00E55AD9" w:rsidP="0018524E">
            <w:pPr>
              <w:rPr>
                <w:lang w:val="en-US"/>
              </w:rPr>
            </w:pPr>
            <w:r w:rsidRPr="005028E2">
              <w:rPr>
                <w:lang w:val="en-US"/>
              </w:rPr>
              <w:t xml:space="preserve">THERMO SCIENTIFIC (2016): </w:t>
            </w:r>
            <w:proofErr w:type="spellStart"/>
            <w:r w:rsidRPr="005028E2">
              <w:rPr>
                <w:lang w:val="en-US"/>
              </w:rPr>
              <w:t>Qubit</w:t>
            </w:r>
            <w:proofErr w:type="spellEnd"/>
            <w:r w:rsidRPr="005028E2">
              <w:rPr>
                <w:lang w:val="en-US"/>
              </w:rPr>
              <w:t xml:space="preserve"> </w:t>
            </w:r>
            <w:proofErr w:type="spellStart"/>
            <w:r w:rsidRPr="005028E2">
              <w:rPr>
                <w:lang w:val="en-US"/>
              </w:rPr>
              <w:t>Fluorometer</w:t>
            </w:r>
            <w:proofErr w:type="spellEnd"/>
            <w:r w:rsidRPr="005028E2">
              <w:rPr>
                <w:lang w:val="en-US"/>
              </w:rPr>
              <w:t xml:space="preserve"> vs. </w:t>
            </w:r>
            <w:proofErr w:type="spellStart"/>
            <w:r w:rsidRPr="005028E2">
              <w:rPr>
                <w:lang w:val="en-US"/>
              </w:rPr>
              <w:t>Quantus</w:t>
            </w:r>
            <w:proofErr w:type="spellEnd"/>
            <w:r w:rsidRPr="005028E2">
              <w:rPr>
                <w:lang w:val="en-US"/>
              </w:rPr>
              <w:t xml:space="preserve"> </w:t>
            </w:r>
            <w:proofErr w:type="spellStart"/>
            <w:r w:rsidRPr="005028E2">
              <w:rPr>
                <w:lang w:val="en-US"/>
              </w:rPr>
              <w:t>Fluorometer</w:t>
            </w:r>
            <w:proofErr w:type="spellEnd"/>
            <w:r w:rsidRPr="005028E2">
              <w:rPr>
                <w:lang w:val="en-US"/>
              </w:rPr>
              <w:t>, In:</w:t>
            </w:r>
          </w:p>
          <w:p w:rsidR="00E55AD9" w:rsidRPr="005028E2" w:rsidRDefault="00E55AD9" w:rsidP="0018524E">
            <w:pPr>
              <w:rPr>
                <w:lang w:val="en-US"/>
              </w:rPr>
            </w:pPr>
            <w:r w:rsidRPr="0049656A">
              <w:rPr>
                <w:lang w:val="en-US"/>
              </w:rPr>
              <w:t>https://tools.thermofisher.com/content/sfs/brochures/qubit-vs-quantas-fluorometer-app-note.pdf</w:t>
            </w:r>
          </w:p>
          <w:p w:rsidR="00E55AD9" w:rsidRDefault="00E55AD9" w:rsidP="0018524E">
            <w:r>
              <w:t>20.03.2017 11:24</w:t>
            </w:r>
          </w:p>
        </w:tc>
      </w:tr>
      <w:tr w:rsidR="00E55AD9" w:rsidRPr="00AD761C" w:rsidTr="00FA4C20">
        <w:trPr>
          <w:cantSplit/>
        </w:trPr>
        <w:tc>
          <w:tcPr>
            <w:tcW w:w="534" w:type="dxa"/>
          </w:tcPr>
          <w:p w:rsidR="00E55AD9" w:rsidRDefault="00E55AD9" w:rsidP="0006131C">
            <w:pPr>
              <w:jc w:val="left"/>
            </w:pPr>
            <w:r>
              <w:t>34</w:t>
            </w:r>
          </w:p>
        </w:tc>
        <w:tc>
          <w:tcPr>
            <w:tcW w:w="8754" w:type="dxa"/>
          </w:tcPr>
          <w:p w:rsidR="00E55AD9" w:rsidRPr="005028E2" w:rsidRDefault="00E55AD9" w:rsidP="0018524E">
            <w:pPr>
              <w:rPr>
                <w:lang w:val="en-US"/>
              </w:rPr>
            </w:pPr>
            <w:r w:rsidRPr="005028E2">
              <w:rPr>
                <w:lang w:val="en-US"/>
              </w:rPr>
              <w:t>THERMO SCIENTIFIC A (2017): Acoustic Focusing Technology Overview, In:</w:t>
            </w:r>
          </w:p>
          <w:p w:rsidR="00E55AD9" w:rsidRPr="005028E2" w:rsidRDefault="00E55AD9" w:rsidP="0018524E">
            <w:pPr>
              <w:rPr>
                <w:lang w:val="en-US"/>
              </w:rPr>
            </w:pPr>
            <w:r w:rsidRPr="0049656A">
              <w:rPr>
                <w:lang w:val="en-US"/>
              </w:rPr>
              <w:t>https://www.thermofisher.com/de/de/home/life-science/cell-analysis/flow-cytometry/flow-cytometers/acoustic-focusing-technology-overview.html</w:t>
            </w:r>
          </w:p>
          <w:p w:rsidR="00E55AD9" w:rsidRDefault="00E55AD9" w:rsidP="0018524E">
            <w:r>
              <w:t>31.03.2017</w:t>
            </w:r>
          </w:p>
        </w:tc>
      </w:tr>
      <w:tr w:rsidR="00E55AD9" w:rsidRPr="002B2F60" w:rsidTr="00FA4C20">
        <w:trPr>
          <w:cantSplit/>
        </w:trPr>
        <w:tc>
          <w:tcPr>
            <w:tcW w:w="534" w:type="dxa"/>
          </w:tcPr>
          <w:p w:rsidR="00E55AD9" w:rsidRDefault="00E55AD9" w:rsidP="0006131C">
            <w:pPr>
              <w:jc w:val="left"/>
            </w:pPr>
            <w:r>
              <w:t>35</w:t>
            </w:r>
          </w:p>
        </w:tc>
        <w:tc>
          <w:tcPr>
            <w:tcW w:w="8754" w:type="dxa"/>
          </w:tcPr>
          <w:p w:rsidR="00E55AD9" w:rsidRPr="005028E2" w:rsidRDefault="00E55AD9" w:rsidP="0018524E">
            <w:pPr>
              <w:rPr>
                <w:lang w:val="en-US"/>
              </w:rPr>
            </w:pPr>
            <w:r w:rsidRPr="005028E2">
              <w:rPr>
                <w:lang w:val="en-US"/>
              </w:rPr>
              <w:t>THERMO SCIENTIFIC B (2017): CV 2000 Liquid Handling System, In:</w:t>
            </w:r>
          </w:p>
          <w:p w:rsidR="00E55AD9" w:rsidRPr="005028E2" w:rsidRDefault="00E55AD9" w:rsidP="0018524E">
            <w:pPr>
              <w:rPr>
                <w:lang w:val="en-US"/>
              </w:rPr>
            </w:pPr>
            <w:r w:rsidRPr="0049656A">
              <w:rPr>
                <w:lang w:val="en-US"/>
              </w:rPr>
              <w:t>https://tools.thermofisher.com/content/sfs/brochures/CV2000-Brochure.pdf</w:t>
            </w:r>
          </w:p>
          <w:p w:rsidR="00E55AD9" w:rsidRDefault="00E55AD9" w:rsidP="0018524E">
            <w:r>
              <w:t>22.03.2017 13:46</w:t>
            </w:r>
          </w:p>
        </w:tc>
      </w:tr>
      <w:tr w:rsidR="00E55AD9" w:rsidRPr="00AD761C" w:rsidTr="00FA4C20">
        <w:trPr>
          <w:cantSplit/>
        </w:trPr>
        <w:tc>
          <w:tcPr>
            <w:tcW w:w="534" w:type="dxa"/>
          </w:tcPr>
          <w:p w:rsidR="00E55AD9" w:rsidRDefault="00E55AD9" w:rsidP="0006131C">
            <w:pPr>
              <w:jc w:val="left"/>
            </w:pPr>
            <w:r>
              <w:t>36</w:t>
            </w:r>
          </w:p>
        </w:tc>
        <w:tc>
          <w:tcPr>
            <w:tcW w:w="8754" w:type="dxa"/>
          </w:tcPr>
          <w:p w:rsidR="00E55AD9" w:rsidRPr="005028E2" w:rsidRDefault="00E55AD9" w:rsidP="0097198A">
            <w:pPr>
              <w:rPr>
                <w:lang w:val="en-US"/>
              </w:rPr>
            </w:pPr>
            <w:r w:rsidRPr="005028E2">
              <w:rPr>
                <w:lang w:val="en-US"/>
              </w:rPr>
              <w:t>TSURUTA, H. et al. (1995): An automated ELISA system using a pipette tip as a solid phase and a pH-sensitive field effect transistor as a detector, In:</w:t>
            </w:r>
          </w:p>
          <w:p w:rsidR="00E55AD9" w:rsidRPr="005028E2" w:rsidRDefault="00E55AD9" w:rsidP="0097198A">
            <w:pPr>
              <w:rPr>
                <w:lang w:val="en-US"/>
              </w:rPr>
            </w:pPr>
            <w:r w:rsidRPr="005028E2">
              <w:rPr>
                <w:lang w:val="en-US"/>
              </w:rPr>
              <w:t>Journal of Immunological Methods, Vol. 183, 1995</w:t>
            </w:r>
          </w:p>
        </w:tc>
      </w:tr>
      <w:tr w:rsidR="00E55AD9" w:rsidRPr="00AD761C" w:rsidTr="00FA4C20">
        <w:trPr>
          <w:cantSplit/>
        </w:trPr>
        <w:tc>
          <w:tcPr>
            <w:tcW w:w="534" w:type="dxa"/>
          </w:tcPr>
          <w:p w:rsidR="00E55AD9" w:rsidRDefault="00E55AD9" w:rsidP="0006131C">
            <w:pPr>
              <w:jc w:val="left"/>
            </w:pPr>
            <w:r>
              <w:t>37</w:t>
            </w:r>
          </w:p>
        </w:tc>
        <w:tc>
          <w:tcPr>
            <w:tcW w:w="8754" w:type="dxa"/>
          </w:tcPr>
          <w:p w:rsidR="00E55AD9" w:rsidRPr="005028E2" w:rsidRDefault="00E55AD9" w:rsidP="0018524E">
            <w:pPr>
              <w:rPr>
                <w:lang w:val="en-US"/>
              </w:rPr>
            </w:pPr>
            <w:r w:rsidRPr="005028E2">
              <w:rPr>
                <w:lang w:val="en-US"/>
              </w:rPr>
              <w:t xml:space="preserve">UEB (2017): Flow </w:t>
            </w:r>
            <w:proofErr w:type="spellStart"/>
            <w:r w:rsidRPr="005028E2">
              <w:rPr>
                <w:lang w:val="en-US"/>
              </w:rPr>
              <w:t>Cytometry</w:t>
            </w:r>
            <w:proofErr w:type="spellEnd"/>
            <w:r w:rsidRPr="005028E2">
              <w:rPr>
                <w:lang w:val="en-US"/>
              </w:rPr>
              <w:t>, In:</w:t>
            </w:r>
          </w:p>
          <w:p w:rsidR="00E55AD9" w:rsidRPr="005028E2" w:rsidRDefault="00E55AD9" w:rsidP="0018524E">
            <w:pPr>
              <w:rPr>
                <w:lang w:val="en-US"/>
              </w:rPr>
            </w:pPr>
            <w:r w:rsidRPr="0049656A">
              <w:rPr>
                <w:lang w:val="en-US"/>
              </w:rPr>
              <w:t>http://olomouc</w:t>
            </w:r>
            <w:r w:rsidRPr="0049656A">
              <w:rPr>
                <w:lang w:val="en-US"/>
              </w:rPr>
              <w:t>.</w:t>
            </w:r>
            <w:r w:rsidRPr="0049656A">
              <w:rPr>
                <w:lang w:val="en-US"/>
              </w:rPr>
              <w:t>ueb.cas.cz/book/basic-principles</w:t>
            </w:r>
          </w:p>
          <w:p w:rsidR="00E55AD9" w:rsidRDefault="00E55AD9" w:rsidP="0018524E">
            <w:r>
              <w:t>21.03.2017 12:10</w:t>
            </w:r>
          </w:p>
        </w:tc>
      </w:tr>
    </w:tbl>
    <w:p w:rsidR="000A6D8B" w:rsidRPr="005028E2" w:rsidRDefault="000A6D8B" w:rsidP="00542F2C">
      <w:pPr>
        <w:rPr>
          <w:lang w:val="en-US"/>
        </w:rPr>
      </w:pPr>
    </w:p>
    <w:sectPr w:rsidR="000A6D8B" w:rsidRPr="005028E2" w:rsidSect="00D5377B">
      <w:headerReference w:type="default" r:id="rId35"/>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90C8C" w:rsidRDefault="00590C8C" w:rsidP="0023687B">
      <w:pPr>
        <w:spacing w:after="0" w:line="240" w:lineRule="auto"/>
      </w:pPr>
      <w:r>
        <w:separator/>
      </w:r>
    </w:p>
  </w:endnote>
  <w:endnote w:type="continuationSeparator" w:id="0">
    <w:p w:rsidR="00590C8C" w:rsidRDefault="00590C8C" w:rsidP="002368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Verdana-Italic">
    <w:panose1 w:val="00000000000000000000"/>
    <w:charset w:val="00"/>
    <w:family w:val="swiss"/>
    <w:notTrueType/>
    <w:pitch w:val="default"/>
    <w:sig w:usb0="00000003" w:usb1="00000000" w:usb2="00000000" w:usb3="00000000" w:csb0="00000001" w:csb1="00000000"/>
  </w:font>
  <w:font w:name="TimesNewRomanPS-ItalicMT">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7182812"/>
      <w:docPartObj>
        <w:docPartGallery w:val="Page Numbers (Bottom of Page)"/>
        <w:docPartUnique/>
      </w:docPartObj>
    </w:sdtPr>
    <w:sdtContent>
      <w:p w:rsidR="00B17641" w:rsidRDefault="00B17641">
        <w:pPr>
          <w:pStyle w:val="Fuzeile"/>
          <w:jc w:val="right"/>
        </w:pPr>
        <w:r>
          <w:fldChar w:fldCharType="begin"/>
        </w:r>
        <w:r>
          <w:instrText>PAGE   \* MERGEFORMAT</w:instrText>
        </w:r>
        <w:r>
          <w:fldChar w:fldCharType="separate"/>
        </w:r>
        <w:r>
          <w:rPr>
            <w:noProof/>
          </w:rPr>
          <w:t>I</w:t>
        </w:r>
        <w:r>
          <w:fldChar w:fldCharType="end"/>
        </w:r>
      </w:p>
    </w:sdtContent>
  </w:sdt>
  <w:p w:rsidR="00B17641" w:rsidRDefault="00B17641">
    <w:pPr>
      <w:pStyle w:val="Fuzeil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65969385"/>
      <w:docPartObj>
        <w:docPartGallery w:val="Page Numbers (Bottom of Page)"/>
        <w:docPartUnique/>
      </w:docPartObj>
    </w:sdtPr>
    <w:sdtContent>
      <w:p w:rsidR="00B17641" w:rsidRDefault="00B17641">
        <w:pPr>
          <w:pStyle w:val="Fuzeile"/>
          <w:jc w:val="right"/>
        </w:pPr>
        <w:r>
          <w:fldChar w:fldCharType="begin"/>
        </w:r>
        <w:r>
          <w:instrText>PAGE   \* MERGEFORMAT</w:instrText>
        </w:r>
        <w:r>
          <w:fldChar w:fldCharType="separate"/>
        </w:r>
        <w:r>
          <w:rPr>
            <w:noProof/>
          </w:rPr>
          <w:t>2</w:t>
        </w:r>
        <w:r>
          <w:fldChar w:fldCharType="end"/>
        </w:r>
      </w:p>
    </w:sdtContent>
  </w:sdt>
  <w:p w:rsidR="00B17641" w:rsidRDefault="00B17641">
    <w:pPr>
      <w:pStyle w:val="Fuzeile"/>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3117548"/>
      <w:docPartObj>
        <w:docPartGallery w:val="Page Numbers (Bottom of Page)"/>
        <w:docPartUnique/>
      </w:docPartObj>
    </w:sdtPr>
    <w:sdtContent>
      <w:p w:rsidR="00B17641" w:rsidRDefault="00B17641">
        <w:pPr>
          <w:pStyle w:val="Fuzeile"/>
          <w:jc w:val="right"/>
        </w:pPr>
        <w:r>
          <w:fldChar w:fldCharType="begin"/>
        </w:r>
        <w:r>
          <w:instrText>PAGE   \* MERGEFORMAT</w:instrText>
        </w:r>
        <w:r>
          <w:fldChar w:fldCharType="separate"/>
        </w:r>
        <w:r w:rsidR="003C1588">
          <w:rPr>
            <w:noProof/>
          </w:rPr>
          <w:t>31</w:t>
        </w:r>
        <w:r>
          <w:fldChar w:fldCharType="end"/>
        </w:r>
      </w:p>
    </w:sdtContent>
  </w:sdt>
  <w:p w:rsidR="00B17641" w:rsidRDefault="00B17641">
    <w:pPr>
      <w:pStyle w:val="Fuzeil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90C8C" w:rsidRDefault="00590C8C" w:rsidP="0023687B">
      <w:pPr>
        <w:spacing w:after="0" w:line="240" w:lineRule="auto"/>
      </w:pPr>
      <w:r>
        <w:separator/>
      </w:r>
    </w:p>
  </w:footnote>
  <w:footnote w:type="continuationSeparator" w:id="0">
    <w:p w:rsidR="00590C8C" w:rsidRDefault="00590C8C" w:rsidP="0023687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7641" w:rsidRPr="00D5079C" w:rsidRDefault="00B17641" w:rsidP="000920D7">
    <w:pPr>
      <w:pStyle w:val="Kopfzeile"/>
      <w:jc w:val="right"/>
      <w:rPr>
        <w:sz w:val="22"/>
      </w:rPr>
    </w:pPr>
    <w:r w:rsidRPr="00D5079C">
      <w:rPr>
        <w:sz w:val="22"/>
      </w:rPr>
      <w:t>Abkürzungsverzeichnis</w:t>
    </w:r>
  </w:p>
  <w:p w:rsidR="00B17641" w:rsidRDefault="00B17641">
    <w:pPr>
      <w:pStyle w:val="Kopfzeil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7641" w:rsidRPr="00D5079C" w:rsidRDefault="00B17641" w:rsidP="000920D7">
    <w:pPr>
      <w:pStyle w:val="Kopfzeile"/>
      <w:jc w:val="right"/>
      <w:rPr>
        <w:sz w:val="22"/>
      </w:rPr>
    </w:pPr>
    <w:r>
      <w:rPr>
        <w:sz w:val="22"/>
      </w:rPr>
      <w:t>Inhaltsverzeichnis</w:t>
    </w:r>
  </w:p>
  <w:p w:rsidR="00B17641" w:rsidRDefault="00B17641">
    <w:pPr>
      <w:pStyle w:val="Kopfzeile"/>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7641" w:rsidRPr="00D5079C" w:rsidRDefault="00B17641" w:rsidP="000920D7">
    <w:pPr>
      <w:pStyle w:val="Kopfzeile"/>
      <w:jc w:val="right"/>
      <w:rPr>
        <w:sz w:val="22"/>
      </w:rPr>
    </w:pPr>
    <w:r>
      <w:rPr>
        <w:sz w:val="22"/>
      </w:rPr>
      <w:t>Abbildungsverzeichnis</w:t>
    </w:r>
  </w:p>
  <w:p w:rsidR="00B17641" w:rsidRDefault="00B17641">
    <w:pPr>
      <w:pStyle w:val="Kopfzeile"/>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7641" w:rsidRPr="00D5079C" w:rsidRDefault="00B17641" w:rsidP="000920D7">
    <w:pPr>
      <w:pStyle w:val="Kopfzeile"/>
      <w:jc w:val="right"/>
      <w:rPr>
        <w:sz w:val="22"/>
      </w:rPr>
    </w:pPr>
    <w:r>
      <w:rPr>
        <w:sz w:val="22"/>
      </w:rPr>
      <w:t>Einleitung</w:t>
    </w:r>
  </w:p>
  <w:p w:rsidR="00B17641" w:rsidRDefault="00B17641">
    <w:pPr>
      <w:pStyle w:val="Kopfzeile"/>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7641" w:rsidRPr="00D5079C" w:rsidRDefault="00B17641" w:rsidP="000920D7">
    <w:pPr>
      <w:pStyle w:val="Kopfzeile"/>
      <w:jc w:val="right"/>
      <w:rPr>
        <w:sz w:val="22"/>
      </w:rPr>
    </w:pPr>
    <w:r>
      <w:rPr>
        <w:sz w:val="22"/>
      </w:rPr>
      <w:t>Zielstellung</w:t>
    </w:r>
  </w:p>
  <w:p w:rsidR="00B17641" w:rsidRDefault="00B17641">
    <w:pPr>
      <w:pStyle w:val="Kopfzeile"/>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7641" w:rsidRPr="00D5079C" w:rsidRDefault="00B17641" w:rsidP="000920D7">
    <w:pPr>
      <w:pStyle w:val="Kopfzeile"/>
      <w:jc w:val="right"/>
      <w:rPr>
        <w:sz w:val="22"/>
      </w:rPr>
    </w:pPr>
    <w:r>
      <w:rPr>
        <w:sz w:val="22"/>
      </w:rPr>
      <w:t>Aktuelle Messsysteme</w:t>
    </w:r>
  </w:p>
  <w:p w:rsidR="00B17641" w:rsidRDefault="00B17641">
    <w:pPr>
      <w:pStyle w:val="Kopfzeile"/>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7641" w:rsidRPr="00D5079C" w:rsidRDefault="00B17641" w:rsidP="000920D7">
    <w:pPr>
      <w:pStyle w:val="Kopfzeile"/>
      <w:jc w:val="right"/>
      <w:rPr>
        <w:sz w:val="22"/>
      </w:rPr>
    </w:pPr>
    <w:r>
      <w:rPr>
        <w:sz w:val="22"/>
      </w:rPr>
      <w:t>Integration von Fluoreszenzdetektionssystemen in Liquid-Handling-Systeme</w:t>
    </w:r>
  </w:p>
  <w:p w:rsidR="00B17641" w:rsidRDefault="00B17641">
    <w:pPr>
      <w:pStyle w:val="Kopfzeile"/>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7641" w:rsidRPr="00D5079C" w:rsidRDefault="00B17641" w:rsidP="000920D7">
    <w:pPr>
      <w:pStyle w:val="Kopfzeile"/>
      <w:jc w:val="right"/>
      <w:rPr>
        <w:sz w:val="22"/>
      </w:rPr>
    </w:pPr>
    <w:r>
      <w:rPr>
        <w:sz w:val="22"/>
      </w:rPr>
      <w:t>Zusammenfassung</w:t>
    </w:r>
  </w:p>
  <w:p w:rsidR="00B17641" w:rsidRDefault="00B17641">
    <w:pPr>
      <w:pStyle w:val="Kopfzeile"/>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7641" w:rsidRPr="00D5079C" w:rsidRDefault="00B17641" w:rsidP="000920D7">
    <w:pPr>
      <w:pStyle w:val="Kopfzeile"/>
      <w:jc w:val="right"/>
      <w:rPr>
        <w:sz w:val="22"/>
      </w:rPr>
    </w:pPr>
    <w:r>
      <w:rPr>
        <w:sz w:val="22"/>
      </w:rPr>
      <w:t>Literaturverzeichnis</w:t>
    </w:r>
  </w:p>
  <w:p w:rsidR="00B17641" w:rsidRDefault="00B17641">
    <w:pPr>
      <w:pStyle w:val="Kopfzeil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58402F"/>
    <w:multiLevelType w:val="hybridMultilevel"/>
    <w:tmpl w:val="336E4E5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nsid w:val="09D97BEC"/>
    <w:multiLevelType w:val="hybridMultilevel"/>
    <w:tmpl w:val="DAF219E2"/>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nsid w:val="10B11C2D"/>
    <w:multiLevelType w:val="multilevel"/>
    <w:tmpl w:val="57B05160"/>
    <w:lvl w:ilvl="0">
      <w:start w:val="27"/>
      <w:numFmt w:val="decimal"/>
      <w:lvlText w:val="%1"/>
      <w:lvlJc w:val="left"/>
      <w:pPr>
        <w:ind w:left="450" w:hanging="450"/>
      </w:pPr>
      <w:rPr>
        <w:rFonts w:eastAsiaTheme="minorHAnsi" w:cstheme="minorBidi" w:hint="default"/>
        <w:b w:val="0"/>
        <w:sz w:val="24"/>
      </w:rPr>
    </w:lvl>
    <w:lvl w:ilvl="1">
      <w:start w:val="1"/>
      <w:numFmt w:val="decimalZero"/>
      <w:lvlText w:val="%1.%2"/>
      <w:lvlJc w:val="left"/>
      <w:pPr>
        <w:ind w:left="450" w:hanging="450"/>
      </w:pPr>
      <w:rPr>
        <w:rFonts w:eastAsiaTheme="minorHAnsi" w:cstheme="minorBidi" w:hint="default"/>
        <w:b w:val="0"/>
        <w:sz w:val="24"/>
      </w:rPr>
    </w:lvl>
    <w:lvl w:ilvl="2">
      <w:start w:val="1"/>
      <w:numFmt w:val="decimal"/>
      <w:lvlText w:val="%1.%2.%3"/>
      <w:lvlJc w:val="left"/>
      <w:pPr>
        <w:ind w:left="720" w:hanging="720"/>
      </w:pPr>
      <w:rPr>
        <w:rFonts w:eastAsiaTheme="minorHAnsi" w:cstheme="minorBidi" w:hint="default"/>
        <w:b w:val="0"/>
        <w:sz w:val="24"/>
      </w:rPr>
    </w:lvl>
    <w:lvl w:ilvl="3">
      <w:start w:val="1"/>
      <w:numFmt w:val="decimal"/>
      <w:lvlText w:val="%1.%2.%3.%4"/>
      <w:lvlJc w:val="left"/>
      <w:pPr>
        <w:ind w:left="720" w:hanging="720"/>
      </w:pPr>
      <w:rPr>
        <w:rFonts w:eastAsiaTheme="minorHAnsi" w:cstheme="minorBidi" w:hint="default"/>
        <w:b w:val="0"/>
        <w:sz w:val="24"/>
      </w:rPr>
    </w:lvl>
    <w:lvl w:ilvl="4">
      <w:start w:val="1"/>
      <w:numFmt w:val="decimal"/>
      <w:lvlText w:val="%1.%2.%3.%4.%5"/>
      <w:lvlJc w:val="left"/>
      <w:pPr>
        <w:ind w:left="1080" w:hanging="1080"/>
      </w:pPr>
      <w:rPr>
        <w:rFonts w:eastAsiaTheme="minorHAnsi" w:cstheme="minorBidi" w:hint="default"/>
        <w:b w:val="0"/>
        <w:sz w:val="24"/>
      </w:rPr>
    </w:lvl>
    <w:lvl w:ilvl="5">
      <w:start w:val="1"/>
      <w:numFmt w:val="decimal"/>
      <w:lvlText w:val="%1.%2.%3.%4.%5.%6"/>
      <w:lvlJc w:val="left"/>
      <w:pPr>
        <w:ind w:left="1080" w:hanging="1080"/>
      </w:pPr>
      <w:rPr>
        <w:rFonts w:eastAsiaTheme="minorHAnsi" w:cstheme="minorBidi" w:hint="default"/>
        <w:b w:val="0"/>
        <w:sz w:val="24"/>
      </w:rPr>
    </w:lvl>
    <w:lvl w:ilvl="6">
      <w:start w:val="1"/>
      <w:numFmt w:val="decimal"/>
      <w:lvlText w:val="%1.%2.%3.%4.%5.%6.%7"/>
      <w:lvlJc w:val="left"/>
      <w:pPr>
        <w:ind w:left="1440" w:hanging="1440"/>
      </w:pPr>
      <w:rPr>
        <w:rFonts w:eastAsiaTheme="minorHAnsi" w:cstheme="minorBidi" w:hint="default"/>
        <w:b w:val="0"/>
        <w:sz w:val="24"/>
      </w:rPr>
    </w:lvl>
    <w:lvl w:ilvl="7">
      <w:start w:val="1"/>
      <w:numFmt w:val="decimal"/>
      <w:lvlText w:val="%1.%2.%3.%4.%5.%6.%7.%8"/>
      <w:lvlJc w:val="left"/>
      <w:pPr>
        <w:ind w:left="1440" w:hanging="1440"/>
      </w:pPr>
      <w:rPr>
        <w:rFonts w:eastAsiaTheme="minorHAnsi" w:cstheme="minorBidi" w:hint="default"/>
        <w:b w:val="0"/>
        <w:sz w:val="24"/>
      </w:rPr>
    </w:lvl>
    <w:lvl w:ilvl="8">
      <w:start w:val="1"/>
      <w:numFmt w:val="decimal"/>
      <w:lvlText w:val="%1.%2.%3.%4.%5.%6.%7.%8.%9"/>
      <w:lvlJc w:val="left"/>
      <w:pPr>
        <w:ind w:left="1800" w:hanging="1800"/>
      </w:pPr>
      <w:rPr>
        <w:rFonts w:eastAsiaTheme="minorHAnsi" w:cstheme="minorBidi" w:hint="default"/>
        <w:b w:val="0"/>
        <w:sz w:val="24"/>
      </w:rPr>
    </w:lvl>
  </w:abstractNum>
  <w:abstractNum w:abstractNumId="3">
    <w:nsid w:val="1BCC20D8"/>
    <w:multiLevelType w:val="multilevel"/>
    <w:tmpl w:val="66F8C450"/>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nsid w:val="1FFE1AB3"/>
    <w:multiLevelType w:val="multilevel"/>
    <w:tmpl w:val="119E5198"/>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8947F9F"/>
    <w:multiLevelType w:val="hybridMultilevel"/>
    <w:tmpl w:val="7F12496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nsid w:val="292072B8"/>
    <w:multiLevelType w:val="multilevel"/>
    <w:tmpl w:val="7CDC77D8"/>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295602E7"/>
    <w:multiLevelType w:val="hybridMultilevel"/>
    <w:tmpl w:val="576ADF52"/>
    <w:lvl w:ilvl="0" w:tplc="97C4A6D2">
      <w:start w:val="99"/>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nsid w:val="3B87623E"/>
    <w:multiLevelType w:val="hybridMultilevel"/>
    <w:tmpl w:val="472278B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9">
    <w:nsid w:val="3F457706"/>
    <w:multiLevelType w:val="hybridMultilevel"/>
    <w:tmpl w:val="E7FC5E9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nsid w:val="4D5623A1"/>
    <w:multiLevelType w:val="multilevel"/>
    <w:tmpl w:val="3634D7D6"/>
    <w:lvl w:ilvl="0">
      <w:start w:val="13"/>
      <w:numFmt w:val="decimal"/>
      <w:lvlText w:val="%1"/>
      <w:lvlJc w:val="left"/>
      <w:pPr>
        <w:ind w:left="450" w:hanging="450"/>
      </w:pPr>
      <w:rPr>
        <w:rFonts w:eastAsiaTheme="minorHAnsi" w:cstheme="minorBidi" w:hint="default"/>
        <w:b w:val="0"/>
        <w:sz w:val="24"/>
      </w:rPr>
    </w:lvl>
    <w:lvl w:ilvl="1">
      <w:start w:val="3"/>
      <w:numFmt w:val="decimalZero"/>
      <w:lvlText w:val="%1.%2"/>
      <w:lvlJc w:val="left"/>
      <w:pPr>
        <w:ind w:left="450" w:hanging="450"/>
      </w:pPr>
      <w:rPr>
        <w:rFonts w:eastAsiaTheme="minorHAnsi" w:cstheme="minorBidi" w:hint="default"/>
        <w:b w:val="0"/>
        <w:sz w:val="24"/>
      </w:rPr>
    </w:lvl>
    <w:lvl w:ilvl="2">
      <w:start w:val="1"/>
      <w:numFmt w:val="decimal"/>
      <w:lvlText w:val="%1.%2.%3"/>
      <w:lvlJc w:val="left"/>
      <w:pPr>
        <w:ind w:left="720" w:hanging="720"/>
      </w:pPr>
      <w:rPr>
        <w:rFonts w:eastAsiaTheme="minorHAnsi" w:cstheme="minorBidi" w:hint="default"/>
        <w:b w:val="0"/>
        <w:sz w:val="24"/>
      </w:rPr>
    </w:lvl>
    <w:lvl w:ilvl="3">
      <w:start w:val="1"/>
      <w:numFmt w:val="decimal"/>
      <w:lvlText w:val="%1.%2.%3.%4"/>
      <w:lvlJc w:val="left"/>
      <w:pPr>
        <w:ind w:left="720" w:hanging="720"/>
      </w:pPr>
      <w:rPr>
        <w:rFonts w:eastAsiaTheme="minorHAnsi" w:cstheme="minorBidi" w:hint="default"/>
        <w:b w:val="0"/>
        <w:sz w:val="24"/>
      </w:rPr>
    </w:lvl>
    <w:lvl w:ilvl="4">
      <w:start w:val="1"/>
      <w:numFmt w:val="decimal"/>
      <w:lvlText w:val="%1.%2.%3.%4.%5"/>
      <w:lvlJc w:val="left"/>
      <w:pPr>
        <w:ind w:left="1080" w:hanging="1080"/>
      </w:pPr>
      <w:rPr>
        <w:rFonts w:eastAsiaTheme="minorHAnsi" w:cstheme="minorBidi" w:hint="default"/>
        <w:b w:val="0"/>
        <w:sz w:val="24"/>
      </w:rPr>
    </w:lvl>
    <w:lvl w:ilvl="5">
      <w:start w:val="1"/>
      <w:numFmt w:val="decimal"/>
      <w:lvlText w:val="%1.%2.%3.%4.%5.%6"/>
      <w:lvlJc w:val="left"/>
      <w:pPr>
        <w:ind w:left="1080" w:hanging="1080"/>
      </w:pPr>
      <w:rPr>
        <w:rFonts w:eastAsiaTheme="minorHAnsi" w:cstheme="minorBidi" w:hint="default"/>
        <w:b w:val="0"/>
        <w:sz w:val="24"/>
      </w:rPr>
    </w:lvl>
    <w:lvl w:ilvl="6">
      <w:start w:val="1"/>
      <w:numFmt w:val="decimal"/>
      <w:lvlText w:val="%1.%2.%3.%4.%5.%6.%7"/>
      <w:lvlJc w:val="left"/>
      <w:pPr>
        <w:ind w:left="1440" w:hanging="1440"/>
      </w:pPr>
      <w:rPr>
        <w:rFonts w:eastAsiaTheme="minorHAnsi" w:cstheme="minorBidi" w:hint="default"/>
        <w:b w:val="0"/>
        <w:sz w:val="24"/>
      </w:rPr>
    </w:lvl>
    <w:lvl w:ilvl="7">
      <w:start w:val="1"/>
      <w:numFmt w:val="decimal"/>
      <w:lvlText w:val="%1.%2.%3.%4.%5.%6.%7.%8"/>
      <w:lvlJc w:val="left"/>
      <w:pPr>
        <w:ind w:left="1440" w:hanging="1440"/>
      </w:pPr>
      <w:rPr>
        <w:rFonts w:eastAsiaTheme="minorHAnsi" w:cstheme="minorBidi" w:hint="default"/>
        <w:b w:val="0"/>
        <w:sz w:val="24"/>
      </w:rPr>
    </w:lvl>
    <w:lvl w:ilvl="8">
      <w:start w:val="1"/>
      <w:numFmt w:val="decimal"/>
      <w:lvlText w:val="%1.%2.%3.%4.%5.%6.%7.%8.%9"/>
      <w:lvlJc w:val="left"/>
      <w:pPr>
        <w:ind w:left="1800" w:hanging="1800"/>
      </w:pPr>
      <w:rPr>
        <w:rFonts w:eastAsiaTheme="minorHAnsi" w:cstheme="minorBidi" w:hint="default"/>
        <w:b w:val="0"/>
        <w:sz w:val="24"/>
      </w:rPr>
    </w:lvl>
  </w:abstractNum>
  <w:abstractNum w:abstractNumId="11">
    <w:nsid w:val="4DE225DF"/>
    <w:multiLevelType w:val="hybridMultilevel"/>
    <w:tmpl w:val="0B68F33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nsid w:val="5AA403A8"/>
    <w:multiLevelType w:val="hybridMultilevel"/>
    <w:tmpl w:val="CFAED03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nsid w:val="6032271D"/>
    <w:multiLevelType w:val="hybridMultilevel"/>
    <w:tmpl w:val="89F0274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nsid w:val="6439335A"/>
    <w:multiLevelType w:val="hybridMultilevel"/>
    <w:tmpl w:val="9A98504C"/>
    <w:lvl w:ilvl="0" w:tplc="0407000F">
      <w:start w:val="1"/>
      <w:numFmt w:val="decimal"/>
      <w:lvlText w:val="%1."/>
      <w:lvlJc w:val="left"/>
      <w:pPr>
        <w:ind w:left="720" w:hanging="360"/>
      </w:pPr>
      <w:rPr>
        <w:rFonts w:hint="default"/>
      </w:rPr>
    </w:lvl>
    <w:lvl w:ilvl="1" w:tplc="0407000F">
      <w:start w:val="1"/>
      <w:numFmt w:val="decimal"/>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nsid w:val="64973AC6"/>
    <w:multiLevelType w:val="multilevel"/>
    <w:tmpl w:val="71D2269C"/>
    <w:lvl w:ilvl="0">
      <w:start w:val="1"/>
      <w:numFmt w:val="decimal"/>
      <w:lvlText w:val="%1"/>
      <w:lvlJc w:val="left"/>
      <w:pPr>
        <w:ind w:left="375" w:hanging="375"/>
      </w:pPr>
      <w:rPr>
        <w:rFonts w:hint="default"/>
        <w:i/>
      </w:rPr>
    </w:lvl>
    <w:lvl w:ilvl="1">
      <w:start w:val="4"/>
      <w:numFmt w:val="decimal"/>
      <w:lvlText w:val="%1.%2"/>
      <w:lvlJc w:val="left"/>
      <w:pPr>
        <w:ind w:left="375" w:hanging="375"/>
      </w:pPr>
      <w:rPr>
        <w:rFonts w:hint="default"/>
        <w:i w:val="0"/>
      </w:rPr>
    </w:lvl>
    <w:lvl w:ilvl="2">
      <w:start w:val="1"/>
      <w:numFmt w:val="decimal"/>
      <w:lvlText w:val="%1.%2.%3"/>
      <w:lvlJc w:val="left"/>
      <w:pPr>
        <w:ind w:left="720" w:hanging="720"/>
      </w:pPr>
      <w:rPr>
        <w:rFonts w:hint="default"/>
        <w:i/>
      </w:rPr>
    </w:lvl>
    <w:lvl w:ilvl="3">
      <w:start w:val="1"/>
      <w:numFmt w:val="decimal"/>
      <w:lvlText w:val="%1.%2.%3.%4"/>
      <w:lvlJc w:val="left"/>
      <w:pPr>
        <w:ind w:left="1080" w:hanging="1080"/>
      </w:pPr>
      <w:rPr>
        <w:rFonts w:hint="default"/>
        <w:i/>
      </w:rPr>
    </w:lvl>
    <w:lvl w:ilvl="4">
      <w:start w:val="1"/>
      <w:numFmt w:val="decimal"/>
      <w:lvlText w:val="%1.%2.%3.%4.%5"/>
      <w:lvlJc w:val="left"/>
      <w:pPr>
        <w:ind w:left="1080" w:hanging="1080"/>
      </w:pPr>
      <w:rPr>
        <w:rFonts w:hint="default"/>
        <w:i/>
      </w:rPr>
    </w:lvl>
    <w:lvl w:ilvl="5">
      <w:start w:val="1"/>
      <w:numFmt w:val="decimal"/>
      <w:lvlText w:val="%1.%2.%3.%4.%5.%6"/>
      <w:lvlJc w:val="left"/>
      <w:pPr>
        <w:ind w:left="1440" w:hanging="1440"/>
      </w:pPr>
      <w:rPr>
        <w:rFonts w:hint="default"/>
        <w:i/>
      </w:rPr>
    </w:lvl>
    <w:lvl w:ilvl="6">
      <w:start w:val="1"/>
      <w:numFmt w:val="decimal"/>
      <w:lvlText w:val="%1.%2.%3.%4.%5.%6.%7"/>
      <w:lvlJc w:val="left"/>
      <w:pPr>
        <w:ind w:left="1440" w:hanging="1440"/>
      </w:pPr>
      <w:rPr>
        <w:rFonts w:hint="default"/>
        <w:i/>
      </w:rPr>
    </w:lvl>
    <w:lvl w:ilvl="7">
      <w:start w:val="1"/>
      <w:numFmt w:val="decimal"/>
      <w:lvlText w:val="%1.%2.%3.%4.%5.%6.%7.%8"/>
      <w:lvlJc w:val="left"/>
      <w:pPr>
        <w:ind w:left="1800" w:hanging="1800"/>
      </w:pPr>
      <w:rPr>
        <w:rFonts w:hint="default"/>
        <w:i/>
      </w:rPr>
    </w:lvl>
    <w:lvl w:ilvl="8">
      <w:start w:val="1"/>
      <w:numFmt w:val="decimal"/>
      <w:lvlText w:val="%1.%2.%3.%4.%5.%6.%7.%8.%9"/>
      <w:lvlJc w:val="left"/>
      <w:pPr>
        <w:ind w:left="2160" w:hanging="2160"/>
      </w:pPr>
      <w:rPr>
        <w:rFonts w:hint="default"/>
        <w:i/>
      </w:rPr>
    </w:lvl>
  </w:abstractNum>
  <w:abstractNum w:abstractNumId="16">
    <w:nsid w:val="69900882"/>
    <w:multiLevelType w:val="multilevel"/>
    <w:tmpl w:val="2E143CDC"/>
    <w:lvl w:ilvl="0">
      <w:start w:val="13"/>
      <w:numFmt w:val="decimal"/>
      <w:lvlText w:val="%1"/>
      <w:lvlJc w:val="left"/>
      <w:pPr>
        <w:ind w:left="450" w:hanging="450"/>
      </w:pPr>
      <w:rPr>
        <w:rFonts w:eastAsiaTheme="minorHAnsi" w:cstheme="minorBidi" w:hint="default"/>
        <w:b w:val="0"/>
        <w:sz w:val="24"/>
      </w:rPr>
    </w:lvl>
    <w:lvl w:ilvl="1">
      <w:start w:val="3"/>
      <w:numFmt w:val="decimalZero"/>
      <w:lvlText w:val="%1.%2"/>
      <w:lvlJc w:val="left"/>
      <w:pPr>
        <w:ind w:left="450" w:hanging="450"/>
      </w:pPr>
      <w:rPr>
        <w:rFonts w:eastAsiaTheme="minorHAnsi" w:cstheme="minorBidi" w:hint="default"/>
        <w:b w:val="0"/>
        <w:sz w:val="24"/>
      </w:rPr>
    </w:lvl>
    <w:lvl w:ilvl="2">
      <w:start w:val="1"/>
      <w:numFmt w:val="decimal"/>
      <w:lvlText w:val="%1.%2.%3"/>
      <w:lvlJc w:val="left"/>
      <w:pPr>
        <w:ind w:left="720" w:hanging="720"/>
      </w:pPr>
      <w:rPr>
        <w:rFonts w:eastAsiaTheme="minorHAnsi" w:cstheme="minorBidi" w:hint="default"/>
        <w:b w:val="0"/>
        <w:sz w:val="24"/>
      </w:rPr>
    </w:lvl>
    <w:lvl w:ilvl="3">
      <w:start w:val="1"/>
      <w:numFmt w:val="decimal"/>
      <w:lvlText w:val="%1.%2.%3.%4"/>
      <w:lvlJc w:val="left"/>
      <w:pPr>
        <w:ind w:left="720" w:hanging="720"/>
      </w:pPr>
      <w:rPr>
        <w:rFonts w:eastAsiaTheme="minorHAnsi" w:cstheme="minorBidi" w:hint="default"/>
        <w:b w:val="0"/>
        <w:sz w:val="24"/>
      </w:rPr>
    </w:lvl>
    <w:lvl w:ilvl="4">
      <w:start w:val="1"/>
      <w:numFmt w:val="decimal"/>
      <w:lvlText w:val="%1.%2.%3.%4.%5"/>
      <w:lvlJc w:val="left"/>
      <w:pPr>
        <w:ind w:left="1080" w:hanging="1080"/>
      </w:pPr>
      <w:rPr>
        <w:rFonts w:eastAsiaTheme="minorHAnsi" w:cstheme="minorBidi" w:hint="default"/>
        <w:b w:val="0"/>
        <w:sz w:val="24"/>
      </w:rPr>
    </w:lvl>
    <w:lvl w:ilvl="5">
      <w:start w:val="1"/>
      <w:numFmt w:val="decimal"/>
      <w:lvlText w:val="%1.%2.%3.%4.%5.%6"/>
      <w:lvlJc w:val="left"/>
      <w:pPr>
        <w:ind w:left="1080" w:hanging="1080"/>
      </w:pPr>
      <w:rPr>
        <w:rFonts w:eastAsiaTheme="minorHAnsi" w:cstheme="minorBidi" w:hint="default"/>
        <w:b w:val="0"/>
        <w:sz w:val="24"/>
      </w:rPr>
    </w:lvl>
    <w:lvl w:ilvl="6">
      <w:start w:val="1"/>
      <w:numFmt w:val="decimal"/>
      <w:lvlText w:val="%1.%2.%3.%4.%5.%6.%7"/>
      <w:lvlJc w:val="left"/>
      <w:pPr>
        <w:ind w:left="1440" w:hanging="1440"/>
      </w:pPr>
      <w:rPr>
        <w:rFonts w:eastAsiaTheme="minorHAnsi" w:cstheme="minorBidi" w:hint="default"/>
        <w:b w:val="0"/>
        <w:sz w:val="24"/>
      </w:rPr>
    </w:lvl>
    <w:lvl w:ilvl="7">
      <w:start w:val="1"/>
      <w:numFmt w:val="decimal"/>
      <w:lvlText w:val="%1.%2.%3.%4.%5.%6.%7.%8"/>
      <w:lvlJc w:val="left"/>
      <w:pPr>
        <w:ind w:left="1440" w:hanging="1440"/>
      </w:pPr>
      <w:rPr>
        <w:rFonts w:eastAsiaTheme="minorHAnsi" w:cstheme="minorBidi" w:hint="default"/>
        <w:b w:val="0"/>
        <w:sz w:val="24"/>
      </w:rPr>
    </w:lvl>
    <w:lvl w:ilvl="8">
      <w:start w:val="1"/>
      <w:numFmt w:val="decimal"/>
      <w:lvlText w:val="%1.%2.%3.%4.%5.%6.%7.%8.%9"/>
      <w:lvlJc w:val="left"/>
      <w:pPr>
        <w:ind w:left="1800" w:hanging="1800"/>
      </w:pPr>
      <w:rPr>
        <w:rFonts w:eastAsiaTheme="minorHAnsi" w:cstheme="minorBidi" w:hint="default"/>
        <w:b w:val="0"/>
        <w:sz w:val="24"/>
      </w:rPr>
    </w:lvl>
  </w:abstractNum>
  <w:abstractNum w:abstractNumId="17">
    <w:nsid w:val="7F007899"/>
    <w:multiLevelType w:val="hybridMultilevel"/>
    <w:tmpl w:val="F0C2F4C0"/>
    <w:lvl w:ilvl="0" w:tplc="D2583710">
      <w:start w:val="4"/>
      <w:numFmt w:val="bullet"/>
      <w:lvlText w:val="-"/>
      <w:lvlJc w:val="left"/>
      <w:pPr>
        <w:ind w:left="420" w:hanging="360"/>
      </w:pPr>
      <w:rPr>
        <w:rFonts w:ascii="Times New Roman" w:eastAsiaTheme="minorHAnsi" w:hAnsi="Times New Roman" w:cs="Times New Roman" w:hint="default"/>
      </w:rPr>
    </w:lvl>
    <w:lvl w:ilvl="1" w:tplc="04070003" w:tentative="1">
      <w:start w:val="1"/>
      <w:numFmt w:val="bullet"/>
      <w:lvlText w:val="o"/>
      <w:lvlJc w:val="left"/>
      <w:pPr>
        <w:ind w:left="1140" w:hanging="360"/>
      </w:pPr>
      <w:rPr>
        <w:rFonts w:ascii="Courier New" w:hAnsi="Courier New" w:cs="Courier New" w:hint="default"/>
      </w:rPr>
    </w:lvl>
    <w:lvl w:ilvl="2" w:tplc="04070005" w:tentative="1">
      <w:start w:val="1"/>
      <w:numFmt w:val="bullet"/>
      <w:lvlText w:val=""/>
      <w:lvlJc w:val="left"/>
      <w:pPr>
        <w:ind w:left="1860" w:hanging="360"/>
      </w:pPr>
      <w:rPr>
        <w:rFonts w:ascii="Wingdings" w:hAnsi="Wingdings" w:hint="default"/>
      </w:rPr>
    </w:lvl>
    <w:lvl w:ilvl="3" w:tplc="04070001" w:tentative="1">
      <w:start w:val="1"/>
      <w:numFmt w:val="bullet"/>
      <w:lvlText w:val=""/>
      <w:lvlJc w:val="left"/>
      <w:pPr>
        <w:ind w:left="2580" w:hanging="360"/>
      </w:pPr>
      <w:rPr>
        <w:rFonts w:ascii="Symbol" w:hAnsi="Symbol" w:hint="default"/>
      </w:rPr>
    </w:lvl>
    <w:lvl w:ilvl="4" w:tplc="04070003" w:tentative="1">
      <w:start w:val="1"/>
      <w:numFmt w:val="bullet"/>
      <w:lvlText w:val="o"/>
      <w:lvlJc w:val="left"/>
      <w:pPr>
        <w:ind w:left="3300" w:hanging="360"/>
      </w:pPr>
      <w:rPr>
        <w:rFonts w:ascii="Courier New" w:hAnsi="Courier New" w:cs="Courier New" w:hint="default"/>
      </w:rPr>
    </w:lvl>
    <w:lvl w:ilvl="5" w:tplc="04070005" w:tentative="1">
      <w:start w:val="1"/>
      <w:numFmt w:val="bullet"/>
      <w:lvlText w:val=""/>
      <w:lvlJc w:val="left"/>
      <w:pPr>
        <w:ind w:left="4020" w:hanging="360"/>
      </w:pPr>
      <w:rPr>
        <w:rFonts w:ascii="Wingdings" w:hAnsi="Wingdings" w:hint="default"/>
      </w:rPr>
    </w:lvl>
    <w:lvl w:ilvl="6" w:tplc="04070001" w:tentative="1">
      <w:start w:val="1"/>
      <w:numFmt w:val="bullet"/>
      <w:lvlText w:val=""/>
      <w:lvlJc w:val="left"/>
      <w:pPr>
        <w:ind w:left="4740" w:hanging="360"/>
      </w:pPr>
      <w:rPr>
        <w:rFonts w:ascii="Symbol" w:hAnsi="Symbol" w:hint="default"/>
      </w:rPr>
    </w:lvl>
    <w:lvl w:ilvl="7" w:tplc="04070003" w:tentative="1">
      <w:start w:val="1"/>
      <w:numFmt w:val="bullet"/>
      <w:lvlText w:val="o"/>
      <w:lvlJc w:val="left"/>
      <w:pPr>
        <w:ind w:left="5460" w:hanging="360"/>
      </w:pPr>
      <w:rPr>
        <w:rFonts w:ascii="Courier New" w:hAnsi="Courier New" w:cs="Courier New" w:hint="default"/>
      </w:rPr>
    </w:lvl>
    <w:lvl w:ilvl="8" w:tplc="04070005" w:tentative="1">
      <w:start w:val="1"/>
      <w:numFmt w:val="bullet"/>
      <w:lvlText w:val=""/>
      <w:lvlJc w:val="left"/>
      <w:pPr>
        <w:ind w:left="6180" w:hanging="360"/>
      </w:pPr>
      <w:rPr>
        <w:rFonts w:ascii="Wingdings" w:hAnsi="Wingdings" w:hint="default"/>
      </w:rPr>
    </w:lvl>
  </w:abstractNum>
  <w:num w:numId="1">
    <w:abstractNumId w:val="14"/>
  </w:num>
  <w:num w:numId="2">
    <w:abstractNumId w:val="7"/>
  </w:num>
  <w:num w:numId="3">
    <w:abstractNumId w:val="1"/>
  </w:num>
  <w:num w:numId="4">
    <w:abstractNumId w:val="4"/>
  </w:num>
  <w:num w:numId="5">
    <w:abstractNumId w:val="3"/>
  </w:num>
  <w:num w:numId="6">
    <w:abstractNumId w:val="17"/>
  </w:num>
  <w:num w:numId="7">
    <w:abstractNumId w:val="6"/>
  </w:num>
  <w:num w:numId="8">
    <w:abstractNumId w:val="2"/>
  </w:num>
  <w:num w:numId="9">
    <w:abstractNumId w:val="15"/>
  </w:num>
  <w:num w:numId="10">
    <w:abstractNumId w:val="13"/>
  </w:num>
  <w:num w:numId="11">
    <w:abstractNumId w:val="0"/>
  </w:num>
  <w:num w:numId="12">
    <w:abstractNumId w:val="5"/>
  </w:num>
  <w:num w:numId="13">
    <w:abstractNumId w:val="10"/>
  </w:num>
  <w:num w:numId="14">
    <w:abstractNumId w:val="16"/>
  </w:num>
  <w:num w:numId="15">
    <w:abstractNumId w:val="9"/>
  </w:num>
  <w:num w:numId="16">
    <w:abstractNumId w:val="8"/>
  </w:num>
  <w:num w:numId="17">
    <w:abstractNumId w:val="11"/>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1513"/>
    <w:rsid w:val="00000E5E"/>
    <w:rsid w:val="000036B5"/>
    <w:rsid w:val="00004DD1"/>
    <w:rsid w:val="00016820"/>
    <w:rsid w:val="0002002F"/>
    <w:rsid w:val="0002407B"/>
    <w:rsid w:val="00024741"/>
    <w:rsid w:val="00025037"/>
    <w:rsid w:val="00025980"/>
    <w:rsid w:val="00026B86"/>
    <w:rsid w:val="000305C3"/>
    <w:rsid w:val="000375D3"/>
    <w:rsid w:val="00037BB0"/>
    <w:rsid w:val="00041229"/>
    <w:rsid w:val="0004281C"/>
    <w:rsid w:val="00045B79"/>
    <w:rsid w:val="00052C90"/>
    <w:rsid w:val="000539CC"/>
    <w:rsid w:val="0005429F"/>
    <w:rsid w:val="000546DC"/>
    <w:rsid w:val="0005686D"/>
    <w:rsid w:val="0006131C"/>
    <w:rsid w:val="00063C90"/>
    <w:rsid w:val="0006454C"/>
    <w:rsid w:val="00066623"/>
    <w:rsid w:val="0007217C"/>
    <w:rsid w:val="00073339"/>
    <w:rsid w:val="00083A38"/>
    <w:rsid w:val="000840BF"/>
    <w:rsid w:val="00084220"/>
    <w:rsid w:val="00086119"/>
    <w:rsid w:val="000920D7"/>
    <w:rsid w:val="00095690"/>
    <w:rsid w:val="000978BC"/>
    <w:rsid w:val="000A02ED"/>
    <w:rsid w:val="000A0588"/>
    <w:rsid w:val="000A0AB4"/>
    <w:rsid w:val="000A416E"/>
    <w:rsid w:val="000A55AC"/>
    <w:rsid w:val="000A5B99"/>
    <w:rsid w:val="000A6D8B"/>
    <w:rsid w:val="000A712A"/>
    <w:rsid w:val="000B07EE"/>
    <w:rsid w:val="000B3933"/>
    <w:rsid w:val="000B7627"/>
    <w:rsid w:val="000C04B5"/>
    <w:rsid w:val="000C1A31"/>
    <w:rsid w:val="000C3843"/>
    <w:rsid w:val="000C53BE"/>
    <w:rsid w:val="000D07DE"/>
    <w:rsid w:val="000D084D"/>
    <w:rsid w:val="000D0F48"/>
    <w:rsid w:val="000D16BF"/>
    <w:rsid w:val="000D1B89"/>
    <w:rsid w:val="000E22D1"/>
    <w:rsid w:val="000E6FFA"/>
    <w:rsid w:val="000E7B64"/>
    <w:rsid w:val="000F024A"/>
    <w:rsid w:val="000F0981"/>
    <w:rsid w:val="000F26B4"/>
    <w:rsid w:val="000F2F2D"/>
    <w:rsid w:val="000F3C9D"/>
    <w:rsid w:val="000F4A6E"/>
    <w:rsid w:val="000F6F50"/>
    <w:rsid w:val="000F7CAC"/>
    <w:rsid w:val="0010121F"/>
    <w:rsid w:val="00102F8A"/>
    <w:rsid w:val="00105D2E"/>
    <w:rsid w:val="00106ECA"/>
    <w:rsid w:val="00110A65"/>
    <w:rsid w:val="00110B57"/>
    <w:rsid w:val="001113BE"/>
    <w:rsid w:val="00111695"/>
    <w:rsid w:val="00112FBA"/>
    <w:rsid w:val="00114235"/>
    <w:rsid w:val="0011443F"/>
    <w:rsid w:val="0011567A"/>
    <w:rsid w:val="00115F25"/>
    <w:rsid w:val="001173D1"/>
    <w:rsid w:val="001176C5"/>
    <w:rsid w:val="001200C1"/>
    <w:rsid w:val="00123008"/>
    <w:rsid w:val="00134618"/>
    <w:rsid w:val="0013481E"/>
    <w:rsid w:val="00135D0E"/>
    <w:rsid w:val="0013655C"/>
    <w:rsid w:val="00136E08"/>
    <w:rsid w:val="00142605"/>
    <w:rsid w:val="001448B6"/>
    <w:rsid w:val="00146EC3"/>
    <w:rsid w:val="00146F8B"/>
    <w:rsid w:val="001472C0"/>
    <w:rsid w:val="00147639"/>
    <w:rsid w:val="0015139E"/>
    <w:rsid w:val="00152AF5"/>
    <w:rsid w:val="001540E3"/>
    <w:rsid w:val="00155C1D"/>
    <w:rsid w:val="0016100B"/>
    <w:rsid w:val="001663F5"/>
    <w:rsid w:val="00167B0B"/>
    <w:rsid w:val="00177574"/>
    <w:rsid w:val="00177785"/>
    <w:rsid w:val="00180C4A"/>
    <w:rsid w:val="001814CA"/>
    <w:rsid w:val="00182A77"/>
    <w:rsid w:val="0018524E"/>
    <w:rsid w:val="001853C6"/>
    <w:rsid w:val="001865E0"/>
    <w:rsid w:val="001938C5"/>
    <w:rsid w:val="00193AF9"/>
    <w:rsid w:val="001970B6"/>
    <w:rsid w:val="001A03F6"/>
    <w:rsid w:val="001A0978"/>
    <w:rsid w:val="001A0E1A"/>
    <w:rsid w:val="001A1D54"/>
    <w:rsid w:val="001A333B"/>
    <w:rsid w:val="001A5681"/>
    <w:rsid w:val="001A6C3D"/>
    <w:rsid w:val="001B0637"/>
    <w:rsid w:val="001B1695"/>
    <w:rsid w:val="001B221C"/>
    <w:rsid w:val="001B3404"/>
    <w:rsid w:val="001B697D"/>
    <w:rsid w:val="001C20CF"/>
    <w:rsid w:val="001C4DC0"/>
    <w:rsid w:val="001C62FE"/>
    <w:rsid w:val="001C6B36"/>
    <w:rsid w:val="001C712B"/>
    <w:rsid w:val="001D07D2"/>
    <w:rsid w:val="001D299F"/>
    <w:rsid w:val="001D6219"/>
    <w:rsid w:val="001D66C0"/>
    <w:rsid w:val="001D7C2B"/>
    <w:rsid w:val="001E117D"/>
    <w:rsid w:val="001E55C9"/>
    <w:rsid w:val="001F3707"/>
    <w:rsid w:val="001F53B4"/>
    <w:rsid w:val="001F7E99"/>
    <w:rsid w:val="002004EA"/>
    <w:rsid w:val="00201CB7"/>
    <w:rsid w:val="00203CE3"/>
    <w:rsid w:val="00204A37"/>
    <w:rsid w:val="00205E02"/>
    <w:rsid w:val="00210F6B"/>
    <w:rsid w:val="002131EB"/>
    <w:rsid w:val="00213417"/>
    <w:rsid w:val="00214EB8"/>
    <w:rsid w:val="00221882"/>
    <w:rsid w:val="00221B8B"/>
    <w:rsid w:val="0022333B"/>
    <w:rsid w:val="00223B32"/>
    <w:rsid w:val="00224A35"/>
    <w:rsid w:val="002258DF"/>
    <w:rsid w:val="0022683B"/>
    <w:rsid w:val="0022793E"/>
    <w:rsid w:val="00230634"/>
    <w:rsid w:val="00232FAA"/>
    <w:rsid w:val="002350C7"/>
    <w:rsid w:val="0023687B"/>
    <w:rsid w:val="002408FF"/>
    <w:rsid w:val="002420A0"/>
    <w:rsid w:val="002440AD"/>
    <w:rsid w:val="0024411B"/>
    <w:rsid w:val="00247021"/>
    <w:rsid w:val="00250FA6"/>
    <w:rsid w:val="00251EB9"/>
    <w:rsid w:val="00251ED0"/>
    <w:rsid w:val="00255336"/>
    <w:rsid w:val="00256F04"/>
    <w:rsid w:val="002617E7"/>
    <w:rsid w:val="00262E4A"/>
    <w:rsid w:val="00262F23"/>
    <w:rsid w:val="00264128"/>
    <w:rsid w:val="0026625A"/>
    <w:rsid w:val="00270E58"/>
    <w:rsid w:val="0027520B"/>
    <w:rsid w:val="002755F0"/>
    <w:rsid w:val="002814C6"/>
    <w:rsid w:val="00283CA9"/>
    <w:rsid w:val="00292E6C"/>
    <w:rsid w:val="00294961"/>
    <w:rsid w:val="00295EE9"/>
    <w:rsid w:val="002A058C"/>
    <w:rsid w:val="002A0D64"/>
    <w:rsid w:val="002A2571"/>
    <w:rsid w:val="002B2CE4"/>
    <w:rsid w:val="002B2F60"/>
    <w:rsid w:val="002B3DF5"/>
    <w:rsid w:val="002C07AA"/>
    <w:rsid w:val="002C128B"/>
    <w:rsid w:val="002C19F4"/>
    <w:rsid w:val="002C2800"/>
    <w:rsid w:val="002C6D9B"/>
    <w:rsid w:val="002C74BF"/>
    <w:rsid w:val="002D1147"/>
    <w:rsid w:val="002D3027"/>
    <w:rsid w:val="002D4659"/>
    <w:rsid w:val="002D5B99"/>
    <w:rsid w:val="002D626E"/>
    <w:rsid w:val="002D7116"/>
    <w:rsid w:val="002E0285"/>
    <w:rsid w:val="002F11D4"/>
    <w:rsid w:val="00301D0D"/>
    <w:rsid w:val="00301F55"/>
    <w:rsid w:val="00303F76"/>
    <w:rsid w:val="00304BBF"/>
    <w:rsid w:val="00307C66"/>
    <w:rsid w:val="00314C03"/>
    <w:rsid w:val="00316AEA"/>
    <w:rsid w:val="00317478"/>
    <w:rsid w:val="00317976"/>
    <w:rsid w:val="00323ADB"/>
    <w:rsid w:val="00324B95"/>
    <w:rsid w:val="003272C0"/>
    <w:rsid w:val="00327733"/>
    <w:rsid w:val="00327792"/>
    <w:rsid w:val="0033630B"/>
    <w:rsid w:val="00337B50"/>
    <w:rsid w:val="003427A6"/>
    <w:rsid w:val="0034292F"/>
    <w:rsid w:val="003458DE"/>
    <w:rsid w:val="00345AB7"/>
    <w:rsid w:val="00345FB8"/>
    <w:rsid w:val="003470B9"/>
    <w:rsid w:val="00351B30"/>
    <w:rsid w:val="00352B1E"/>
    <w:rsid w:val="003533EE"/>
    <w:rsid w:val="003542FC"/>
    <w:rsid w:val="00356139"/>
    <w:rsid w:val="0036125C"/>
    <w:rsid w:val="0036293B"/>
    <w:rsid w:val="00362C85"/>
    <w:rsid w:val="0036367A"/>
    <w:rsid w:val="0037098F"/>
    <w:rsid w:val="00371FBC"/>
    <w:rsid w:val="0037289B"/>
    <w:rsid w:val="003739A0"/>
    <w:rsid w:val="003744CE"/>
    <w:rsid w:val="00374CF0"/>
    <w:rsid w:val="00377B6B"/>
    <w:rsid w:val="00377BEF"/>
    <w:rsid w:val="00381546"/>
    <w:rsid w:val="00382D16"/>
    <w:rsid w:val="00383A8F"/>
    <w:rsid w:val="00383F99"/>
    <w:rsid w:val="00384C27"/>
    <w:rsid w:val="00384C77"/>
    <w:rsid w:val="003A0681"/>
    <w:rsid w:val="003A1D27"/>
    <w:rsid w:val="003A3875"/>
    <w:rsid w:val="003A473A"/>
    <w:rsid w:val="003B0DA2"/>
    <w:rsid w:val="003B3839"/>
    <w:rsid w:val="003B568E"/>
    <w:rsid w:val="003B58DA"/>
    <w:rsid w:val="003C0A84"/>
    <w:rsid w:val="003C1588"/>
    <w:rsid w:val="003C229E"/>
    <w:rsid w:val="003C5866"/>
    <w:rsid w:val="003C61FD"/>
    <w:rsid w:val="003C6F29"/>
    <w:rsid w:val="003D0C9F"/>
    <w:rsid w:val="003D19F0"/>
    <w:rsid w:val="003D1CA7"/>
    <w:rsid w:val="003E3440"/>
    <w:rsid w:val="003E5304"/>
    <w:rsid w:val="003E7E02"/>
    <w:rsid w:val="003E7E66"/>
    <w:rsid w:val="003F0163"/>
    <w:rsid w:val="003F1409"/>
    <w:rsid w:val="003F1861"/>
    <w:rsid w:val="003F24FE"/>
    <w:rsid w:val="003F2B0A"/>
    <w:rsid w:val="003F41FC"/>
    <w:rsid w:val="003F5E59"/>
    <w:rsid w:val="00410FBE"/>
    <w:rsid w:val="00414DE9"/>
    <w:rsid w:val="004175B3"/>
    <w:rsid w:val="00417AEC"/>
    <w:rsid w:val="00425767"/>
    <w:rsid w:val="004323E0"/>
    <w:rsid w:val="004325AF"/>
    <w:rsid w:val="0043677F"/>
    <w:rsid w:val="00441132"/>
    <w:rsid w:val="004415D7"/>
    <w:rsid w:val="004420C2"/>
    <w:rsid w:val="004460CC"/>
    <w:rsid w:val="0045044D"/>
    <w:rsid w:val="00451983"/>
    <w:rsid w:val="004533CB"/>
    <w:rsid w:val="0046349A"/>
    <w:rsid w:val="00465595"/>
    <w:rsid w:val="00467201"/>
    <w:rsid w:val="0047364A"/>
    <w:rsid w:val="004739EA"/>
    <w:rsid w:val="00477C1C"/>
    <w:rsid w:val="00481365"/>
    <w:rsid w:val="0048266A"/>
    <w:rsid w:val="00482F4D"/>
    <w:rsid w:val="004832A8"/>
    <w:rsid w:val="00483460"/>
    <w:rsid w:val="00486F60"/>
    <w:rsid w:val="004913A3"/>
    <w:rsid w:val="00493F99"/>
    <w:rsid w:val="00494098"/>
    <w:rsid w:val="0049591A"/>
    <w:rsid w:val="0049656A"/>
    <w:rsid w:val="0049699E"/>
    <w:rsid w:val="00497307"/>
    <w:rsid w:val="004A3E32"/>
    <w:rsid w:val="004B40C3"/>
    <w:rsid w:val="004C5045"/>
    <w:rsid w:val="004C505A"/>
    <w:rsid w:val="004C5E8D"/>
    <w:rsid w:val="004C6491"/>
    <w:rsid w:val="004C6749"/>
    <w:rsid w:val="004C7F4E"/>
    <w:rsid w:val="004D413D"/>
    <w:rsid w:val="004D4273"/>
    <w:rsid w:val="004D6FB0"/>
    <w:rsid w:val="004E02AD"/>
    <w:rsid w:val="004E0E43"/>
    <w:rsid w:val="004E12C1"/>
    <w:rsid w:val="004E5BEA"/>
    <w:rsid w:val="004E6B37"/>
    <w:rsid w:val="004F0242"/>
    <w:rsid w:val="004F0829"/>
    <w:rsid w:val="004F2727"/>
    <w:rsid w:val="004F5905"/>
    <w:rsid w:val="004F64F4"/>
    <w:rsid w:val="004F76FA"/>
    <w:rsid w:val="00500359"/>
    <w:rsid w:val="00501133"/>
    <w:rsid w:val="005028E2"/>
    <w:rsid w:val="005049FA"/>
    <w:rsid w:val="00511064"/>
    <w:rsid w:val="00521142"/>
    <w:rsid w:val="00523899"/>
    <w:rsid w:val="00525BF1"/>
    <w:rsid w:val="00526096"/>
    <w:rsid w:val="00533777"/>
    <w:rsid w:val="00534840"/>
    <w:rsid w:val="0053534F"/>
    <w:rsid w:val="0053660C"/>
    <w:rsid w:val="00536A8D"/>
    <w:rsid w:val="00536B69"/>
    <w:rsid w:val="00537F2B"/>
    <w:rsid w:val="00542F2C"/>
    <w:rsid w:val="00547B9E"/>
    <w:rsid w:val="00550A81"/>
    <w:rsid w:val="00555C9C"/>
    <w:rsid w:val="00555E18"/>
    <w:rsid w:val="00563EBE"/>
    <w:rsid w:val="00564062"/>
    <w:rsid w:val="005640CF"/>
    <w:rsid w:val="00564F7C"/>
    <w:rsid w:val="00566594"/>
    <w:rsid w:val="00567E8D"/>
    <w:rsid w:val="005725D0"/>
    <w:rsid w:val="00581A9A"/>
    <w:rsid w:val="00582D55"/>
    <w:rsid w:val="00584A0E"/>
    <w:rsid w:val="00585A55"/>
    <w:rsid w:val="005902AF"/>
    <w:rsid w:val="005905DE"/>
    <w:rsid w:val="00590C8C"/>
    <w:rsid w:val="0059178B"/>
    <w:rsid w:val="00593816"/>
    <w:rsid w:val="0059594A"/>
    <w:rsid w:val="00596578"/>
    <w:rsid w:val="005974F4"/>
    <w:rsid w:val="005A35D1"/>
    <w:rsid w:val="005A516B"/>
    <w:rsid w:val="005A5EE4"/>
    <w:rsid w:val="005B1910"/>
    <w:rsid w:val="005B1988"/>
    <w:rsid w:val="005B1A75"/>
    <w:rsid w:val="005B22DE"/>
    <w:rsid w:val="005B4472"/>
    <w:rsid w:val="005B65FA"/>
    <w:rsid w:val="005B72C0"/>
    <w:rsid w:val="005C345D"/>
    <w:rsid w:val="005C3630"/>
    <w:rsid w:val="005C63F9"/>
    <w:rsid w:val="005E02D1"/>
    <w:rsid w:val="005E1514"/>
    <w:rsid w:val="005E28CA"/>
    <w:rsid w:val="005E2A89"/>
    <w:rsid w:val="005E2CAA"/>
    <w:rsid w:val="005E4AFA"/>
    <w:rsid w:val="005E6249"/>
    <w:rsid w:val="005E7811"/>
    <w:rsid w:val="005E7F65"/>
    <w:rsid w:val="005F0B04"/>
    <w:rsid w:val="005F0B61"/>
    <w:rsid w:val="005F6A55"/>
    <w:rsid w:val="00602340"/>
    <w:rsid w:val="00604AD0"/>
    <w:rsid w:val="00606C01"/>
    <w:rsid w:val="00610B02"/>
    <w:rsid w:val="00614D0C"/>
    <w:rsid w:val="00614E4A"/>
    <w:rsid w:val="00615001"/>
    <w:rsid w:val="00620305"/>
    <w:rsid w:val="00622F15"/>
    <w:rsid w:val="006256EF"/>
    <w:rsid w:val="0062623E"/>
    <w:rsid w:val="00630F34"/>
    <w:rsid w:val="006377CD"/>
    <w:rsid w:val="00641500"/>
    <w:rsid w:val="006464B2"/>
    <w:rsid w:val="00651160"/>
    <w:rsid w:val="00651A3C"/>
    <w:rsid w:val="006530CB"/>
    <w:rsid w:val="006533FC"/>
    <w:rsid w:val="00653A4F"/>
    <w:rsid w:val="00655E35"/>
    <w:rsid w:val="00660711"/>
    <w:rsid w:val="0066128A"/>
    <w:rsid w:val="006627E9"/>
    <w:rsid w:val="00662E45"/>
    <w:rsid w:val="006631E6"/>
    <w:rsid w:val="0066666B"/>
    <w:rsid w:val="006708F9"/>
    <w:rsid w:val="00671AC5"/>
    <w:rsid w:val="00671CBA"/>
    <w:rsid w:val="00671FA7"/>
    <w:rsid w:val="006753FB"/>
    <w:rsid w:val="00675583"/>
    <w:rsid w:val="006755BC"/>
    <w:rsid w:val="006777CC"/>
    <w:rsid w:val="00680A00"/>
    <w:rsid w:val="00681D33"/>
    <w:rsid w:val="006855EC"/>
    <w:rsid w:val="00685A9E"/>
    <w:rsid w:val="0068739E"/>
    <w:rsid w:val="0069015E"/>
    <w:rsid w:val="0069043D"/>
    <w:rsid w:val="00690CD4"/>
    <w:rsid w:val="006A46AB"/>
    <w:rsid w:val="006A59F0"/>
    <w:rsid w:val="006B178E"/>
    <w:rsid w:val="006B2A5E"/>
    <w:rsid w:val="006B3B6E"/>
    <w:rsid w:val="006B63B7"/>
    <w:rsid w:val="006B6F55"/>
    <w:rsid w:val="006C0709"/>
    <w:rsid w:val="006C101C"/>
    <w:rsid w:val="006C19BA"/>
    <w:rsid w:val="006C320A"/>
    <w:rsid w:val="006C5B68"/>
    <w:rsid w:val="006D5A60"/>
    <w:rsid w:val="006D5F0A"/>
    <w:rsid w:val="006D6388"/>
    <w:rsid w:val="006D6B04"/>
    <w:rsid w:val="006E46A1"/>
    <w:rsid w:val="006E5723"/>
    <w:rsid w:val="006E5EB7"/>
    <w:rsid w:val="006F087B"/>
    <w:rsid w:val="006F1045"/>
    <w:rsid w:val="006F296B"/>
    <w:rsid w:val="006F45BF"/>
    <w:rsid w:val="006F5527"/>
    <w:rsid w:val="007013E5"/>
    <w:rsid w:val="007025C7"/>
    <w:rsid w:val="00702EFF"/>
    <w:rsid w:val="00702F9A"/>
    <w:rsid w:val="00704DE1"/>
    <w:rsid w:val="0070520D"/>
    <w:rsid w:val="00716AC0"/>
    <w:rsid w:val="007173A5"/>
    <w:rsid w:val="00721E65"/>
    <w:rsid w:val="00723B8D"/>
    <w:rsid w:val="0072458C"/>
    <w:rsid w:val="00725501"/>
    <w:rsid w:val="00726BA6"/>
    <w:rsid w:val="00735849"/>
    <w:rsid w:val="00740A2E"/>
    <w:rsid w:val="00741465"/>
    <w:rsid w:val="0074192E"/>
    <w:rsid w:val="00742265"/>
    <w:rsid w:val="0074258A"/>
    <w:rsid w:val="007438E9"/>
    <w:rsid w:val="00746FF7"/>
    <w:rsid w:val="007528D6"/>
    <w:rsid w:val="00753985"/>
    <w:rsid w:val="00756A80"/>
    <w:rsid w:val="00766668"/>
    <w:rsid w:val="007703A1"/>
    <w:rsid w:val="00771C61"/>
    <w:rsid w:val="0077303B"/>
    <w:rsid w:val="00773D70"/>
    <w:rsid w:val="00774E14"/>
    <w:rsid w:val="00775B1D"/>
    <w:rsid w:val="0077669B"/>
    <w:rsid w:val="0078066A"/>
    <w:rsid w:val="00785DDD"/>
    <w:rsid w:val="00786AA8"/>
    <w:rsid w:val="00787D8E"/>
    <w:rsid w:val="00792A53"/>
    <w:rsid w:val="00792BC3"/>
    <w:rsid w:val="0079310A"/>
    <w:rsid w:val="0079349B"/>
    <w:rsid w:val="007A4B86"/>
    <w:rsid w:val="007A53E3"/>
    <w:rsid w:val="007A6CE6"/>
    <w:rsid w:val="007A7401"/>
    <w:rsid w:val="007B2694"/>
    <w:rsid w:val="007B30D9"/>
    <w:rsid w:val="007B36CA"/>
    <w:rsid w:val="007B3A30"/>
    <w:rsid w:val="007B4C9D"/>
    <w:rsid w:val="007B580B"/>
    <w:rsid w:val="007B5DBE"/>
    <w:rsid w:val="007C7F65"/>
    <w:rsid w:val="007D19C9"/>
    <w:rsid w:val="007D1C65"/>
    <w:rsid w:val="007D2E7C"/>
    <w:rsid w:val="007D3DC6"/>
    <w:rsid w:val="007D705D"/>
    <w:rsid w:val="007D7DD5"/>
    <w:rsid w:val="007E16E6"/>
    <w:rsid w:val="007E28FA"/>
    <w:rsid w:val="007E3B78"/>
    <w:rsid w:val="007E54BA"/>
    <w:rsid w:val="007F6970"/>
    <w:rsid w:val="00800B88"/>
    <w:rsid w:val="00801116"/>
    <w:rsid w:val="00801E4D"/>
    <w:rsid w:val="00802166"/>
    <w:rsid w:val="008036A7"/>
    <w:rsid w:val="00810C9A"/>
    <w:rsid w:val="00811289"/>
    <w:rsid w:val="008123AF"/>
    <w:rsid w:val="00813F3C"/>
    <w:rsid w:val="008171AD"/>
    <w:rsid w:val="00823C6D"/>
    <w:rsid w:val="00823F8A"/>
    <w:rsid w:val="008345A0"/>
    <w:rsid w:val="00834DDE"/>
    <w:rsid w:val="00835BF5"/>
    <w:rsid w:val="008374A0"/>
    <w:rsid w:val="00837A05"/>
    <w:rsid w:val="0084098A"/>
    <w:rsid w:val="008421C1"/>
    <w:rsid w:val="00845523"/>
    <w:rsid w:val="0084744C"/>
    <w:rsid w:val="00855A21"/>
    <w:rsid w:val="00860DA6"/>
    <w:rsid w:val="00861BC7"/>
    <w:rsid w:val="00862C66"/>
    <w:rsid w:val="00864190"/>
    <w:rsid w:val="00864CBA"/>
    <w:rsid w:val="00872599"/>
    <w:rsid w:val="0087302C"/>
    <w:rsid w:val="00883A89"/>
    <w:rsid w:val="00883FB1"/>
    <w:rsid w:val="008858A4"/>
    <w:rsid w:val="0088753D"/>
    <w:rsid w:val="0089031D"/>
    <w:rsid w:val="00894404"/>
    <w:rsid w:val="008A0188"/>
    <w:rsid w:val="008A0BAA"/>
    <w:rsid w:val="008A1481"/>
    <w:rsid w:val="008A6A8E"/>
    <w:rsid w:val="008B1E0B"/>
    <w:rsid w:val="008B29D5"/>
    <w:rsid w:val="008B6195"/>
    <w:rsid w:val="008C024A"/>
    <w:rsid w:val="008C08E6"/>
    <w:rsid w:val="008C4D68"/>
    <w:rsid w:val="008C75FB"/>
    <w:rsid w:val="008D05CB"/>
    <w:rsid w:val="008D3B82"/>
    <w:rsid w:val="008D4045"/>
    <w:rsid w:val="008D6011"/>
    <w:rsid w:val="008D6E9D"/>
    <w:rsid w:val="008D6F74"/>
    <w:rsid w:val="008E1FD9"/>
    <w:rsid w:val="008F22C4"/>
    <w:rsid w:val="008F3BA0"/>
    <w:rsid w:val="008F4197"/>
    <w:rsid w:val="008F72CD"/>
    <w:rsid w:val="00902A44"/>
    <w:rsid w:val="00903ECE"/>
    <w:rsid w:val="00905003"/>
    <w:rsid w:val="009067CC"/>
    <w:rsid w:val="00906BF9"/>
    <w:rsid w:val="00907DA1"/>
    <w:rsid w:val="00914507"/>
    <w:rsid w:val="00917A81"/>
    <w:rsid w:val="00921BE6"/>
    <w:rsid w:val="00922276"/>
    <w:rsid w:val="00926528"/>
    <w:rsid w:val="00926B63"/>
    <w:rsid w:val="00930094"/>
    <w:rsid w:val="00930538"/>
    <w:rsid w:val="00931D7D"/>
    <w:rsid w:val="00933486"/>
    <w:rsid w:val="009349BA"/>
    <w:rsid w:val="009361CB"/>
    <w:rsid w:val="00936E6B"/>
    <w:rsid w:val="00942468"/>
    <w:rsid w:val="00945049"/>
    <w:rsid w:val="00945BBE"/>
    <w:rsid w:val="00946A52"/>
    <w:rsid w:val="00946CC3"/>
    <w:rsid w:val="00946DB5"/>
    <w:rsid w:val="00947AB5"/>
    <w:rsid w:val="00954EF2"/>
    <w:rsid w:val="00962176"/>
    <w:rsid w:val="009622BB"/>
    <w:rsid w:val="0096371D"/>
    <w:rsid w:val="009659A4"/>
    <w:rsid w:val="00965F6B"/>
    <w:rsid w:val="009677C2"/>
    <w:rsid w:val="0097198A"/>
    <w:rsid w:val="00971C69"/>
    <w:rsid w:val="00974A9A"/>
    <w:rsid w:val="009765F8"/>
    <w:rsid w:val="00980382"/>
    <w:rsid w:val="0098182F"/>
    <w:rsid w:val="00982AF8"/>
    <w:rsid w:val="009831D6"/>
    <w:rsid w:val="00983462"/>
    <w:rsid w:val="00983AAA"/>
    <w:rsid w:val="00984068"/>
    <w:rsid w:val="009903FD"/>
    <w:rsid w:val="00990EA1"/>
    <w:rsid w:val="00991FF7"/>
    <w:rsid w:val="00997571"/>
    <w:rsid w:val="009A28C2"/>
    <w:rsid w:val="009A40B8"/>
    <w:rsid w:val="009A4C35"/>
    <w:rsid w:val="009B03E8"/>
    <w:rsid w:val="009B089D"/>
    <w:rsid w:val="009B2BAE"/>
    <w:rsid w:val="009B3F31"/>
    <w:rsid w:val="009B452B"/>
    <w:rsid w:val="009B4B7C"/>
    <w:rsid w:val="009B4F97"/>
    <w:rsid w:val="009B675A"/>
    <w:rsid w:val="009C052C"/>
    <w:rsid w:val="009C0CC1"/>
    <w:rsid w:val="009C7675"/>
    <w:rsid w:val="009D53B2"/>
    <w:rsid w:val="009D74B8"/>
    <w:rsid w:val="009E0CB6"/>
    <w:rsid w:val="009E35DD"/>
    <w:rsid w:val="009E3C34"/>
    <w:rsid w:val="009E4C51"/>
    <w:rsid w:val="009E5D57"/>
    <w:rsid w:val="009F60D2"/>
    <w:rsid w:val="009F6973"/>
    <w:rsid w:val="00A02639"/>
    <w:rsid w:val="00A02EC5"/>
    <w:rsid w:val="00A039FF"/>
    <w:rsid w:val="00A04939"/>
    <w:rsid w:val="00A06D84"/>
    <w:rsid w:val="00A1116D"/>
    <w:rsid w:val="00A11513"/>
    <w:rsid w:val="00A22FAE"/>
    <w:rsid w:val="00A24B57"/>
    <w:rsid w:val="00A25139"/>
    <w:rsid w:val="00A2700D"/>
    <w:rsid w:val="00A31E89"/>
    <w:rsid w:val="00A31F51"/>
    <w:rsid w:val="00A32D21"/>
    <w:rsid w:val="00A32FCE"/>
    <w:rsid w:val="00A33797"/>
    <w:rsid w:val="00A3700B"/>
    <w:rsid w:val="00A424BD"/>
    <w:rsid w:val="00A43747"/>
    <w:rsid w:val="00A4683C"/>
    <w:rsid w:val="00A53F8E"/>
    <w:rsid w:val="00A56776"/>
    <w:rsid w:val="00A56E49"/>
    <w:rsid w:val="00A57723"/>
    <w:rsid w:val="00A57D30"/>
    <w:rsid w:val="00A628A7"/>
    <w:rsid w:val="00A6511C"/>
    <w:rsid w:val="00A6529D"/>
    <w:rsid w:val="00A661A1"/>
    <w:rsid w:val="00A72BD9"/>
    <w:rsid w:val="00A8169B"/>
    <w:rsid w:val="00A821E4"/>
    <w:rsid w:val="00A83523"/>
    <w:rsid w:val="00A8356D"/>
    <w:rsid w:val="00A85A92"/>
    <w:rsid w:val="00A85FD9"/>
    <w:rsid w:val="00A864EF"/>
    <w:rsid w:val="00A87385"/>
    <w:rsid w:val="00A9034B"/>
    <w:rsid w:val="00A91821"/>
    <w:rsid w:val="00A93C88"/>
    <w:rsid w:val="00A941C7"/>
    <w:rsid w:val="00A953A3"/>
    <w:rsid w:val="00A95C48"/>
    <w:rsid w:val="00A9746F"/>
    <w:rsid w:val="00A97F78"/>
    <w:rsid w:val="00AA5EAD"/>
    <w:rsid w:val="00AB1C2E"/>
    <w:rsid w:val="00AB451F"/>
    <w:rsid w:val="00AC0248"/>
    <w:rsid w:val="00AC3405"/>
    <w:rsid w:val="00AC357B"/>
    <w:rsid w:val="00AC36E2"/>
    <w:rsid w:val="00AD301C"/>
    <w:rsid w:val="00AD6B1F"/>
    <w:rsid w:val="00AD761C"/>
    <w:rsid w:val="00AE5FA0"/>
    <w:rsid w:val="00AE60E8"/>
    <w:rsid w:val="00AE6DB9"/>
    <w:rsid w:val="00AF024D"/>
    <w:rsid w:val="00AF1246"/>
    <w:rsid w:val="00AF17AB"/>
    <w:rsid w:val="00AF5D23"/>
    <w:rsid w:val="00AF6167"/>
    <w:rsid w:val="00B00CB3"/>
    <w:rsid w:val="00B01C23"/>
    <w:rsid w:val="00B01C30"/>
    <w:rsid w:val="00B03A0A"/>
    <w:rsid w:val="00B05CFA"/>
    <w:rsid w:val="00B107C7"/>
    <w:rsid w:val="00B14B7E"/>
    <w:rsid w:val="00B163D0"/>
    <w:rsid w:val="00B167C4"/>
    <w:rsid w:val="00B17641"/>
    <w:rsid w:val="00B2084E"/>
    <w:rsid w:val="00B277B6"/>
    <w:rsid w:val="00B30A9A"/>
    <w:rsid w:val="00B318A0"/>
    <w:rsid w:val="00B324B9"/>
    <w:rsid w:val="00B33C40"/>
    <w:rsid w:val="00B34228"/>
    <w:rsid w:val="00B36CEE"/>
    <w:rsid w:val="00B37E12"/>
    <w:rsid w:val="00B41A9B"/>
    <w:rsid w:val="00B42ADD"/>
    <w:rsid w:val="00B44A8C"/>
    <w:rsid w:val="00B468D2"/>
    <w:rsid w:val="00B47D9B"/>
    <w:rsid w:val="00B525B6"/>
    <w:rsid w:val="00B52D34"/>
    <w:rsid w:val="00B5321E"/>
    <w:rsid w:val="00B55BBA"/>
    <w:rsid w:val="00B563FE"/>
    <w:rsid w:val="00B607CA"/>
    <w:rsid w:val="00B613E7"/>
    <w:rsid w:val="00B67FE6"/>
    <w:rsid w:val="00B70020"/>
    <w:rsid w:val="00B719C0"/>
    <w:rsid w:val="00B75ED4"/>
    <w:rsid w:val="00B76FC6"/>
    <w:rsid w:val="00B77793"/>
    <w:rsid w:val="00B8369C"/>
    <w:rsid w:val="00B851E1"/>
    <w:rsid w:val="00B85601"/>
    <w:rsid w:val="00B9053D"/>
    <w:rsid w:val="00B92295"/>
    <w:rsid w:val="00B931B3"/>
    <w:rsid w:val="00B95258"/>
    <w:rsid w:val="00B963F7"/>
    <w:rsid w:val="00B96B8C"/>
    <w:rsid w:val="00BA13AF"/>
    <w:rsid w:val="00BA1865"/>
    <w:rsid w:val="00BA2AF9"/>
    <w:rsid w:val="00BA5BB4"/>
    <w:rsid w:val="00BA64B3"/>
    <w:rsid w:val="00BB08FA"/>
    <w:rsid w:val="00BB25E9"/>
    <w:rsid w:val="00BB2843"/>
    <w:rsid w:val="00BB506E"/>
    <w:rsid w:val="00BB7A1C"/>
    <w:rsid w:val="00BC1675"/>
    <w:rsid w:val="00BC224A"/>
    <w:rsid w:val="00BC22C3"/>
    <w:rsid w:val="00BC2356"/>
    <w:rsid w:val="00BC745A"/>
    <w:rsid w:val="00BC764F"/>
    <w:rsid w:val="00BD0405"/>
    <w:rsid w:val="00BD5D50"/>
    <w:rsid w:val="00BE0115"/>
    <w:rsid w:val="00BE0829"/>
    <w:rsid w:val="00BE2D28"/>
    <w:rsid w:val="00BE3B24"/>
    <w:rsid w:val="00BE58DE"/>
    <w:rsid w:val="00BE5C7D"/>
    <w:rsid w:val="00BF0CC1"/>
    <w:rsid w:val="00BF1D09"/>
    <w:rsid w:val="00BF2847"/>
    <w:rsid w:val="00BF3EB4"/>
    <w:rsid w:val="00BF49ED"/>
    <w:rsid w:val="00BF676E"/>
    <w:rsid w:val="00C00261"/>
    <w:rsid w:val="00C0157E"/>
    <w:rsid w:val="00C02AD7"/>
    <w:rsid w:val="00C053FD"/>
    <w:rsid w:val="00C1120C"/>
    <w:rsid w:val="00C124CC"/>
    <w:rsid w:val="00C14F15"/>
    <w:rsid w:val="00C15062"/>
    <w:rsid w:val="00C16E1F"/>
    <w:rsid w:val="00C17836"/>
    <w:rsid w:val="00C20480"/>
    <w:rsid w:val="00C22DF5"/>
    <w:rsid w:val="00C25278"/>
    <w:rsid w:val="00C261FF"/>
    <w:rsid w:val="00C27AC5"/>
    <w:rsid w:val="00C3522D"/>
    <w:rsid w:val="00C36CCC"/>
    <w:rsid w:val="00C41E1E"/>
    <w:rsid w:val="00C44646"/>
    <w:rsid w:val="00C448F1"/>
    <w:rsid w:val="00C452B8"/>
    <w:rsid w:val="00C45905"/>
    <w:rsid w:val="00C51D89"/>
    <w:rsid w:val="00C51E4D"/>
    <w:rsid w:val="00C51F7A"/>
    <w:rsid w:val="00C5267F"/>
    <w:rsid w:val="00C55E98"/>
    <w:rsid w:val="00C63EBD"/>
    <w:rsid w:val="00C63FF0"/>
    <w:rsid w:val="00C644E1"/>
    <w:rsid w:val="00C6499F"/>
    <w:rsid w:val="00C66940"/>
    <w:rsid w:val="00C7056B"/>
    <w:rsid w:val="00C7387E"/>
    <w:rsid w:val="00C73B50"/>
    <w:rsid w:val="00C756DF"/>
    <w:rsid w:val="00C75C09"/>
    <w:rsid w:val="00C770A7"/>
    <w:rsid w:val="00C812C2"/>
    <w:rsid w:val="00C8147C"/>
    <w:rsid w:val="00C82F5C"/>
    <w:rsid w:val="00C8337C"/>
    <w:rsid w:val="00C84573"/>
    <w:rsid w:val="00C84950"/>
    <w:rsid w:val="00C872EB"/>
    <w:rsid w:val="00C90D1A"/>
    <w:rsid w:val="00C92801"/>
    <w:rsid w:val="00C95AED"/>
    <w:rsid w:val="00CA0DFC"/>
    <w:rsid w:val="00CA3FEE"/>
    <w:rsid w:val="00CA4AF5"/>
    <w:rsid w:val="00CA77E6"/>
    <w:rsid w:val="00CA7A71"/>
    <w:rsid w:val="00CA7CA7"/>
    <w:rsid w:val="00CB181F"/>
    <w:rsid w:val="00CB3E6A"/>
    <w:rsid w:val="00CB7484"/>
    <w:rsid w:val="00CC25D8"/>
    <w:rsid w:val="00CC2B0E"/>
    <w:rsid w:val="00CC54E5"/>
    <w:rsid w:val="00CC5664"/>
    <w:rsid w:val="00CC567F"/>
    <w:rsid w:val="00CD49B2"/>
    <w:rsid w:val="00CE25BF"/>
    <w:rsid w:val="00CE3FD9"/>
    <w:rsid w:val="00CE4C5D"/>
    <w:rsid w:val="00CE4D58"/>
    <w:rsid w:val="00CF15A7"/>
    <w:rsid w:val="00CF480F"/>
    <w:rsid w:val="00CF4856"/>
    <w:rsid w:val="00CF55EA"/>
    <w:rsid w:val="00CF5FAA"/>
    <w:rsid w:val="00CF65CA"/>
    <w:rsid w:val="00D023EC"/>
    <w:rsid w:val="00D032C5"/>
    <w:rsid w:val="00D036E5"/>
    <w:rsid w:val="00D04FCE"/>
    <w:rsid w:val="00D07685"/>
    <w:rsid w:val="00D07A3F"/>
    <w:rsid w:val="00D11FE7"/>
    <w:rsid w:val="00D1219C"/>
    <w:rsid w:val="00D144E7"/>
    <w:rsid w:val="00D17C58"/>
    <w:rsid w:val="00D17FAC"/>
    <w:rsid w:val="00D21F4D"/>
    <w:rsid w:val="00D26368"/>
    <w:rsid w:val="00D267BB"/>
    <w:rsid w:val="00D27354"/>
    <w:rsid w:val="00D30C6B"/>
    <w:rsid w:val="00D31F8A"/>
    <w:rsid w:val="00D320E1"/>
    <w:rsid w:val="00D342D9"/>
    <w:rsid w:val="00D3755F"/>
    <w:rsid w:val="00D43995"/>
    <w:rsid w:val="00D5377B"/>
    <w:rsid w:val="00D5537E"/>
    <w:rsid w:val="00D55B67"/>
    <w:rsid w:val="00D57C0B"/>
    <w:rsid w:val="00D60F66"/>
    <w:rsid w:val="00D63AE1"/>
    <w:rsid w:val="00D6761D"/>
    <w:rsid w:val="00D72B1A"/>
    <w:rsid w:val="00D75F67"/>
    <w:rsid w:val="00D77081"/>
    <w:rsid w:val="00D830AA"/>
    <w:rsid w:val="00D867F9"/>
    <w:rsid w:val="00D86AF8"/>
    <w:rsid w:val="00D91B43"/>
    <w:rsid w:val="00D9295D"/>
    <w:rsid w:val="00D948DC"/>
    <w:rsid w:val="00DA10E1"/>
    <w:rsid w:val="00DA2687"/>
    <w:rsid w:val="00DA3823"/>
    <w:rsid w:val="00DA540B"/>
    <w:rsid w:val="00DB1E3E"/>
    <w:rsid w:val="00DB267B"/>
    <w:rsid w:val="00DB3BEF"/>
    <w:rsid w:val="00DB4BB6"/>
    <w:rsid w:val="00DB72AB"/>
    <w:rsid w:val="00DC2248"/>
    <w:rsid w:val="00DC4E36"/>
    <w:rsid w:val="00DD0FF8"/>
    <w:rsid w:val="00DD3AF3"/>
    <w:rsid w:val="00DD4562"/>
    <w:rsid w:val="00DD4EB0"/>
    <w:rsid w:val="00DD53D2"/>
    <w:rsid w:val="00DD5450"/>
    <w:rsid w:val="00DE2477"/>
    <w:rsid w:val="00DE4BC9"/>
    <w:rsid w:val="00DF0AA1"/>
    <w:rsid w:val="00DF27DC"/>
    <w:rsid w:val="00DF454D"/>
    <w:rsid w:val="00DF614B"/>
    <w:rsid w:val="00E02308"/>
    <w:rsid w:val="00E0311D"/>
    <w:rsid w:val="00E0610F"/>
    <w:rsid w:val="00E07C72"/>
    <w:rsid w:val="00E109EB"/>
    <w:rsid w:val="00E15B56"/>
    <w:rsid w:val="00E16E9F"/>
    <w:rsid w:val="00E22AAE"/>
    <w:rsid w:val="00E22CC8"/>
    <w:rsid w:val="00E22D45"/>
    <w:rsid w:val="00E240AC"/>
    <w:rsid w:val="00E24D85"/>
    <w:rsid w:val="00E26086"/>
    <w:rsid w:val="00E30847"/>
    <w:rsid w:val="00E318F3"/>
    <w:rsid w:val="00E327D0"/>
    <w:rsid w:val="00E32FE8"/>
    <w:rsid w:val="00E3374A"/>
    <w:rsid w:val="00E338CA"/>
    <w:rsid w:val="00E40DE4"/>
    <w:rsid w:val="00E44127"/>
    <w:rsid w:val="00E45B29"/>
    <w:rsid w:val="00E4663D"/>
    <w:rsid w:val="00E47642"/>
    <w:rsid w:val="00E517BF"/>
    <w:rsid w:val="00E518D8"/>
    <w:rsid w:val="00E53BF3"/>
    <w:rsid w:val="00E556E4"/>
    <w:rsid w:val="00E55AD9"/>
    <w:rsid w:val="00E56841"/>
    <w:rsid w:val="00E57D71"/>
    <w:rsid w:val="00E57E3B"/>
    <w:rsid w:val="00E61415"/>
    <w:rsid w:val="00E6320C"/>
    <w:rsid w:val="00E633A3"/>
    <w:rsid w:val="00E649AE"/>
    <w:rsid w:val="00E66806"/>
    <w:rsid w:val="00E66BC3"/>
    <w:rsid w:val="00E7029E"/>
    <w:rsid w:val="00E7160B"/>
    <w:rsid w:val="00E73904"/>
    <w:rsid w:val="00E73AC3"/>
    <w:rsid w:val="00E7582C"/>
    <w:rsid w:val="00E819DA"/>
    <w:rsid w:val="00E83944"/>
    <w:rsid w:val="00E83B05"/>
    <w:rsid w:val="00E9237A"/>
    <w:rsid w:val="00E9237D"/>
    <w:rsid w:val="00E92D45"/>
    <w:rsid w:val="00E956E1"/>
    <w:rsid w:val="00E97193"/>
    <w:rsid w:val="00E97373"/>
    <w:rsid w:val="00EA0183"/>
    <w:rsid w:val="00EA137D"/>
    <w:rsid w:val="00EA15AB"/>
    <w:rsid w:val="00EA1CAB"/>
    <w:rsid w:val="00EA1F4C"/>
    <w:rsid w:val="00EA2F44"/>
    <w:rsid w:val="00EB0779"/>
    <w:rsid w:val="00EB28E6"/>
    <w:rsid w:val="00EB3257"/>
    <w:rsid w:val="00EB6BC8"/>
    <w:rsid w:val="00EC0193"/>
    <w:rsid w:val="00EC049B"/>
    <w:rsid w:val="00EC0D3E"/>
    <w:rsid w:val="00EC11DD"/>
    <w:rsid w:val="00EC162F"/>
    <w:rsid w:val="00EC59B7"/>
    <w:rsid w:val="00EC7B3C"/>
    <w:rsid w:val="00ED06F8"/>
    <w:rsid w:val="00ED0D35"/>
    <w:rsid w:val="00ED4545"/>
    <w:rsid w:val="00ED4701"/>
    <w:rsid w:val="00EE10EB"/>
    <w:rsid w:val="00EF3033"/>
    <w:rsid w:val="00EF3D06"/>
    <w:rsid w:val="00EF65D8"/>
    <w:rsid w:val="00EF7EAB"/>
    <w:rsid w:val="00F00473"/>
    <w:rsid w:val="00F01C68"/>
    <w:rsid w:val="00F059CC"/>
    <w:rsid w:val="00F06365"/>
    <w:rsid w:val="00F07C23"/>
    <w:rsid w:val="00F125D8"/>
    <w:rsid w:val="00F140F1"/>
    <w:rsid w:val="00F1439B"/>
    <w:rsid w:val="00F162E1"/>
    <w:rsid w:val="00F208FD"/>
    <w:rsid w:val="00F252DB"/>
    <w:rsid w:val="00F2744F"/>
    <w:rsid w:val="00F30FCE"/>
    <w:rsid w:val="00F316AE"/>
    <w:rsid w:val="00F32FD0"/>
    <w:rsid w:val="00F339E4"/>
    <w:rsid w:val="00F36C5D"/>
    <w:rsid w:val="00F37C6B"/>
    <w:rsid w:val="00F40274"/>
    <w:rsid w:val="00F440A9"/>
    <w:rsid w:val="00F47237"/>
    <w:rsid w:val="00F51BDA"/>
    <w:rsid w:val="00F52C79"/>
    <w:rsid w:val="00F5518F"/>
    <w:rsid w:val="00F55D07"/>
    <w:rsid w:val="00F560D1"/>
    <w:rsid w:val="00F56752"/>
    <w:rsid w:val="00F6006F"/>
    <w:rsid w:val="00F60ED1"/>
    <w:rsid w:val="00F62FB9"/>
    <w:rsid w:val="00F63AA1"/>
    <w:rsid w:val="00F63D89"/>
    <w:rsid w:val="00F65BE5"/>
    <w:rsid w:val="00F6664A"/>
    <w:rsid w:val="00F67356"/>
    <w:rsid w:val="00F70B79"/>
    <w:rsid w:val="00F76481"/>
    <w:rsid w:val="00F772E7"/>
    <w:rsid w:val="00F77337"/>
    <w:rsid w:val="00F7758D"/>
    <w:rsid w:val="00F81DF3"/>
    <w:rsid w:val="00F825AF"/>
    <w:rsid w:val="00F825B2"/>
    <w:rsid w:val="00F85D2D"/>
    <w:rsid w:val="00FA1FE2"/>
    <w:rsid w:val="00FA3140"/>
    <w:rsid w:val="00FA40CB"/>
    <w:rsid w:val="00FA4C20"/>
    <w:rsid w:val="00FA7035"/>
    <w:rsid w:val="00FA74EC"/>
    <w:rsid w:val="00FB063B"/>
    <w:rsid w:val="00FB1CA4"/>
    <w:rsid w:val="00FB1ED4"/>
    <w:rsid w:val="00FB2B3A"/>
    <w:rsid w:val="00FB6D8E"/>
    <w:rsid w:val="00FB7F42"/>
    <w:rsid w:val="00FC114B"/>
    <w:rsid w:val="00FC6C41"/>
    <w:rsid w:val="00FD277C"/>
    <w:rsid w:val="00FD6B4A"/>
    <w:rsid w:val="00FE48D3"/>
    <w:rsid w:val="00FE6BA0"/>
    <w:rsid w:val="00FF05D3"/>
    <w:rsid w:val="00FF1513"/>
    <w:rsid w:val="00FF6BFF"/>
    <w:rsid w:val="00FF714C"/>
    <w:rsid w:val="00FF7FC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aliases w:val="Schriftblock"/>
    <w:qFormat/>
    <w:rsid w:val="0023687B"/>
    <w:pPr>
      <w:jc w:val="both"/>
    </w:pPr>
    <w:rPr>
      <w:rFonts w:ascii="Times New Roman" w:hAnsi="Times New Roman"/>
      <w:sz w:val="24"/>
    </w:rPr>
  </w:style>
  <w:style w:type="paragraph" w:styleId="berschrift1">
    <w:name w:val="heading 1"/>
    <w:basedOn w:val="Standard"/>
    <w:next w:val="Standard"/>
    <w:link w:val="berschrift1Zchn"/>
    <w:uiPriority w:val="9"/>
    <w:qFormat/>
    <w:rsid w:val="0023687B"/>
    <w:pPr>
      <w:keepNext/>
      <w:keepLines/>
      <w:spacing w:before="480" w:after="240"/>
      <w:outlineLvl w:val="0"/>
    </w:pPr>
    <w:rPr>
      <w:rFonts w:eastAsiaTheme="majorEastAsia" w:cstheme="majorBidi"/>
      <w:b/>
      <w:bCs/>
      <w:sz w:val="36"/>
      <w:szCs w:val="28"/>
      <w:u w:val="single"/>
    </w:rPr>
  </w:style>
  <w:style w:type="paragraph" w:styleId="berschrift2">
    <w:name w:val="heading 2"/>
    <w:basedOn w:val="Standard"/>
    <w:next w:val="Standard"/>
    <w:link w:val="berschrift2Zchn"/>
    <w:uiPriority w:val="9"/>
    <w:unhideWhenUsed/>
    <w:qFormat/>
    <w:rsid w:val="0023687B"/>
    <w:pPr>
      <w:keepNext/>
      <w:keepLines/>
      <w:spacing w:before="240" w:after="120"/>
      <w:outlineLvl w:val="1"/>
    </w:pPr>
    <w:rPr>
      <w:rFonts w:eastAsiaTheme="majorEastAsia" w:cstheme="majorBidi"/>
      <w:b/>
      <w:bCs/>
      <w:sz w:val="28"/>
      <w:szCs w:val="26"/>
    </w:rPr>
  </w:style>
  <w:style w:type="paragraph" w:styleId="berschrift3">
    <w:name w:val="heading 3"/>
    <w:basedOn w:val="Standard"/>
    <w:next w:val="Standard"/>
    <w:link w:val="berschrift3Zchn"/>
    <w:uiPriority w:val="9"/>
    <w:unhideWhenUsed/>
    <w:qFormat/>
    <w:rsid w:val="0023687B"/>
    <w:pPr>
      <w:keepNext/>
      <w:keepLines/>
      <w:spacing w:before="120" w:after="120"/>
      <w:outlineLvl w:val="2"/>
    </w:pPr>
    <w:rPr>
      <w:rFonts w:eastAsiaTheme="majorEastAsia" w:cstheme="majorBidi"/>
      <w:b/>
      <w:bC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23687B"/>
    <w:pPr>
      <w:ind w:left="720"/>
      <w:contextualSpacing/>
    </w:pPr>
  </w:style>
  <w:style w:type="table" w:styleId="Tabellenraster">
    <w:name w:val="Table Grid"/>
    <w:basedOn w:val="NormaleTabelle"/>
    <w:uiPriority w:val="59"/>
    <w:rsid w:val="007438E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6C0709"/>
    <w:pPr>
      <w:autoSpaceDE w:val="0"/>
      <w:autoSpaceDN w:val="0"/>
      <w:adjustRightInd w:val="0"/>
      <w:spacing w:after="0" w:line="240" w:lineRule="auto"/>
    </w:pPr>
    <w:rPr>
      <w:rFonts w:ascii="Times New Roman" w:hAnsi="Times New Roman" w:cs="Times New Roman"/>
      <w:color w:val="000000"/>
      <w:sz w:val="24"/>
      <w:szCs w:val="24"/>
    </w:rPr>
  </w:style>
  <w:style w:type="paragraph" w:styleId="Sprechblasentext">
    <w:name w:val="Balloon Text"/>
    <w:basedOn w:val="Standard"/>
    <w:link w:val="SprechblasentextZchn"/>
    <w:uiPriority w:val="99"/>
    <w:semiHidden/>
    <w:unhideWhenUsed/>
    <w:rsid w:val="0022793E"/>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22793E"/>
    <w:rPr>
      <w:rFonts w:ascii="Tahoma" w:hAnsi="Tahoma" w:cs="Tahoma"/>
      <w:sz w:val="16"/>
      <w:szCs w:val="16"/>
    </w:rPr>
  </w:style>
  <w:style w:type="paragraph" w:styleId="Beschriftung">
    <w:name w:val="caption"/>
    <w:basedOn w:val="Standard"/>
    <w:next w:val="Standard"/>
    <w:uiPriority w:val="35"/>
    <w:unhideWhenUsed/>
    <w:qFormat/>
    <w:rsid w:val="0023687B"/>
    <w:pPr>
      <w:spacing w:line="240" w:lineRule="auto"/>
    </w:pPr>
    <w:rPr>
      <w:b/>
      <w:bCs/>
      <w:sz w:val="18"/>
      <w:szCs w:val="18"/>
    </w:rPr>
  </w:style>
  <w:style w:type="character" w:customStyle="1" w:styleId="berschrift1Zchn">
    <w:name w:val="Überschrift 1 Zchn"/>
    <w:basedOn w:val="Absatz-Standardschriftart"/>
    <w:link w:val="berschrift1"/>
    <w:uiPriority w:val="9"/>
    <w:rsid w:val="0023687B"/>
    <w:rPr>
      <w:rFonts w:ascii="Times New Roman" w:eastAsiaTheme="majorEastAsia" w:hAnsi="Times New Roman" w:cstheme="majorBidi"/>
      <w:b/>
      <w:bCs/>
      <w:sz w:val="36"/>
      <w:szCs w:val="28"/>
      <w:u w:val="single"/>
    </w:rPr>
  </w:style>
  <w:style w:type="character" w:customStyle="1" w:styleId="berschrift2Zchn">
    <w:name w:val="Überschrift 2 Zchn"/>
    <w:basedOn w:val="Absatz-Standardschriftart"/>
    <w:link w:val="berschrift2"/>
    <w:uiPriority w:val="9"/>
    <w:rsid w:val="0023687B"/>
    <w:rPr>
      <w:rFonts w:ascii="Times New Roman" w:eastAsiaTheme="majorEastAsia" w:hAnsi="Times New Roman" w:cstheme="majorBidi"/>
      <w:b/>
      <w:bCs/>
      <w:sz w:val="28"/>
      <w:szCs w:val="26"/>
    </w:rPr>
  </w:style>
  <w:style w:type="character" w:customStyle="1" w:styleId="berschrift3Zchn">
    <w:name w:val="Überschrift 3 Zchn"/>
    <w:basedOn w:val="Absatz-Standardschriftart"/>
    <w:link w:val="berschrift3"/>
    <w:uiPriority w:val="9"/>
    <w:rsid w:val="0023687B"/>
    <w:rPr>
      <w:rFonts w:ascii="Times New Roman" w:eastAsiaTheme="majorEastAsia" w:hAnsi="Times New Roman" w:cstheme="majorBidi"/>
      <w:b/>
      <w:bCs/>
      <w:sz w:val="24"/>
    </w:rPr>
  </w:style>
  <w:style w:type="character" w:styleId="Fett">
    <w:name w:val="Strong"/>
    <w:basedOn w:val="Absatz-Standardschriftart"/>
    <w:uiPriority w:val="22"/>
    <w:qFormat/>
    <w:rsid w:val="0023687B"/>
    <w:rPr>
      <w:b/>
      <w:bCs/>
    </w:rPr>
  </w:style>
  <w:style w:type="paragraph" w:styleId="KeinLeerraum">
    <w:name w:val="No Spacing"/>
    <w:uiPriority w:val="1"/>
    <w:qFormat/>
    <w:rsid w:val="0023687B"/>
    <w:pPr>
      <w:spacing w:after="0" w:line="240" w:lineRule="auto"/>
    </w:pPr>
  </w:style>
  <w:style w:type="paragraph" w:styleId="Inhaltsverzeichnisberschrift">
    <w:name w:val="TOC Heading"/>
    <w:basedOn w:val="berschrift1"/>
    <w:next w:val="Standard"/>
    <w:uiPriority w:val="39"/>
    <w:unhideWhenUsed/>
    <w:qFormat/>
    <w:rsid w:val="0023687B"/>
    <w:pPr>
      <w:spacing w:after="0"/>
      <w:outlineLvl w:val="9"/>
    </w:pPr>
    <w:rPr>
      <w:rFonts w:asciiTheme="majorHAnsi" w:hAnsiTheme="majorHAnsi"/>
      <w:color w:val="365F91" w:themeColor="accent1" w:themeShade="BF"/>
      <w:sz w:val="28"/>
      <w:u w:val="none"/>
      <w:lang w:eastAsia="de-DE"/>
    </w:rPr>
  </w:style>
  <w:style w:type="paragraph" w:styleId="Kopfzeile">
    <w:name w:val="header"/>
    <w:basedOn w:val="Standard"/>
    <w:link w:val="KopfzeileZchn"/>
    <w:uiPriority w:val="99"/>
    <w:unhideWhenUsed/>
    <w:rsid w:val="0023687B"/>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23687B"/>
    <w:rPr>
      <w:rFonts w:ascii="Times New Roman" w:hAnsi="Times New Roman"/>
      <w:sz w:val="24"/>
    </w:rPr>
  </w:style>
  <w:style w:type="paragraph" w:styleId="Fuzeile">
    <w:name w:val="footer"/>
    <w:basedOn w:val="Standard"/>
    <w:link w:val="FuzeileZchn"/>
    <w:uiPriority w:val="99"/>
    <w:unhideWhenUsed/>
    <w:rsid w:val="0023687B"/>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23687B"/>
    <w:rPr>
      <w:rFonts w:ascii="Times New Roman" w:hAnsi="Times New Roman"/>
      <w:sz w:val="24"/>
    </w:rPr>
  </w:style>
  <w:style w:type="table" w:styleId="HelleSchattierung">
    <w:name w:val="Light Shading"/>
    <w:basedOn w:val="NormaleTabelle"/>
    <w:uiPriority w:val="60"/>
    <w:rsid w:val="0023687B"/>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Verzeichnis1">
    <w:name w:val="toc 1"/>
    <w:basedOn w:val="Standard"/>
    <w:next w:val="Standard"/>
    <w:autoRedefine/>
    <w:uiPriority w:val="39"/>
    <w:unhideWhenUsed/>
    <w:rsid w:val="00774E14"/>
    <w:pPr>
      <w:spacing w:after="100"/>
    </w:pPr>
  </w:style>
  <w:style w:type="paragraph" w:styleId="Verzeichnis2">
    <w:name w:val="toc 2"/>
    <w:basedOn w:val="Standard"/>
    <w:next w:val="Standard"/>
    <w:autoRedefine/>
    <w:uiPriority w:val="39"/>
    <w:unhideWhenUsed/>
    <w:rsid w:val="00774E14"/>
    <w:pPr>
      <w:spacing w:after="100"/>
      <w:ind w:left="240"/>
    </w:pPr>
  </w:style>
  <w:style w:type="character" w:styleId="Hyperlink">
    <w:name w:val="Hyperlink"/>
    <w:basedOn w:val="Absatz-Standardschriftart"/>
    <w:uiPriority w:val="99"/>
    <w:unhideWhenUsed/>
    <w:rsid w:val="00774E14"/>
    <w:rPr>
      <w:color w:val="0000FF" w:themeColor="hyperlink"/>
      <w:u w:val="single"/>
    </w:rPr>
  </w:style>
  <w:style w:type="character" w:styleId="BesuchterHyperlink">
    <w:name w:val="FollowedHyperlink"/>
    <w:basedOn w:val="Absatz-Standardschriftart"/>
    <w:uiPriority w:val="99"/>
    <w:semiHidden/>
    <w:unhideWhenUsed/>
    <w:rsid w:val="00566594"/>
    <w:rPr>
      <w:color w:val="800080" w:themeColor="followedHyperlink"/>
      <w:u w:val="single"/>
    </w:rPr>
  </w:style>
  <w:style w:type="character" w:customStyle="1" w:styleId="mixed-citation">
    <w:name w:val="mixed-citation"/>
    <w:basedOn w:val="Absatz-Standardschriftart"/>
    <w:rsid w:val="00542F2C"/>
  </w:style>
  <w:style w:type="paragraph" w:styleId="Verzeichnis3">
    <w:name w:val="toc 3"/>
    <w:basedOn w:val="Standard"/>
    <w:next w:val="Standard"/>
    <w:autoRedefine/>
    <w:uiPriority w:val="39"/>
    <w:unhideWhenUsed/>
    <w:rsid w:val="0026625A"/>
    <w:pPr>
      <w:spacing w:after="100"/>
      <w:ind w:left="480"/>
    </w:pPr>
  </w:style>
  <w:style w:type="character" w:styleId="Platzhaltertext">
    <w:name w:val="Placeholder Text"/>
    <w:basedOn w:val="Absatz-Standardschriftart"/>
    <w:uiPriority w:val="99"/>
    <w:semiHidden/>
    <w:rsid w:val="00DA10E1"/>
    <w:rPr>
      <w:color w:val="808080"/>
    </w:rPr>
  </w:style>
  <w:style w:type="paragraph" w:styleId="Abbildungsverzeichnis">
    <w:name w:val="table of figures"/>
    <w:basedOn w:val="Standard"/>
    <w:next w:val="Standard"/>
    <w:uiPriority w:val="99"/>
    <w:unhideWhenUsed/>
    <w:rsid w:val="0074192E"/>
    <w:pPr>
      <w:spacing w:after="0"/>
    </w:pPr>
  </w:style>
  <w:style w:type="character" w:styleId="Kommentarzeichen">
    <w:name w:val="annotation reference"/>
    <w:basedOn w:val="Absatz-Standardschriftart"/>
    <w:uiPriority w:val="99"/>
    <w:semiHidden/>
    <w:unhideWhenUsed/>
    <w:rsid w:val="00526096"/>
    <w:rPr>
      <w:sz w:val="16"/>
      <w:szCs w:val="16"/>
    </w:rPr>
  </w:style>
  <w:style w:type="paragraph" w:styleId="Kommentartext">
    <w:name w:val="annotation text"/>
    <w:basedOn w:val="Standard"/>
    <w:link w:val="KommentartextZchn"/>
    <w:uiPriority w:val="99"/>
    <w:semiHidden/>
    <w:unhideWhenUsed/>
    <w:rsid w:val="00526096"/>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526096"/>
    <w:rPr>
      <w:rFonts w:ascii="Times New Roman" w:hAnsi="Times New Roman"/>
      <w:sz w:val="20"/>
      <w:szCs w:val="20"/>
    </w:rPr>
  </w:style>
  <w:style w:type="paragraph" w:styleId="Kommentarthema">
    <w:name w:val="annotation subject"/>
    <w:basedOn w:val="Kommentartext"/>
    <w:next w:val="Kommentartext"/>
    <w:link w:val="KommentarthemaZchn"/>
    <w:uiPriority w:val="99"/>
    <w:semiHidden/>
    <w:unhideWhenUsed/>
    <w:rsid w:val="00526096"/>
    <w:rPr>
      <w:b/>
      <w:bCs/>
    </w:rPr>
  </w:style>
  <w:style w:type="character" w:customStyle="1" w:styleId="KommentarthemaZchn">
    <w:name w:val="Kommentarthema Zchn"/>
    <w:basedOn w:val="KommentartextZchn"/>
    <w:link w:val="Kommentarthema"/>
    <w:uiPriority w:val="99"/>
    <w:semiHidden/>
    <w:rsid w:val="00526096"/>
    <w:rPr>
      <w:rFonts w:ascii="Times New Roman" w:hAnsi="Times New Roman"/>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aliases w:val="Schriftblock"/>
    <w:qFormat/>
    <w:rsid w:val="0023687B"/>
    <w:pPr>
      <w:jc w:val="both"/>
    </w:pPr>
    <w:rPr>
      <w:rFonts w:ascii="Times New Roman" w:hAnsi="Times New Roman"/>
      <w:sz w:val="24"/>
    </w:rPr>
  </w:style>
  <w:style w:type="paragraph" w:styleId="berschrift1">
    <w:name w:val="heading 1"/>
    <w:basedOn w:val="Standard"/>
    <w:next w:val="Standard"/>
    <w:link w:val="berschrift1Zchn"/>
    <w:uiPriority w:val="9"/>
    <w:qFormat/>
    <w:rsid w:val="0023687B"/>
    <w:pPr>
      <w:keepNext/>
      <w:keepLines/>
      <w:spacing w:before="480" w:after="240"/>
      <w:outlineLvl w:val="0"/>
    </w:pPr>
    <w:rPr>
      <w:rFonts w:eastAsiaTheme="majorEastAsia" w:cstheme="majorBidi"/>
      <w:b/>
      <w:bCs/>
      <w:sz w:val="36"/>
      <w:szCs w:val="28"/>
      <w:u w:val="single"/>
    </w:rPr>
  </w:style>
  <w:style w:type="paragraph" w:styleId="berschrift2">
    <w:name w:val="heading 2"/>
    <w:basedOn w:val="Standard"/>
    <w:next w:val="Standard"/>
    <w:link w:val="berschrift2Zchn"/>
    <w:uiPriority w:val="9"/>
    <w:unhideWhenUsed/>
    <w:qFormat/>
    <w:rsid w:val="0023687B"/>
    <w:pPr>
      <w:keepNext/>
      <w:keepLines/>
      <w:spacing w:before="240" w:after="120"/>
      <w:outlineLvl w:val="1"/>
    </w:pPr>
    <w:rPr>
      <w:rFonts w:eastAsiaTheme="majorEastAsia" w:cstheme="majorBidi"/>
      <w:b/>
      <w:bCs/>
      <w:sz w:val="28"/>
      <w:szCs w:val="26"/>
    </w:rPr>
  </w:style>
  <w:style w:type="paragraph" w:styleId="berschrift3">
    <w:name w:val="heading 3"/>
    <w:basedOn w:val="Standard"/>
    <w:next w:val="Standard"/>
    <w:link w:val="berschrift3Zchn"/>
    <w:uiPriority w:val="9"/>
    <w:unhideWhenUsed/>
    <w:qFormat/>
    <w:rsid w:val="0023687B"/>
    <w:pPr>
      <w:keepNext/>
      <w:keepLines/>
      <w:spacing w:before="120" w:after="120"/>
      <w:outlineLvl w:val="2"/>
    </w:pPr>
    <w:rPr>
      <w:rFonts w:eastAsiaTheme="majorEastAsia" w:cstheme="majorBidi"/>
      <w:b/>
      <w:bC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23687B"/>
    <w:pPr>
      <w:ind w:left="720"/>
      <w:contextualSpacing/>
    </w:pPr>
  </w:style>
  <w:style w:type="table" w:styleId="Tabellenraster">
    <w:name w:val="Table Grid"/>
    <w:basedOn w:val="NormaleTabelle"/>
    <w:uiPriority w:val="59"/>
    <w:rsid w:val="007438E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6C0709"/>
    <w:pPr>
      <w:autoSpaceDE w:val="0"/>
      <w:autoSpaceDN w:val="0"/>
      <w:adjustRightInd w:val="0"/>
      <w:spacing w:after="0" w:line="240" w:lineRule="auto"/>
    </w:pPr>
    <w:rPr>
      <w:rFonts w:ascii="Times New Roman" w:hAnsi="Times New Roman" w:cs="Times New Roman"/>
      <w:color w:val="000000"/>
      <w:sz w:val="24"/>
      <w:szCs w:val="24"/>
    </w:rPr>
  </w:style>
  <w:style w:type="paragraph" w:styleId="Sprechblasentext">
    <w:name w:val="Balloon Text"/>
    <w:basedOn w:val="Standard"/>
    <w:link w:val="SprechblasentextZchn"/>
    <w:uiPriority w:val="99"/>
    <w:semiHidden/>
    <w:unhideWhenUsed/>
    <w:rsid w:val="0022793E"/>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22793E"/>
    <w:rPr>
      <w:rFonts w:ascii="Tahoma" w:hAnsi="Tahoma" w:cs="Tahoma"/>
      <w:sz w:val="16"/>
      <w:szCs w:val="16"/>
    </w:rPr>
  </w:style>
  <w:style w:type="paragraph" w:styleId="Beschriftung">
    <w:name w:val="caption"/>
    <w:basedOn w:val="Standard"/>
    <w:next w:val="Standard"/>
    <w:uiPriority w:val="35"/>
    <w:unhideWhenUsed/>
    <w:qFormat/>
    <w:rsid w:val="0023687B"/>
    <w:pPr>
      <w:spacing w:line="240" w:lineRule="auto"/>
    </w:pPr>
    <w:rPr>
      <w:b/>
      <w:bCs/>
      <w:sz w:val="18"/>
      <w:szCs w:val="18"/>
    </w:rPr>
  </w:style>
  <w:style w:type="character" w:customStyle="1" w:styleId="berschrift1Zchn">
    <w:name w:val="Überschrift 1 Zchn"/>
    <w:basedOn w:val="Absatz-Standardschriftart"/>
    <w:link w:val="berschrift1"/>
    <w:uiPriority w:val="9"/>
    <w:rsid w:val="0023687B"/>
    <w:rPr>
      <w:rFonts w:ascii="Times New Roman" w:eastAsiaTheme="majorEastAsia" w:hAnsi="Times New Roman" w:cstheme="majorBidi"/>
      <w:b/>
      <w:bCs/>
      <w:sz w:val="36"/>
      <w:szCs w:val="28"/>
      <w:u w:val="single"/>
    </w:rPr>
  </w:style>
  <w:style w:type="character" w:customStyle="1" w:styleId="berschrift2Zchn">
    <w:name w:val="Überschrift 2 Zchn"/>
    <w:basedOn w:val="Absatz-Standardschriftart"/>
    <w:link w:val="berschrift2"/>
    <w:uiPriority w:val="9"/>
    <w:rsid w:val="0023687B"/>
    <w:rPr>
      <w:rFonts w:ascii="Times New Roman" w:eastAsiaTheme="majorEastAsia" w:hAnsi="Times New Roman" w:cstheme="majorBidi"/>
      <w:b/>
      <w:bCs/>
      <w:sz w:val="28"/>
      <w:szCs w:val="26"/>
    </w:rPr>
  </w:style>
  <w:style w:type="character" w:customStyle="1" w:styleId="berschrift3Zchn">
    <w:name w:val="Überschrift 3 Zchn"/>
    <w:basedOn w:val="Absatz-Standardschriftart"/>
    <w:link w:val="berschrift3"/>
    <w:uiPriority w:val="9"/>
    <w:rsid w:val="0023687B"/>
    <w:rPr>
      <w:rFonts w:ascii="Times New Roman" w:eastAsiaTheme="majorEastAsia" w:hAnsi="Times New Roman" w:cstheme="majorBidi"/>
      <w:b/>
      <w:bCs/>
      <w:sz w:val="24"/>
    </w:rPr>
  </w:style>
  <w:style w:type="character" w:styleId="Fett">
    <w:name w:val="Strong"/>
    <w:basedOn w:val="Absatz-Standardschriftart"/>
    <w:uiPriority w:val="22"/>
    <w:qFormat/>
    <w:rsid w:val="0023687B"/>
    <w:rPr>
      <w:b/>
      <w:bCs/>
    </w:rPr>
  </w:style>
  <w:style w:type="paragraph" w:styleId="KeinLeerraum">
    <w:name w:val="No Spacing"/>
    <w:uiPriority w:val="1"/>
    <w:qFormat/>
    <w:rsid w:val="0023687B"/>
    <w:pPr>
      <w:spacing w:after="0" w:line="240" w:lineRule="auto"/>
    </w:pPr>
  </w:style>
  <w:style w:type="paragraph" w:styleId="Inhaltsverzeichnisberschrift">
    <w:name w:val="TOC Heading"/>
    <w:basedOn w:val="berschrift1"/>
    <w:next w:val="Standard"/>
    <w:uiPriority w:val="39"/>
    <w:unhideWhenUsed/>
    <w:qFormat/>
    <w:rsid w:val="0023687B"/>
    <w:pPr>
      <w:spacing w:after="0"/>
      <w:outlineLvl w:val="9"/>
    </w:pPr>
    <w:rPr>
      <w:rFonts w:asciiTheme="majorHAnsi" w:hAnsiTheme="majorHAnsi"/>
      <w:color w:val="365F91" w:themeColor="accent1" w:themeShade="BF"/>
      <w:sz w:val="28"/>
      <w:u w:val="none"/>
      <w:lang w:eastAsia="de-DE"/>
    </w:rPr>
  </w:style>
  <w:style w:type="paragraph" w:styleId="Kopfzeile">
    <w:name w:val="header"/>
    <w:basedOn w:val="Standard"/>
    <w:link w:val="KopfzeileZchn"/>
    <w:uiPriority w:val="99"/>
    <w:unhideWhenUsed/>
    <w:rsid w:val="0023687B"/>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23687B"/>
    <w:rPr>
      <w:rFonts w:ascii="Times New Roman" w:hAnsi="Times New Roman"/>
      <w:sz w:val="24"/>
    </w:rPr>
  </w:style>
  <w:style w:type="paragraph" w:styleId="Fuzeile">
    <w:name w:val="footer"/>
    <w:basedOn w:val="Standard"/>
    <w:link w:val="FuzeileZchn"/>
    <w:uiPriority w:val="99"/>
    <w:unhideWhenUsed/>
    <w:rsid w:val="0023687B"/>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23687B"/>
    <w:rPr>
      <w:rFonts w:ascii="Times New Roman" w:hAnsi="Times New Roman"/>
      <w:sz w:val="24"/>
    </w:rPr>
  </w:style>
  <w:style w:type="table" w:styleId="HelleSchattierung">
    <w:name w:val="Light Shading"/>
    <w:basedOn w:val="NormaleTabelle"/>
    <w:uiPriority w:val="60"/>
    <w:rsid w:val="0023687B"/>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Verzeichnis1">
    <w:name w:val="toc 1"/>
    <w:basedOn w:val="Standard"/>
    <w:next w:val="Standard"/>
    <w:autoRedefine/>
    <w:uiPriority w:val="39"/>
    <w:unhideWhenUsed/>
    <w:rsid w:val="00774E14"/>
    <w:pPr>
      <w:spacing w:after="100"/>
    </w:pPr>
  </w:style>
  <w:style w:type="paragraph" w:styleId="Verzeichnis2">
    <w:name w:val="toc 2"/>
    <w:basedOn w:val="Standard"/>
    <w:next w:val="Standard"/>
    <w:autoRedefine/>
    <w:uiPriority w:val="39"/>
    <w:unhideWhenUsed/>
    <w:rsid w:val="00774E14"/>
    <w:pPr>
      <w:spacing w:after="100"/>
      <w:ind w:left="240"/>
    </w:pPr>
  </w:style>
  <w:style w:type="character" w:styleId="Hyperlink">
    <w:name w:val="Hyperlink"/>
    <w:basedOn w:val="Absatz-Standardschriftart"/>
    <w:uiPriority w:val="99"/>
    <w:unhideWhenUsed/>
    <w:rsid w:val="00774E14"/>
    <w:rPr>
      <w:color w:val="0000FF" w:themeColor="hyperlink"/>
      <w:u w:val="single"/>
    </w:rPr>
  </w:style>
  <w:style w:type="character" w:styleId="BesuchterHyperlink">
    <w:name w:val="FollowedHyperlink"/>
    <w:basedOn w:val="Absatz-Standardschriftart"/>
    <w:uiPriority w:val="99"/>
    <w:semiHidden/>
    <w:unhideWhenUsed/>
    <w:rsid w:val="00566594"/>
    <w:rPr>
      <w:color w:val="800080" w:themeColor="followedHyperlink"/>
      <w:u w:val="single"/>
    </w:rPr>
  </w:style>
  <w:style w:type="character" w:customStyle="1" w:styleId="mixed-citation">
    <w:name w:val="mixed-citation"/>
    <w:basedOn w:val="Absatz-Standardschriftart"/>
    <w:rsid w:val="00542F2C"/>
  </w:style>
  <w:style w:type="paragraph" w:styleId="Verzeichnis3">
    <w:name w:val="toc 3"/>
    <w:basedOn w:val="Standard"/>
    <w:next w:val="Standard"/>
    <w:autoRedefine/>
    <w:uiPriority w:val="39"/>
    <w:unhideWhenUsed/>
    <w:rsid w:val="0026625A"/>
    <w:pPr>
      <w:spacing w:after="100"/>
      <w:ind w:left="480"/>
    </w:pPr>
  </w:style>
  <w:style w:type="character" w:styleId="Platzhaltertext">
    <w:name w:val="Placeholder Text"/>
    <w:basedOn w:val="Absatz-Standardschriftart"/>
    <w:uiPriority w:val="99"/>
    <w:semiHidden/>
    <w:rsid w:val="00DA10E1"/>
    <w:rPr>
      <w:color w:val="808080"/>
    </w:rPr>
  </w:style>
  <w:style w:type="paragraph" w:styleId="Abbildungsverzeichnis">
    <w:name w:val="table of figures"/>
    <w:basedOn w:val="Standard"/>
    <w:next w:val="Standard"/>
    <w:uiPriority w:val="99"/>
    <w:unhideWhenUsed/>
    <w:rsid w:val="0074192E"/>
    <w:pPr>
      <w:spacing w:after="0"/>
    </w:pPr>
  </w:style>
  <w:style w:type="character" w:styleId="Kommentarzeichen">
    <w:name w:val="annotation reference"/>
    <w:basedOn w:val="Absatz-Standardschriftart"/>
    <w:uiPriority w:val="99"/>
    <w:semiHidden/>
    <w:unhideWhenUsed/>
    <w:rsid w:val="00526096"/>
    <w:rPr>
      <w:sz w:val="16"/>
      <w:szCs w:val="16"/>
    </w:rPr>
  </w:style>
  <w:style w:type="paragraph" w:styleId="Kommentartext">
    <w:name w:val="annotation text"/>
    <w:basedOn w:val="Standard"/>
    <w:link w:val="KommentartextZchn"/>
    <w:uiPriority w:val="99"/>
    <w:semiHidden/>
    <w:unhideWhenUsed/>
    <w:rsid w:val="00526096"/>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526096"/>
    <w:rPr>
      <w:rFonts w:ascii="Times New Roman" w:hAnsi="Times New Roman"/>
      <w:sz w:val="20"/>
      <w:szCs w:val="20"/>
    </w:rPr>
  </w:style>
  <w:style w:type="paragraph" w:styleId="Kommentarthema">
    <w:name w:val="annotation subject"/>
    <w:basedOn w:val="Kommentartext"/>
    <w:next w:val="Kommentartext"/>
    <w:link w:val="KommentarthemaZchn"/>
    <w:uiPriority w:val="99"/>
    <w:semiHidden/>
    <w:unhideWhenUsed/>
    <w:rsid w:val="00526096"/>
    <w:rPr>
      <w:b/>
      <w:bCs/>
    </w:rPr>
  </w:style>
  <w:style w:type="character" w:customStyle="1" w:styleId="KommentarthemaZchn">
    <w:name w:val="Kommentarthema Zchn"/>
    <w:basedOn w:val="KommentartextZchn"/>
    <w:link w:val="Kommentarthema"/>
    <w:uiPriority w:val="99"/>
    <w:semiHidden/>
    <w:rsid w:val="00526096"/>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890190">
      <w:bodyDiv w:val="1"/>
      <w:marLeft w:val="0"/>
      <w:marRight w:val="0"/>
      <w:marTop w:val="0"/>
      <w:marBottom w:val="0"/>
      <w:divBdr>
        <w:top w:val="none" w:sz="0" w:space="0" w:color="auto"/>
        <w:left w:val="none" w:sz="0" w:space="0" w:color="auto"/>
        <w:bottom w:val="none" w:sz="0" w:space="0" w:color="auto"/>
        <w:right w:val="none" w:sz="0" w:space="0" w:color="auto"/>
      </w:divBdr>
    </w:div>
    <w:div w:id="23748780">
      <w:bodyDiv w:val="1"/>
      <w:marLeft w:val="0"/>
      <w:marRight w:val="0"/>
      <w:marTop w:val="0"/>
      <w:marBottom w:val="0"/>
      <w:divBdr>
        <w:top w:val="none" w:sz="0" w:space="0" w:color="auto"/>
        <w:left w:val="none" w:sz="0" w:space="0" w:color="auto"/>
        <w:bottom w:val="none" w:sz="0" w:space="0" w:color="auto"/>
        <w:right w:val="none" w:sz="0" w:space="0" w:color="auto"/>
      </w:divBdr>
    </w:div>
    <w:div w:id="46341328">
      <w:bodyDiv w:val="1"/>
      <w:marLeft w:val="0"/>
      <w:marRight w:val="0"/>
      <w:marTop w:val="0"/>
      <w:marBottom w:val="0"/>
      <w:divBdr>
        <w:top w:val="none" w:sz="0" w:space="0" w:color="auto"/>
        <w:left w:val="none" w:sz="0" w:space="0" w:color="auto"/>
        <w:bottom w:val="none" w:sz="0" w:space="0" w:color="auto"/>
        <w:right w:val="none" w:sz="0" w:space="0" w:color="auto"/>
      </w:divBdr>
    </w:div>
    <w:div w:id="46532875">
      <w:bodyDiv w:val="1"/>
      <w:marLeft w:val="0"/>
      <w:marRight w:val="0"/>
      <w:marTop w:val="0"/>
      <w:marBottom w:val="0"/>
      <w:divBdr>
        <w:top w:val="none" w:sz="0" w:space="0" w:color="auto"/>
        <w:left w:val="none" w:sz="0" w:space="0" w:color="auto"/>
        <w:bottom w:val="none" w:sz="0" w:space="0" w:color="auto"/>
        <w:right w:val="none" w:sz="0" w:space="0" w:color="auto"/>
      </w:divBdr>
    </w:div>
    <w:div w:id="79376641">
      <w:bodyDiv w:val="1"/>
      <w:marLeft w:val="0"/>
      <w:marRight w:val="0"/>
      <w:marTop w:val="0"/>
      <w:marBottom w:val="0"/>
      <w:divBdr>
        <w:top w:val="none" w:sz="0" w:space="0" w:color="auto"/>
        <w:left w:val="none" w:sz="0" w:space="0" w:color="auto"/>
        <w:bottom w:val="none" w:sz="0" w:space="0" w:color="auto"/>
        <w:right w:val="none" w:sz="0" w:space="0" w:color="auto"/>
      </w:divBdr>
    </w:div>
    <w:div w:id="92753061">
      <w:bodyDiv w:val="1"/>
      <w:marLeft w:val="0"/>
      <w:marRight w:val="0"/>
      <w:marTop w:val="0"/>
      <w:marBottom w:val="0"/>
      <w:divBdr>
        <w:top w:val="none" w:sz="0" w:space="0" w:color="auto"/>
        <w:left w:val="none" w:sz="0" w:space="0" w:color="auto"/>
        <w:bottom w:val="none" w:sz="0" w:space="0" w:color="auto"/>
        <w:right w:val="none" w:sz="0" w:space="0" w:color="auto"/>
      </w:divBdr>
    </w:div>
    <w:div w:id="136337806">
      <w:bodyDiv w:val="1"/>
      <w:marLeft w:val="0"/>
      <w:marRight w:val="0"/>
      <w:marTop w:val="0"/>
      <w:marBottom w:val="0"/>
      <w:divBdr>
        <w:top w:val="none" w:sz="0" w:space="0" w:color="auto"/>
        <w:left w:val="none" w:sz="0" w:space="0" w:color="auto"/>
        <w:bottom w:val="none" w:sz="0" w:space="0" w:color="auto"/>
        <w:right w:val="none" w:sz="0" w:space="0" w:color="auto"/>
      </w:divBdr>
    </w:div>
    <w:div w:id="153031844">
      <w:bodyDiv w:val="1"/>
      <w:marLeft w:val="0"/>
      <w:marRight w:val="0"/>
      <w:marTop w:val="0"/>
      <w:marBottom w:val="0"/>
      <w:divBdr>
        <w:top w:val="none" w:sz="0" w:space="0" w:color="auto"/>
        <w:left w:val="none" w:sz="0" w:space="0" w:color="auto"/>
        <w:bottom w:val="none" w:sz="0" w:space="0" w:color="auto"/>
        <w:right w:val="none" w:sz="0" w:space="0" w:color="auto"/>
      </w:divBdr>
    </w:div>
    <w:div w:id="215700192">
      <w:bodyDiv w:val="1"/>
      <w:marLeft w:val="0"/>
      <w:marRight w:val="0"/>
      <w:marTop w:val="0"/>
      <w:marBottom w:val="0"/>
      <w:divBdr>
        <w:top w:val="none" w:sz="0" w:space="0" w:color="auto"/>
        <w:left w:val="none" w:sz="0" w:space="0" w:color="auto"/>
        <w:bottom w:val="none" w:sz="0" w:space="0" w:color="auto"/>
        <w:right w:val="none" w:sz="0" w:space="0" w:color="auto"/>
      </w:divBdr>
    </w:div>
    <w:div w:id="224338768">
      <w:bodyDiv w:val="1"/>
      <w:marLeft w:val="0"/>
      <w:marRight w:val="0"/>
      <w:marTop w:val="0"/>
      <w:marBottom w:val="0"/>
      <w:divBdr>
        <w:top w:val="none" w:sz="0" w:space="0" w:color="auto"/>
        <w:left w:val="none" w:sz="0" w:space="0" w:color="auto"/>
        <w:bottom w:val="none" w:sz="0" w:space="0" w:color="auto"/>
        <w:right w:val="none" w:sz="0" w:space="0" w:color="auto"/>
      </w:divBdr>
    </w:div>
    <w:div w:id="254287163">
      <w:bodyDiv w:val="1"/>
      <w:marLeft w:val="0"/>
      <w:marRight w:val="0"/>
      <w:marTop w:val="0"/>
      <w:marBottom w:val="0"/>
      <w:divBdr>
        <w:top w:val="none" w:sz="0" w:space="0" w:color="auto"/>
        <w:left w:val="none" w:sz="0" w:space="0" w:color="auto"/>
        <w:bottom w:val="none" w:sz="0" w:space="0" w:color="auto"/>
        <w:right w:val="none" w:sz="0" w:space="0" w:color="auto"/>
      </w:divBdr>
    </w:div>
    <w:div w:id="256791999">
      <w:bodyDiv w:val="1"/>
      <w:marLeft w:val="0"/>
      <w:marRight w:val="0"/>
      <w:marTop w:val="0"/>
      <w:marBottom w:val="0"/>
      <w:divBdr>
        <w:top w:val="none" w:sz="0" w:space="0" w:color="auto"/>
        <w:left w:val="none" w:sz="0" w:space="0" w:color="auto"/>
        <w:bottom w:val="none" w:sz="0" w:space="0" w:color="auto"/>
        <w:right w:val="none" w:sz="0" w:space="0" w:color="auto"/>
      </w:divBdr>
    </w:div>
    <w:div w:id="286089155">
      <w:bodyDiv w:val="1"/>
      <w:marLeft w:val="0"/>
      <w:marRight w:val="0"/>
      <w:marTop w:val="0"/>
      <w:marBottom w:val="0"/>
      <w:divBdr>
        <w:top w:val="none" w:sz="0" w:space="0" w:color="auto"/>
        <w:left w:val="none" w:sz="0" w:space="0" w:color="auto"/>
        <w:bottom w:val="none" w:sz="0" w:space="0" w:color="auto"/>
        <w:right w:val="none" w:sz="0" w:space="0" w:color="auto"/>
      </w:divBdr>
    </w:div>
    <w:div w:id="319846749">
      <w:bodyDiv w:val="1"/>
      <w:marLeft w:val="0"/>
      <w:marRight w:val="0"/>
      <w:marTop w:val="0"/>
      <w:marBottom w:val="0"/>
      <w:divBdr>
        <w:top w:val="none" w:sz="0" w:space="0" w:color="auto"/>
        <w:left w:val="none" w:sz="0" w:space="0" w:color="auto"/>
        <w:bottom w:val="none" w:sz="0" w:space="0" w:color="auto"/>
        <w:right w:val="none" w:sz="0" w:space="0" w:color="auto"/>
      </w:divBdr>
      <w:divsChild>
        <w:div w:id="90325844">
          <w:marLeft w:val="0"/>
          <w:marRight w:val="0"/>
          <w:marTop w:val="0"/>
          <w:marBottom w:val="0"/>
          <w:divBdr>
            <w:top w:val="none" w:sz="0" w:space="0" w:color="auto"/>
            <w:left w:val="none" w:sz="0" w:space="0" w:color="auto"/>
            <w:bottom w:val="none" w:sz="0" w:space="0" w:color="auto"/>
            <w:right w:val="none" w:sz="0" w:space="0" w:color="auto"/>
          </w:divBdr>
        </w:div>
      </w:divsChild>
    </w:div>
    <w:div w:id="324474563">
      <w:bodyDiv w:val="1"/>
      <w:marLeft w:val="0"/>
      <w:marRight w:val="0"/>
      <w:marTop w:val="0"/>
      <w:marBottom w:val="0"/>
      <w:divBdr>
        <w:top w:val="none" w:sz="0" w:space="0" w:color="auto"/>
        <w:left w:val="none" w:sz="0" w:space="0" w:color="auto"/>
        <w:bottom w:val="none" w:sz="0" w:space="0" w:color="auto"/>
        <w:right w:val="none" w:sz="0" w:space="0" w:color="auto"/>
      </w:divBdr>
    </w:div>
    <w:div w:id="340469452">
      <w:bodyDiv w:val="1"/>
      <w:marLeft w:val="0"/>
      <w:marRight w:val="0"/>
      <w:marTop w:val="0"/>
      <w:marBottom w:val="0"/>
      <w:divBdr>
        <w:top w:val="none" w:sz="0" w:space="0" w:color="auto"/>
        <w:left w:val="none" w:sz="0" w:space="0" w:color="auto"/>
        <w:bottom w:val="none" w:sz="0" w:space="0" w:color="auto"/>
        <w:right w:val="none" w:sz="0" w:space="0" w:color="auto"/>
      </w:divBdr>
    </w:div>
    <w:div w:id="354305305">
      <w:bodyDiv w:val="1"/>
      <w:marLeft w:val="0"/>
      <w:marRight w:val="0"/>
      <w:marTop w:val="0"/>
      <w:marBottom w:val="0"/>
      <w:divBdr>
        <w:top w:val="none" w:sz="0" w:space="0" w:color="auto"/>
        <w:left w:val="none" w:sz="0" w:space="0" w:color="auto"/>
        <w:bottom w:val="none" w:sz="0" w:space="0" w:color="auto"/>
        <w:right w:val="none" w:sz="0" w:space="0" w:color="auto"/>
      </w:divBdr>
    </w:div>
    <w:div w:id="522135959">
      <w:bodyDiv w:val="1"/>
      <w:marLeft w:val="0"/>
      <w:marRight w:val="0"/>
      <w:marTop w:val="0"/>
      <w:marBottom w:val="0"/>
      <w:divBdr>
        <w:top w:val="none" w:sz="0" w:space="0" w:color="auto"/>
        <w:left w:val="none" w:sz="0" w:space="0" w:color="auto"/>
        <w:bottom w:val="none" w:sz="0" w:space="0" w:color="auto"/>
        <w:right w:val="none" w:sz="0" w:space="0" w:color="auto"/>
      </w:divBdr>
    </w:div>
    <w:div w:id="590508923">
      <w:bodyDiv w:val="1"/>
      <w:marLeft w:val="0"/>
      <w:marRight w:val="0"/>
      <w:marTop w:val="0"/>
      <w:marBottom w:val="0"/>
      <w:divBdr>
        <w:top w:val="none" w:sz="0" w:space="0" w:color="auto"/>
        <w:left w:val="none" w:sz="0" w:space="0" w:color="auto"/>
        <w:bottom w:val="none" w:sz="0" w:space="0" w:color="auto"/>
        <w:right w:val="none" w:sz="0" w:space="0" w:color="auto"/>
      </w:divBdr>
    </w:div>
    <w:div w:id="605385997">
      <w:bodyDiv w:val="1"/>
      <w:marLeft w:val="0"/>
      <w:marRight w:val="0"/>
      <w:marTop w:val="0"/>
      <w:marBottom w:val="0"/>
      <w:divBdr>
        <w:top w:val="none" w:sz="0" w:space="0" w:color="auto"/>
        <w:left w:val="none" w:sz="0" w:space="0" w:color="auto"/>
        <w:bottom w:val="none" w:sz="0" w:space="0" w:color="auto"/>
        <w:right w:val="none" w:sz="0" w:space="0" w:color="auto"/>
      </w:divBdr>
    </w:div>
    <w:div w:id="611015763">
      <w:bodyDiv w:val="1"/>
      <w:marLeft w:val="0"/>
      <w:marRight w:val="0"/>
      <w:marTop w:val="0"/>
      <w:marBottom w:val="0"/>
      <w:divBdr>
        <w:top w:val="none" w:sz="0" w:space="0" w:color="auto"/>
        <w:left w:val="none" w:sz="0" w:space="0" w:color="auto"/>
        <w:bottom w:val="none" w:sz="0" w:space="0" w:color="auto"/>
        <w:right w:val="none" w:sz="0" w:space="0" w:color="auto"/>
      </w:divBdr>
    </w:div>
    <w:div w:id="641740167">
      <w:bodyDiv w:val="1"/>
      <w:marLeft w:val="0"/>
      <w:marRight w:val="0"/>
      <w:marTop w:val="0"/>
      <w:marBottom w:val="0"/>
      <w:divBdr>
        <w:top w:val="none" w:sz="0" w:space="0" w:color="auto"/>
        <w:left w:val="none" w:sz="0" w:space="0" w:color="auto"/>
        <w:bottom w:val="none" w:sz="0" w:space="0" w:color="auto"/>
        <w:right w:val="none" w:sz="0" w:space="0" w:color="auto"/>
      </w:divBdr>
    </w:div>
    <w:div w:id="670840745">
      <w:bodyDiv w:val="1"/>
      <w:marLeft w:val="0"/>
      <w:marRight w:val="0"/>
      <w:marTop w:val="0"/>
      <w:marBottom w:val="0"/>
      <w:divBdr>
        <w:top w:val="none" w:sz="0" w:space="0" w:color="auto"/>
        <w:left w:val="none" w:sz="0" w:space="0" w:color="auto"/>
        <w:bottom w:val="none" w:sz="0" w:space="0" w:color="auto"/>
        <w:right w:val="none" w:sz="0" w:space="0" w:color="auto"/>
      </w:divBdr>
    </w:div>
    <w:div w:id="688796075">
      <w:bodyDiv w:val="1"/>
      <w:marLeft w:val="0"/>
      <w:marRight w:val="0"/>
      <w:marTop w:val="0"/>
      <w:marBottom w:val="0"/>
      <w:divBdr>
        <w:top w:val="none" w:sz="0" w:space="0" w:color="auto"/>
        <w:left w:val="none" w:sz="0" w:space="0" w:color="auto"/>
        <w:bottom w:val="none" w:sz="0" w:space="0" w:color="auto"/>
        <w:right w:val="none" w:sz="0" w:space="0" w:color="auto"/>
      </w:divBdr>
    </w:div>
    <w:div w:id="795835495">
      <w:bodyDiv w:val="1"/>
      <w:marLeft w:val="0"/>
      <w:marRight w:val="0"/>
      <w:marTop w:val="0"/>
      <w:marBottom w:val="0"/>
      <w:divBdr>
        <w:top w:val="none" w:sz="0" w:space="0" w:color="auto"/>
        <w:left w:val="none" w:sz="0" w:space="0" w:color="auto"/>
        <w:bottom w:val="none" w:sz="0" w:space="0" w:color="auto"/>
        <w:right w:val="none" w:sz="0" w:space="0" w:color="auto"/>
      </w:divBdr>
    </w:div>
    <w:div w:id="872307660">
      <w:bodyDiv w:val="1"/>
      <w:marLeft w:val="0"/>
      <w:marRight w:val="0"/>
      <w:marTop w:val="0"/>
      <w:marBottom w:val="0"/>
      <w:divBdr>
        <w:top w:val="none" w:sz="0" w:space="0" w:color="auto"/>
        <w:left w:val="none" w:sz="0" w:space="0" w:color="auto"/>
        <w:bottom w:val="none" w:sz="0" w:space="0" w:color="auto"/>
        <w:right w:val="none" w:sz="0" w:space="0" w:color="auto"/>
      </w:divBdr>
    </w:div>
    <w:div w:id="912424190">
      <w:bodyDiv w:val="1"/>
      <w:marLeft w:val="0"/>
      <w:marRight w:val="0"/>
      <w:marTop w:val="0"/>
      <w:marBottom w:val="0"/>
      <w:divBdr>
        <w:top w:val="none" w:sz="0" w:space="0" w:color="auto"/>
        <w:left w:val="none" w:sz="0" w:space="0" w:color="auto"/>
        <w:bottom w:val="none" w:sz="0" w:space="0" w:color="auto"/>
        <w:right w:val="none" w:sz="0" w:space="0" w:color="auto"/>
      </w:divBdr>
    </w:div>
    <w:div w:id="957488658">
      <w:bodyDiv w:val="1"/>
      <w:marLeft w:val="0"/>
      <w:marRight w:val="0"/>
      <w:marTop w:val="0"/>
      <w:marBottom w:val="0"/>
      <w:divBdr>
        <w:top w:val="none" w:sz="0" w:space="0" w:color="auto"/>
        <w:left w:val="none" w:sz="0" w:space="0" w:color="auto"/>
        <w:bottom w:val="none" w:sz="0" w:space="0" w:color="auto"/>
        <w:right w:val="none" w:sz="0" w:space="0" w:color="auto"/>
      </w:divBdr>
      <w:divsChild>
        <w:div w:id="1815944387">
          <w:marLeft w:val="0"/>
          <w:marRight w:val="0"/>
          <w:marTop w:val="0"/>
          <w:marBottom w:val="0"/>
          <w:divBdr>
            <w:top w:val="none" w:sz="0" w:space="0" w:color="auto"/>
            <w:left w:val="none" w:sz="0" w:space="0" w:color="auto"/>
            <w:bottom w:val="none" w:sz="0" w:space="0" w:color="auto"/>
            <w:right w:val="none" w:sz="0" w:space="0" w:color="auto"/>
          </w:divBdr>
        </w:div>
        <w:div w:id="20405149">
          <w:marLeft w:val="0"/>
          <w:marRight w:val="0"/>
          <w:marTop w:val="0"/>
          <w:marBottom w:val="0"/>
          <w:divBdr>
            <w:top w:val="none" w:sz="0" w:space="0" w:color="auto"/>
            <w:left w:val="none" w:sz="0" w:space="0" w:color="auto"/>
            <w:bottom w:val="none" w:sz="0" w:space="0" w:color="auto"/>
            <w:right w:val="none" w:sz="0" w:space="0" w:color="auto"/>
          </w:divBdr>
        </w:div>
        <w:div w:id="1022710749">
          <w:marLeft w:val="0"/>
          <w:marRight w:val="0"/>
          <w:marTop w:val="0"/>
          <w:marBottom w:val="0"/>
          <w:divBdr>
            <w:top w:val="none" w:sz="0" w:space="0" w:color="auto"/>
            <w:left w:val="none" w:sz="0" w:space="0" w:color="auto"/>
            <w:bottom w:val="none" w:sz="0" w:space="0" w:color="auto"/>
            <w:right w:val="none" w:sz="0" w:space="0" w:color="auto"/>
          </w:divBdr>
        </w:div>
        <w:div w:id="1736512185">
          <w:marLeft w:val="0"/>
          <w:marRight w:val="0"/>
          <w:marTop w:val="0"/>
          <w:marBottom w:val="0"/>
          <w:divBdr>
            <w:top w:val="none" w:sz="0" w:space="0" w:color="auto"/>
            <w:left w:val="none" w:sz="0" w:space="0" w:color="auto"/>
            <w:bottom w:val="none" w:sz="0" w:space="0" w:color="auto"/>
            <w:right w:val="none" w:sz="0" w:space="0" w:color="auto"/>
          </w:divBdr>
        </w:div>
        <w:div w:id="1115175325">
          <w:marLeft w:val="0"/>
          <w:marRight w:val="0"/>
          <w:marTop w:val="0"/>
          <w:marBottom w:val="0"/>
          <w:divBdr>
            <w:top w:val="none" w:sz="0" w:space="0" w:color="auto"/>
            <w:left w:val="none" w:sz="0" w:space="0" w:color="auto"/>
            <w:bottom w:val="none" w:sz="0" w:space="0" w:color="auto"/>
            <w:right w:val="none" w:sz="0" w:space="0" w:color="auto"/>
          </w:divBdr>
        </w:div>
        <w:div w:id="1219901929">
          <w:marLeft w:val="0"/>
          <w:marRight w:val="0"/>
          <w:marTop w:val="0"/>
          <w:marBottom w:val="0"/>
          <w:divBdr>
            <w:top w:val="none" w:sz="0" w:space="0" w:color="auto"/>
            <w:left w:val="none" w:sz="0" w:space="0" w:color="auto"/>
            <w:bottom w:val="none" w:sz="0" w:space="0" w:color="auto"/>
            <w:right w:val="none" w:sz="0" w:space="0" w:color="auto"/>
          </w:divBdr>
        </w:div>
      </w:divsChild>
    </w:div>
    <w:div w:id="964579131">
      <w:bodyDiv w:val="1"/>
      <w:marLeft w:val="0"/>
      <w:marRight w:val="0"/>
      <w:marTop w:val="0"/>
      <w:marBottom w:val="0"/>
      <w:divBdr>
        <w:top w:val="none" w:sz="0" w:space="0" w:color="auto"/>
        <w:left w:val="none" w:sz="0" w:space="0" w:color="auto"/>
        <w:bottom w:val="none" w:sz="0" w:space="0" w:color="auto"/>
        <w:right w:val="none" w:sz="0" w:space="0" w:color="auto"/>
      </w:divBdr>
    </w:div>
    <w:div w:id="1106539112">
      <w:bodyDiv w:val="1"/>
      <w:marLeft w:val="0"/>
      <w:marRight w:val="0"/>
      <w:marTop w:val="0"/>
      <w:marBottom w:val="0"/>
      <w:divBdr>
        <w:top w:val="none" w:sz="0" w:space="0" w:color="auto"/>
        <w:left w:val="none" w:sz="0" w:space="0" w:color="auto"/>
        <w:bottom w:val="none" w:sz="0" w:space="0" w:color="auto"/>
        <w:right w:val="none" w:sz="0" w:space="0" w:color="auto"/>
      </w:divBdr>
    </w:div>
    <w:div w:id="1120107714">
      <w:bodyDiv w:val="1"/>
      <w:marLeft w:val="0"/>
      <w:marRight w:val="0"/>
      <w:marTop w:val="0"/>
      <w:marBottom w:val="0"/>
      <w:divBdr>
        <w:top w:val="none" w:sz="0" w:space="0" w:color="auto"/>
        <w:left w:val="none" w:sz="0" w:space="0" w:color="auto"/>
        <w:bottom w:val="none" w:sz="0" w:space="0" w:color="auto"/>
        <w:right w:val="none" w:sz="0" w:space="0" w:color="auto"/>
      </w:divBdr>
    </w:div>
    <w:div w:id="1130707980">
      <w:bodyDiv w:val="1"/>
      <w:marLeft w:val="0"/>
      <w:marRight w:val="0"/>
      <w:marTop w:val="0"/>
      <w:marBottom w:val="0"/>
      <w:divBdr>
        <w:top w:val="none" w:sz="0" w:space="0" w:color="auto"/>
        <w:left w:val="none" w:sz="0" w:space="0" w:color="auto"/>
        <w:bottom w:val="none" w:sz="0" w:space="0" w:color="auto"/>
        <w:right w:val="none" w:sz="0" w:space="0" w:color="auto"/>
      </w:divBdr>
    </w:div>
    <w:div w:id="1134253501">
      <w:bodyDiv w:val="1"/>
      <w:marLeft w:val="0"/>
      <w:marRight w:val="0"/>
      <w:marTop w:val="0"/>
      <w:marBottom w:val="0"/>
      <w:divBdr>
        <w:top w:val="none" w:sz="0" w:space="0" w:color="auto"/>
        <w:left w:val="none" w:sz="0" w:space="0" w:color="auto"/>
        <w:bottom w:val="none" w:sz="0" w:space="0" w:color="auto"/>
        <w:right w:val="none" w:sz="0" w:space="0" w:color="auto"/>
      </w:divBdr>
    </w:div>
    <w:div w:id="1205097749">
      <w:bodyDiv w:val="1"/>
      <w:marLeft w:val="0"/>
      <w:marRight w:val="0"/>
      <w:marTop w:val="0"/>
      <w:marBottom w:val="0"/>
      <w:divBdr>
        <w:top w:val="none" w:sz="0" w:space="0" w:color="auto"/>
        <w:left w:val="none" w:sz="0" w:space="0" w:color="auto"/>
        <w:bottom w:val="none" w:sz="0" w:space="0" w:color="auto"/>
        <w:right w:val="none" w:sz="0" w:space="0" w:color="auto"/>
      </w:divBdr>
    </w:div>
    <w:div w:id="1224632744">
      <w:bodyDiv w:val="1"/>
      <w:marLeft w:val="0"/>
      <w:marRight w:val="0"/>
      <w:marTop w:val="0"/>
      <w:marBottom w:val="0"/>
      <w:divBdr>
        <w:top w:val="none" w:sz="0" w:space="0" w:color="auto"/>
        <w:left w:val="none" w:sz="0" w:space="0" w:color="auto"/>
        <w:bottom w:val="none" w:sz="0" w:space="0" w:color="auto"/>
        <w:right w:val="none" w:sz="0" w:space="0" w:color="auto"/>
      </w:divBdr>
    </w:div>
    <w:div w:id="1254823096">
      <w:bodyDiv w:val="1"/>
      <w:marLeft w:val="0"/>
      <w:marRight w:val="0"/>
      <w:marTop w:val="0"/>
      <w:marBottom w:val="0"/>
      <w:divBdr>
        <w:top w:val="none" w:sz="0" w:space="0" w:color="auto"/>
        <w:left w:val="none" w:sz="0" w:space="0" w:color="auto"/>
        <w:bottom w:val="none" w:sz="0" w:space="0" w:color="auto"/>
        <w:right w:val="none" w:sz="0" w:space="0" w:color="auto"/>
      </w:divBdr>
    </w:div>
    <w:div w:id="1275096303">
      <w:bodyDiv w:val="1"/>
      <w:marLeft w:val="0"/>
      <w:marRight w:val="0"/>
      <w:marTop w:val="0"/>
      <w:marBottom w:val="0"/>
      <w:divBdr>
        <w:top w:val="none" w:sz="0" w:space="0" w:color="auto"/>
        <w:left w:val="none" w:sz="0" w:space="0" w:color="auto"/>
        <w:bottom w:val="none" w:sz="0" w:space="0" w:color="auto"/>
        <w:right w:val="none" w:sz="0" w:space="0" w:color="auto"/>
      </w:divBdr>
    </w:div>
    <w:div w:id="1297485890">
      <w:bodyDiv w:val="1"/>
      <w:marLeft w:val="0"/>
      <w:marRight w:val="0"/>
      <w:marTop w:val="0"/>
      <w:marBottom w:val="0"/>
      <w:divBdr>
        <w:top w:val="none" w:sz="0" w:space="0" w:color="auto"/>
        <w:left w:val="none" w:sz="0" w:space="0" w:color="auto"/>
        <w:bottom w:val="none" w:sz="0" w:space="0" w:color="auto"/>
        <w:right w:val="none" w:sz="0" w:space="0" w:color="auto"/>
      </w:divBdr>
    </w:div>
    <w:div w:id="1367099639">
      <w:bodyDiv w:val="1"/>
      <w:marLeft w:val="0"/>
      <w:marRight w:val="0"/>
      <w:marTop w:val="0"/>
      <w:marBottom w:val="0"/>
      <w:divBdr>
        <w:top w:val="none" w:sz="0" w:space="0" w:color="auto"/>
        <w:left w:val="none" w:sz="0" w:space="0" w:color="auto"/>
        <w:bottom w:val="none" w:sz="0" w:space="0" w:color="auto"/>
        <w:right w:val="none" w:sz="0" w:space="0" w:color="auto"/>
      </w:divBdr>
    </w:div>
    <w:div w:id="1375538024">
      <w:bodyDiv w:val="1"/>
      <w:marLeft w:val="0"/>
      <w:marRight w:val="0"/>
      <w:marTop w:val="0"/>
      <w:marBottom w:val="0"/>
      <w:divBdr>
        <w:top w:val="none" w:sz="0" w:space="0" w:color="auto"/>
        <w:left w:val="none" w:sz="0" w:space="0" w:color="auto"/>
        <w:bottom w:val="none" w:sz="0" w:space="0" w:color="auto"/>
        <w:right w:val="none" w:sz="0" w:space="0" w:color="auto"/>
      </w:divBdr>
    </w:div>
    <w:div w:id="1396002471">
      <w:bodyDiv w:val="1"/>
      <w:marLeft w:val="0"/>
      <w:marRight w:val="0"/>
      <w:marTop w:val="0"/>
      <w:marBottom w:val="0"/>
      <w:divBdr>
        <w:top w:val="none" w:sz="0" w:space="0" w:color="auto"/>
        <w:left w:val="none" w:sz="0" w:space="0" w:color="auto"/>
        <w:bottom w:val="none" w:sz="0" w:space="0" w:color="auto"/>
        <w:right w:val="none" w:sz="0" w:space="0" w:color="auto"/>
      </w:divBdr>
    </w:div>
    <w:div w:id="1411847623">
      <w:bodyDiv w:val="1"/>
      <w:marLeft w:val="0"/>
      <w:marRight w:val="0"/>
      <w:marTop w:val="0"/>
      <w:marBottom w:val="0"/>
      <w:divBdr>
        <w:top w:val="none" w:sz="0" w:space="0" w:color="auto"/>
        <w:left w:val="none" w:sz="0" w:space="0" w:color="auto"/>
        <w:bottom w:val="none" w:sz="0" w:space="0" w:color="auto"/>
        <w:right w:val="none" w:sz="0" w:space="0" w:color="auto"/>
      </w:divBdr>
    </w:div>
    <w:div w:id="1424107006">
      <w:bodyDiv w:val="1"/>
      <w:marLeft w:val="0"/>
      <w:marRight w:val="0"/>
      <w:marTop w:val="0"/>
      <w:marBottom w:val="0"/>
      <w:divBdr>
        <w:top w:val="none" w:sz="0" w:space="0" w:color="auto"/>
        <w:left w:val="none" w:sz="0" w:space="0" w:color="auto"/>
        <w:bottom w:val="none" w:sz="0" w:space="0" w:color="auto"/>
        <w:right w:val="none" w:sz="0" w:space="0" w:color="auto"/>
      </w:divBdr>
    </w:div>
    <w:div w:id="1583642443">
      <w:bodyDiv w:val="1"/>
      <w:marLeft w:val="0"/>
      <w:marRight w:val="0"/>
      <w:marTop w:val="0"/>
      <w:marBottom w:val="0"/>
      <w:divBdr>
        <w:top w:val="none" w:sz="0" w:space="0" w:color="auto"/>
        <w:left w:val="none" w:sz="0" w:space="0" w:color="auto"/>
        <w:bottom w:val="none" w:sz="0" w:space="0" w:color="auto"/>
        <w:right w:val="none" w:sz="0" w:space="0" w:color="auto"/>
      </w:divBdr>
    </w:div>
    <w:div w:id="1611745701">
      <w:bodyDiv w:val="1"/>
      <w:marLeft w:val="0"/>
      <w:marRight w:val="0"/>
      <w:marTop w:val="0"/>
      <w:marBottom w:val="0"/>
      <w:divBdr>
        <w:top w:val="none" w:sz="0" w:space="0" w:color="auto"/>
        <w:left w:val="none" w:sz="0" w:space="0" w:color="auto"/>
        <w:bottom w:val="none" w:sz="0" w:space="0" w:color="auto"/>
        <w:right w:val="none" w:sz="0" w:space="0" w:color="auto"/>
      </w:divBdr>
    </w:div>
    <w:div w:id="1621566315">
      <w:bodyDiv w:val="1"/>
      <w:marLeft w:val="0"/>
      <w:marRight w:val="0"/>
      <w:marTop w:val="0"/>
      <w:marBottom w:val="0"/>
      <w:divBdr>
        <w:top w:val="none" w:sz="0" w:space="0" w:color="auto"/>
        <w:left w:val="none" w:sz="0" w:space="0" w:color="auto"/>
        <w:bottom w:val="none" w:sz="0" w:space="0" w:color="auto"/>
        <w:right w:val="none" w:sz="0" w:space="0" w:color="auto"/>
      </w:divBdr>
    </w:div>
    <w:div w:id="1636640451">
      <w:bodyDiv w:val="1"/>
      <w:marLeft w:val="0"/>
      <w:marRight w:val="0"/>
      <w:marTop w:val="0"/>
      <w:marBottom w:val="0"/>
      <w:divBdr>
        <w:top w:val="none" w:sz="0" w:space="0" w:color="auto"/>
        <w:left w:val="none" w:sz="0" w:space="0" w:color="auto"/>
        <w:bottom w:val="none" w:sz="0" w:space="0" w:color="auto"/>
        <w:right w:val="none" w:sz="0" w:space="0" w:color="auto"/>
      </w:divBdr>
    </w:div>
    <w:div w:id="1765373687">
      <w:bodyDiv w:val="1"/>
      <w:marLeft w:val="0"/>
      <w:marRight w:val="0"/>
      <w:marTop w:val="0"/>
      <w:marBottom w:val="0"/>
      <w:divBdr>
        <w:top w:val="none" w:sz="0" w:space="0" w:color="auto"/>
        <w:left w:val="none" w:sz="0" w:space="0" w:color="auto"/>
        <w:bottom w:val="none" w:sz="0" w:space="0" w:color="auto"/>
        <w:right w:val="none" w:sz="0" w:space="0" w:color="auto"/>
      </w:divBdr>
    </w:div>
    <w:div w:id="1786265125">
      <w:bodyDiv w:val="1"/>
      <w:marLeft w:val="0"/>
      <w:marRight w:val="0"/>
      <w:marTop w:val="0"/>
      <w:marBottom w:val="0"/>
      <w:divBdr>
        <w:top w:val="none" w:sz="0" w:space="0" w:color="auto"/>
        <w:left w:val="none" w:sz="0" w:space="0" w:color="auto"/>
        <w:bottom w:val="none" w:sz="0" w:space="0" w:color="auto"/>
        <w:right w:val="none" w:sz="0" w:space="0" w:color="auto"/>
      </w:divBdr>
    </w:div>
    <w:div w:id="1807047820">
      <w:bodyDiv w:val="1"/>
      <w:marLeft w:val="0"/>
      <w:marRight w:val="0"/>
      <w:marTop w:val="0"/>
      <w:marBottom w:val="0"/>
      <w:divBdr>
        <w:top w:val="none" w:sz="0" w:space="0" w:color="auto"/>
        <w:left w:val="none" w:sz="0" w:space="0" w:color="auto"/>
        <w:bottom w:val="none" w:sz="0" w:space="0" w:color="auto"/>
        <w:right w:val="none" w:sz="0" w:space="0" w:color="auto"/>
      </w:divBdr>
    </w:div>
    <w:div w:id="1831023549">
      <w:bodyDiv w:val="1"/>
      <w:marLeft w:val="0"/>
      <w:marRight w:val="0"/>
      <w:marTop w:val="0"/>
      <w:marBottom w:val="0"/>
      <w:divBdr>
        <w:top w:val="none" w:sz="0" w:space="0" w:color="auto"/>
        <w:left w:val="none" w:sz="0" w:space="0" w:color="auto"/>
        <w:bottom w:val="none" w:sz="0" w:space="0" w:color="auto"/>
        <w:right w:val="none" w:sz="0" w:space="0" w:color="auto"/>
      </w:divBdr>
    </w:div>
    <w:div w:id="1832943436">
      <w:bodyDiv w:val="1"/>
      <w:marLeft w:val="0"/>
      <w:marRight w:val="0"/>
      <w:marTop w:val="0"/>
      <w:marBottom w:val="0"/>
      <w:divBdr>
        <w:top w:val="none" w:sz="0" w:space="0" w:color="auto"/>
        <w:left w:val="none" w:sz="0" w:space="0" w:color="auto"/>
        <w:bottom w:val="none" w:sz="0" w:space="0" w:color="auto"/>
        <w:right w:val="none" w:sz="0" w:space="0" w:color="auto"/>
      </w:divBdr>
    </w:div>
    <w:div w:id="1938319711">
      <w:bodyDiv w:val="1"/>
      <w:marLeft w:val="0"/>
      <w:marRight w:val="0"/>
      <w:marTop w:val="0"/>
      <w:marBottom w:val="0"/>
      <w:divBdr>
        <w:top w:val="none" w:sz="0" w:space="0" w:color="auto"/>
        <w:left w:val="none" w:sz="0" w:space="0" w:color="auto"/>
        <w:bottom w:val="none" w:sz="0" w:space="0" w:color="auto"/>
        <w:right w:val="none" w:sz="0" w:space="0" w:color="auto"/>
      </w:divBdr>
      <w:divsChild>
        <w:div w:id="1712907">
          <w:marLeft w:val="0"/>
          <w:marRight w:val="0"/>
          <w:marTop w:val="0"/>
          <w:marBottom w:val="0"/>
          <w:divBdr>
            <w:top w:val="none" w:sz="0" w:space="0" w:color="auto"/>
            <w:left w:val="none" w:sz="0" w:space="0" w:color="auto"/>
            <w:bottom w:val="none" w:sz="0" w:space="0" w:color="auto"/>
            <w:right w:val="none" w:sz="0" w:space="0" w:color="auto"/>
          </w:divBdr>
        </w:div>
      </w:divsChild>
    </w:div>
    <w:div w:id="2013727158">
      <w:bodyDiv w:val="1"/>
      <w:marLeft w:val="0"/>
      <w:marRight w:val="0"/>
      <w:marTop w:val="0"/>
      <w:marBottom w:val="0"/>
      <w:divBdr>
        <w:top w:val="none" w:sz="0" w:space="0" w:color="auto"/>
        <w:left w:val="none" w:sz="0" w:space="0" w:color="auto"/>
        <w:bottom w:val="none" w:sz="0" w:space="0" w:color="auto"/>
        <w:right w:val="none" w:sz="0" w:space="0" w:color="auto"/>
      </w:divBdr>
    </w:div>
    <w:div w:id="2041780282">
      <w:bodyDiv w:val="1"/>
      <w:marLeft w:val="0"/>
      <w:marRight w:val="0"/>
      <w:marTop w:val="0"/>
      <w:marBottom w:val="0"/>
      <w:divBdr>
        <w:top w:val="none" w:sz="0" w:space="0" w:color="auto"/>
        <w:left w:val="none" w:sz="0" w:space="0" w:color="auto"/>
        <w:bottom w:val="none" w:sz="0" w:space="0" w:color="auto"/>
        <w:right w:val="none" w:sz="0" w:space="0" w:color="auto"/>
      </w:divBdr>
    </w:div>
    <w:div w:id="2055614070">
      <w:bodyDiv w:val="1"/>
      <w:marLeft w:val="0"/>
      <w:marRight w:val="0"/>
      <w:marTop w:val="0"/>
      <w:marBottom w:val="0"/>
      <w:divBdr>
        <w:top w:val="none" w:sz="0" w:space="0" w:color="auto"/>
        <w:left w:val="none" w:sz="0" w:space="0" w:color="auto"/>
        <w:bottom w:val="none" w:sz="0" w:space="0" w:color="auto"/>
        <w:right w:val="none" w:sz="0" w:space="0" w:color="auto"/>
      </w:divBdr>
    </w:div>
    <w:div w:id="2056344782">
      <w:bodyDiv w:val="1"/>
      <w:marLeft w:val="0"/>
      <w:marRight w:val="0"/>
      <w:marTop w:val="0"/>
      <w:marBottom w:val="0"/>
      <w:divBdr>
        <w:top w:val="none" w:sz="0" w:space="0" w:color="auto"/>
        <w:left w:val="none" w:sz="0" w:space="0" w:color="auto"/>
        <w:bottom w:val="none" w:sz="0" w:space="0" w:color="auto"/>
        <w:right w:val="none" w:sz="0" w:space="0" w:color="auto"/>
      </w:divBdr>
    </w:div>
    <w:div w:id="2078281153">
      <w:bodyDiv w:val="1"/>
      <w:marLeft w:val="0"/>
      <w:marRight w:val="0"/>
      <w:marTop w:val="0"/>
      <w:marBottom w:val="0"/>
      <w:divBdr>
        <w:top w:val="none" w:sz="0" w:space="0" w:color="auto"/>
        <w:left w:val="none" w:sz="0" w:space="0" w:color="auto"/>
        <w:bottom w:val="none" w:sz="0" w:space="0" w:color="auto"/>
        <w:right w:val="none" w:sz="0" w:space="0" w:color="auto"/>
      </w:divBdr>
    </w:div>
    <w:div w:id="2082017169">
      <w:bodyDiv w:val="1"/>
      <w:marLeft w:val="0"/>
      <w:marRight w:val="0"/>
      <w:marTop w:val="0"/>
      <w:marBottom w:val="0"/>
      <w:divBdr>
        <w:top w:val="none" w:sz="0" w:space="0" w:color="auto"/>
        <w:left w:val="none" w:sz="0" w:space="0" w:color="auto"/>
        <w:bottom w:val="none" w:sz="0" w:space="0" w:color="auto"/>
        <w:right w:val="none" w:sz="0" w:space="0" w:color="auto"/>
      </w:divBdr>
    </w:div>
    <w:div w:id="2129154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footer" Target="footer3.xml"/><Relationship Id="rId21" Type="http://schemas.openxmlformats.org/officeDocument/2006/relationships/image" Target="media/image8.png"/><Relationship Id="rId34" Type="http://schemas.openxmlformats.org/officeDocument/2006/relationships/header" Target="header8.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header" Target="header4.xml"/><Relationship Id="rId33"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7.gif"/><Relationship Id="rId29"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image" Target="media/image15.emf"/><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2.jpeg"/><Relationship Id="rId23" Type="http://schemas.openxmlformats.org/officeDocument/2006/relationships/image" Target="media/image10.png"/><Relationship Id="rId28" Type="http://schemas.openxmlformats.org/officeDocument/2006/relationships/image" Target="media/image12.gif"/><Relationship Id="rId36"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6.jpeg"/><Relationship Id="rId31" Type="http://schemas.openxmlformats.org/officeDocument/2006/relationships/image" Target="media/image14.png"/><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image" Target="media/image1.png"/><Relationship Id="rId22" Type="http://schemas.openxmlformats.org/officeDocument/2006/relationships/image" Target="media/image9.jpeg"/><Relationship Id="rId27" Type="http://schemas.openxmlformats.org/officeDocument/2006/relationships/header" Target="header5.xml"/><Relationship Id="rId30" Type="http://schemas.openxmlformats.org/officeDocument/2006/relationships/image" Target="media/image13.png"/><Relationship Id="rId35" Type="http://schemas.openxmlformats.org/officeDocument/2006/relationships/header" Target="header9.xml"/><Relationship Id="rId8" Type="http://schemas.openxmlformats.org/officeDocument/2006/relationships/endnotes" Target="endnotes.xml"/><Relationship Id="rId3" Type="http://schemas.openxmlformats.org/officeDocument/2006/relationships/styles" Target="styles.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D25D20-0EAD-454A-968D-6F3EC1DAB2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8790</Words>
  <Characters>55378</Characters>
  <Application>Microsoft Office Word</Application>
  <DocSecurity>0</DocSecurity>
  <Lines>461</Lines>
  <Paragraphs>128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64040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Martin Schneider</dc:creator>
  <cp:lastModifiedBy>Windows-Benutzer</cp:lastModifiedBy>
  <cp:revision>16</cp:revision>
  <cp:lastPrinted>2017-04-02T17:10:00Z</cp:lastPrinted>
  <dcterms:created xsi:type="dcterms:W3CDTF">2017-03-28T11:02:00Z</dcterms:created>
  <dcterms:modified xsi:type="dcterms:W3CDTF">2017-04-02T17:11:00Z</dcterms:modified>
</cp:coreProperties>
</file>