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2025 Financial Report</w:t>
      </w:r>
    </w:p>
    <w:p>
      <w:r>
        <w:t>Acme Corporation | Fiscal Year Ending December 31, 2025</w:t>
      </w:r>
    </w:p>
    <w:p>
      <w:r>
        <w:t>Prepared by: Finance Department | Date: January 15, 2026</w:t>
      </w:r>
    </w:p>
    <w:p/>
    <w:p>
      <w:pPr>
        <w:pStyle w:val="Heading1"/>
      </w:pPr>
      <w:r>
        <w:t>Executive Summary</w:t>
      </w:r>
    </w:p>
    <w:p>
      <w:r>
        <w:t>Acme Corporation achieved strong financial results in Q4 2025, with total revenue of $2,400,000 representing an 18% year-over-year increase from Q4 2024 ($2,034,000). Net income for the quarter was $600,000, yielding a net margin of 25%. The company ended the year with $8.2 million in annual revenue, exceeding the board target of $7.8 million.</w:t>
      </w:r>
    </w:p>
    <w:p>
      <w:pPr>
        <w:pStyle w:val="Heading1"/>
      </w:pPr>
      <w:r>
        <w:t>Revenue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Revenue Stream</w:t>
            </w:r>
          </w:p>
        </w:tc>
        <w:tc>
          <w:tcPr>
            <w:tcW w:type="dxa" w:w="2160"/>
          </w:tcPr>
          <w:p>
            <w:r>
              <w:t>Q4 2025</w:t>
            </w:r>
          </w:p>
        </w:tc>
        <w:tc>
          <w:tcPr>
            <w:tcW w:type="dxa" w:w="2160"/>
          </w:tcPr>
          <w:p>
            <w:r>
              <w:t>Q4 2024</w:t>
            </w:r>
          </w:p>
        </w:tc>
        <w:tc>
          <w:tcPr>
            <w:tcW w:type="dxa" w:w="2160"/>
          </w:tcPr>
          <w:p>
            <w:r>
              <w:t>YoY Change</w:t>
            </w:r>
          </w:p>
        </w:tc>
      </w:tr>
      <w:tr>
        <w:tc>
          <w:tcPr>
            <w:tcW w:type="dxa" w:w="2160"/>
          </w:tcPr>
          <w:p>
            <w:r>
              <w:t>SaaS Subscriptions</w:t>
            </w:r>
          </w:p>
        </w:tc>
        <w:tc>
          <w:tcPr>
            <w:tcW w:type="dxa" w:w="2160"/>
          </w:tcPr>
          <w:p>
            <w:r>
              <w:t>$1,200,000</w:t>
            </w:r>
          </w:p>
        </w:tc>
        <w:tc>
          <w:tcPr>
            <w:tcW w:type="dxa" w:w="2160"/>
          </w:tcPr>
          <w:p>
            <w:r>
              <w:t>$980,000</w:t>
            </w:r>
          </w:p>
        </w:tc>
        <w:tc>
          <w:tcPr>
            <w:tcW w:type="dxa" w:w="2160"/>
          </w:tcPr>
          <w:p>
            <w:r>
              <w:t>+22%</w:t>
            </w:r>
          </w:p>
        </w:tc>
      </w:tr>
      <w:tr>
        <w:tc>
          <w:tcPr>
            <w:tcW w:type="dxa" w:w="2160"/>
          </w:tcPr>
          <w:p>
            <w:r>
              <w:t>Professional Services</w:t>
            </w:r>
          </w:p>
        </w:tc>
        <w:tc>
          <w:tcPr>
            <w:tcW w:type="dxa" w:w="2160"/>
          </w:tcPr>
          <w:p>
            <w:r>
              <w:t>$600,000</w:t>
            </w:r>
          </w:p>
        </w:tc>
        <w:tc>
          <w:tcPr>
            <w:tcW w:type="dxa" w:w="2160"/>
          </w:tcPr>
          <w:p>
            <w:r>
              <w:t>$520,000</w:t>
            </w:r>
          </w:p>
        </w:tc>
        <w:tc>
          <w:tcPr>
            <w:tcW w:type="dxa" w:w="2160"/>
          </w:tcPr>
          <w:p>
            <w:r>
              <w:t>+15%</w:t>
            </w:r>
          </w:p>
        </w:tc>
      </w:tr>
      <w:tr>
        <w:tc>
          <w:tcPr>
            <w:tcW w:type="dxa" w:w="2160"/>
          </w:tcPr>
          <w:p>
            <w:r>
              <w:t>Enterprise Licenses</w:t>
            </w:r>
          </w:p>
        </w:tc>
        <w:tc>
          <w:tcPr>
            <w:tcW w:type="dxa" w:w="2160"/>
          </w:tcPr>
          <w:p>
            <w:r>
              <w:t>$400,000</w:t>
            </w:r>
          </w:p>
        </w:tc>
        <w:tc>
          <w:tcPr>
            <w:tcW w:type="dxa" w:w="2160"/>
          </w:tcPr>
          <w:p>
            <w:r>
              <w:t>$350,000</w:t>
            </w:r>
          </w:p>
        </w:tc>
        <w:tc>
          <w:tcPr>
            <w:tcW w:type="dxa" w:w="2160"/>
          </w:tcPr>
          <w:p>
            <w:r>
              <w:t>+14%</w:t>
            </w:r>
          </w:p>
        </w:tc>
      </w:tr>
      <w:tr>
        <w:tc>
          <w:tcPr>
            <w:tcW w:type="dxa" w:w="2160"/>
          </w:tcPr>
          <w:p>
            <w:r>
              <w:t>Support &amp; Maintenance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$134,000</w:t>
            </w:r>
          </w:p>
        </w:tc>
        <w:tc>
          <w:tcPr>
            <w:tcW w:type="dxa" w:w="2160"/>
          </w:tcPr>
          <w:p>
            <w:r>
              <w:t>+12%</w:t>
            </w:r>
          </w:p>
        </w:tc>
      </w:tr>
      <w:tr>
        <w:tc>
          <w:tcPr>
            <w:tcW w:type="dxa" w:w="2160"/>
          </w:tcPr>
          <w:p>
            <w:r>
              <w:t>Training &amp; Certification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</w:tbl>
    <w:p/>
    <w:p>
      <w:r>
        <w:t>SaaS subscriptions remain the largest revenue driver at 50% of total Q4 revenue. The enterprise segment showed the strongest growth, driven by 3 new enterprise contracts signed in November 2025: Globex Inc ($150K/yr), Initech ($120K/yr), and Umbrella Corp ($130K/yr).</w:t>
      </w:r>
    </w:p>
    <w:p>
      <w:pPr>
        <w:pStyle w:val="Heading1"/>
      </w:pPr>
      <w:r>
        <w:t>Operating Expenses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Q4 2025</w:t>
            </w:r>
          </w:p>
        </w:tc>
        <w:tc>
          <w:tcPr>
            <w:tcW w:type="dxa" w:w="2880"/>
          </w:tcPr>
          <w:p>
            <w:r>
              <w:t>% of Revenue</w:t>
            </w:r>
          </w:p>
        </w:tc>
      </w:tr>
      <w:tr>
        <w:tc>
          <w:tcPr>
            <w:tcW w:type="dxa" w:w="2880"/>
          </w:tcPr>
          <w:p>
            <w:r>
              <w:t>Salaries &amp; Benefits</w:t>
            </w:r>
          </w:p>
        </w:tc>
        <w:tc>
          <w:tcPr>
            <w:tcW w:type="dxa" w:w="2880"/>
          </w:tcPr>
          <w:p>
            <w:r>
              <w:t>$960,000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Cloud Infrastructure</w:t>
            </w:r>
          </w:p>
        </w:tc>
        <w:tc>
          <w:tcPr>
            <w:tcW w:type="dxa" w:w="2880"/>
          </w:tcPr>
          <w:p>
            <w:r>
              <w:t>$240,000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Sales &amp; Marketing</w:t>
            </w:r>
          </w:p>
        </w:tc>
        <w:tc>
          <w:tcPr>
            <w:tcW w:type="dxa" w:w="2880"/>
          </w:tcPr>
          <w:p>
            <w:r>
              <w:t>$300,000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</w:tr>
      <w:tr>
        <w:tc>
          <w:tcPr>
            <w:tcW w:type="dxa" w:w="2880"/>
          </w:tcPr>
          <w:p>
            <w:r>
              <w:t>Research &amp; Development</w:t>
            </w:r>
          </w:p>
        </w:tc>
        <w:tc>
          <w:tcPr>
            <w:tcW w:type="dxa" w:w="2880"/>
          </w:tcPr>
          <w:p>
            <w:r>
              <w:t>$180,000</w:t>
            </w:r>
          </w:p>
        </w:tc>
        <w:tc>
          <w:tcPr>
            <w:tcW w:type="dxa" w:w="2880"/>
          </w:tcPr>
          <w:p>
            <w:r>
              <w:t>7.5%</w:t>
            </w:r>
          </w:p>
        </w:tc>
      </w:tr>
      <w:tr>
        <w:tc>
          <w:tcPr>
            <w:tcW w:type="dxa" w:w="2880"/>
          </w:tcPr>
          <w:p>
            <w:r>
              <w:t>General &amp; Administrative</w:t>
            </w:r>
          </w:p>
        </w:tc>
        <w:tc>
          <w:tcPr>
            <w:tcW w:type="dxa" w:w="2880"/>
          </w:tcPr>
          <w:p>
            <w:r>
              <w:t>$72,000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  <w:tr>
        <w:tc>
          <w:tcPr>
            <w:tcW w:type="dxa" w:w="2880"/>
          </w:tcPr>
          <w:p>
            <w:r>
              <w:t>Depreciation</w:t>
            </w:r>
          </w:p>
        </w:tc>
        <w:tc>
          <w:tcPr>
            <w:tcW w:type="dxa" w:w="2880"/>
          </w:tcPr>
          <w:p>
            <w:r>
              <w:t>$36,000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Total Expenses</w:t>
            </w:r>
          </w:p>
        </w:tc>
        <w:tc>
          <w:tcPr>
            <w:tcW w:type="dxa" w:w="2880"/>
          </w:tcPr>
          <w:p>
            <w:r>
              <w:t>$1,788,000</w:t>
            </w:r>
          </w:p>
        </w:tc>
        <w:tc>
          <w:tcPr>
            <w:tcW w:type="dxa" w:w="2880"/>
          </w:tcPr>
          <w:p>
            <w:r>
              <w:t>74.5%</w:t>
            </w:r>
          </w:p>
        </w:tc>
      </w:tr>
    </w:tbl>
    <w:p/>
    <w:p>
      <w:pPr>
        <w:pStyle w:val="Heading1"/>
      </w:pPr>
      <w:r>
        <w:t>Net Income &amp; Margins</w:t>
      </w:r>
    </w:p>
    <w:p>
      <w:r>
        <w:t>Q4 2025 net income was $612,000 (25.5% net margin) compared to Q4 2024 net income of $490,000 (24.1% net margin). The improvement in margin was primarily driven by operational efficiencies in cloud infrastructure, where costs grew only 12% despite 22% SaaS revenue growth.</w:t>
      </w:r>
    </w:p>
    <w:p>
      <w:pPr>
        <w:pStyle w:val="Heading1"/>
      </w:pPr>
      <w:r>
        <w:t>Cash Position &amp; Outlook</w:t>
      </w:r>
    </w:p>
    <w:p>
      <w:r>
        <w:t>Cash and cash equivalents as of December 31, 2025: $3,800,000. Accounts receivable: $720,000 (average collection period: 27 days). The company has no outstanding debt and an unused credit line of $2,000,000.</w:t>
      </w:r>
    </w:p>
    <w:p>
      <w:r>
        <w:t>Q1 2026 Guidance: Projected revenue of $2,100,000 to $2,300,000. Key initiatives include expansion into the APAC market (estimated $400K investment) and launch of the Acme AI Assistant product line (estimated $250K R&amp;D spend). Expected headcount growth: 15 new hires across engineering, sales, and customer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