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8B2B8" w14:textId="23ADD4B6" w:rsidR="006E799C" w:rsidRDefault="00000000">
      <w:pPr>
        <w:spacing w:after="100"/>
        <w:jc w:val="center"/>
      </w:pPr>
      <w:r>
        <w:rPr>
          <w:b/>
          <w:bCs/>
          <w:sz w:val="28"/>
          <w:szCs w:val="28"/>
        </w:rPr>
        <w:t>Part 1 Task 1: Research</w:t>
      </w:r>
    </w:p>
    <w:p w14:paraId="0A2D0E72" w14:textId="77777777" w:rsidR="006E799C" w:rsidRPr="003F2085" w:rsidRDefault="00000000">
      <w:pPr>
        <w:spacing w:after="400"/>
        <w:jc w:val="center"/>
        <w:rPr>
          <w:sz w:val="28"/>
          <w:szCs w:val="28"/>
        </w:rPr>
      </w:pPr>
      <w:r w:rsidRPr="003F2085">
        <w:rPr>
          <w:b/>
          <w:bCs/>
          <w:sz w:val="28"/>
          <w:szCs w:val="28"/>
        </w:rPr>
        <w:t>User Engagement Strategies for a Municipal Services Application</w:t>
      </w:r>
    </w:p>
    <w:p w14:paraId="7D8FD778" w14:textId="26C43745" w:rsidR="006E799C" w:rsidRPr="003F2085" w:rsidRDefault="00000000">
      <w:pPr>
        <w:spacing w:after="100"/>
        <w:rPr>
          <w:b/>
          <w:bCs/>
        </w:rPr>
      </w:pPr>
      <w:r w:rsidRPr="003F2085">
        <w:rPr>
          <w:b/>
          <w:bCs/>
          <w:sz w:val="24"/>
          <w:szCs w:val="24"/>
        </w:rPr>
        <w:t xml:space="preserve">Student Name: </w:t>
      </w:r>
      <w:r w:rsidR="003F2085" w:rsidRPr="003F2085">
        <w:rPr>
          <w:b/>
          <w:bCs/>
          <w:sz w:val="24"/>
          <w:szCs w:val="24"/>
        </w:rPr>
        <w:t xml:space="preserve">NOKUBONGA THABEDE </w:t>
      </w:r>
    </w:p>
    <w:p w14:paraId="5CC717ED" w14:textId="452D6C57" w:rsidR="003F2085" w:rsidRPr="003F2085" w:rsidRDefault="00000000">
      <w:pPr>
        <w:spacing w:after="400"/>
        <w:rPr>
          <w:b/>
          <w:bCs/>
          <w:sz w:val="24"/>
          <w:szCs w:val="24"/>
        </w:rPr>
      </w:pPr>
      <w:r w:rsidRPr="003F2085">
        <w:rPr>
          <w:b/>
          <w:bCs/>
          <w:sz w:val="24"/>
          <w:szCs w:val="24"/>
        </w:rPr>
        <w:t>Student Number:</w:t>
      </w:r>
      <w:r w:rsidR="003F2085" w:rsidRPr="003F2085">
        <w:rPr>
          <w:b/>
          <w:bCs/>
          <w:sz w:val="24"/>
          <w:szCs w:val="24"/>
        </w:rPr>
        <w:t xml:space="preserve"> </w:t>
      </w:r>
      <w:r w:rsidR="003F2085" w:rsidRPr="003F2085">
        <w:rPr>
          <w:b/>
          <w:bCs/>
          <w:sz w:val="24"/>
          <w:szCs w:val="24"/>
        </w:rPr>
        <w:t>ST10523034</w:t>
      </w:r>
      <w:r w:rsidRPr="003F2085">
        <w:rPr>
          <w:b/>
          <w:bCs/>
          <w:sz w:val="24"/>
          <w:szCs w:val="24"/>
        </w:rPr>
        <w:t xml:space="preserve"> </w:t>
      </w:r>
    </w:p>
    <w:p w14:paraId="3E39EECA" w14:textId="77777777" w:rsidR="006E799C" w:rsidRPr="008D1695" w:rsidRDefault="00000000">
      <w:pPr>
        <w:pStyle w:val="Heading1"/>
        <w:spacing w:before="300" w:after="200"/>
        <w:rPr>
          <w:color w:val="auto"/>
        </w:rPr>
      </w:pPr>
      <w:r w:rsidRPr="008D1695">
        <w:rPr>
          <w:b/>
          <w:bCs/>
          <w:color w:val="auto"/>
        </w:rPr>
        <w:t>1. Introduction</w:t>
      </w:r>
    </w:p>
    <w:p w14:paraId="4F8A91D9" w14:textId="77777777" w:rsidR="006E799C" w:rsidRDefault="00000000">
      <w:pPr>
        <w:spacing w:after="200" w:line="360" w:lineRule="auto"/>
        <w:jc w:val="both"/>
      </w:pPr>
      <w:r>
        <w:rPr>
          <w:sz w:val="24"/>
          <w:szCs w:val="24"/>
        </w:rPr>
        <w:t>Municipalities in South Africa are under growing pressure to modernise how they interact with the people they serve. Residents increasingly expect the same convenience and responsiveness from local government that they experience from banking apps, retailers, and ride-hailing services, yet service delivery in many municipalities still relies heavily on call centres, ward meetings, or queues at a municipal office. The municipality described in the PoE scenario is looking to close that gap through a single application that lets residents report issues, stay informed about local events, and follow up on requests they have already logged.</w:t>
      </w:r>
    </w:p>
    <w:p w14:paraId="120A2334" w14:textId="35E7699C" w:rsidR="006E799C" w:rsidRDefault="00000000">
      <w:pPr>
        <w:spacing w:after="200" w:line="360" w:lineRule="auto"/>
        <w:jc w:val="both"/>
      </w:pPr>
      <w:r>
        <w:rPr>
          <w:sz w:val="24"/>
          <w:szCs w:val="24"/>
        </w:rPr>
        <w:t xml:space="preserve">Building a reporting tool on its own, however, only solves half the problem. An application that lets residents submit a complaint but gives nothing back in </w:t>
      </w:r>
      <w:r w:rsidR="0066162A">
        <w:rPr>
          <w:sz w:val="24"/>
          <w:szCs w:val="24"/>
        </w:rPr>
        <w:t>return no</w:t>
      </w:r>
      <w:r>
        <w:rPr>
          <w:sz w:val="24"/>
          <w:szCs w:val="24"/>
        </w:rPr>
        <w:t xml:space="preserve"> acknowledgement, no visibility, no sense that anyone is </w:t>
      </w:r>
      <w:r w:rsidR="0066162A">
        <w:rPr>
          <w:sz w:val="24"/>
          <w:szCs w:val="24"/>
        </w:rPr>
        <w:t>listening tends</w:t>
      </w:r>
      <w:r>
        <w:rPr>
          <w:sz w:val="24"/>
          <w:szCs w:val="24"/>
        </w:rPr>
        <w:t xml:space="preserve"> to be used once and then abandoned. The municipality has therefore asked that the application also incorporate a genuine user engagement strategy, rather than treating reporting as a one-way form submission.</w:t>
      </w:r>
    </w:p>
    <w:p w14:paraId="29F52E8D" w14:textId="296988ED" w:rsidR="006E799C" w:rsidRDefault="00000000">
      <w:pPr>
        <w:spacing w:after="200" w:line="360" w:lineRule="auto"/>
        <w:jc w:val="both"/>
        <w:rPr>
          <w:sz w:val="24"/>
          <w:szCs w:val="24"/>
        </w:rPr>
      </w:pPr>
      <w:r>
        <w:rPr>
          <w:sz w:val="24"/>
          <w:szCs w:val="24"/>
        </w:rPr>
        <w:t xml:space="preserve">This document responds to that request. It first sets out five user engagement strategies that were considered during research into municipal and e-government applications, with a particular focus on the South African context. It then narrows in on the strategy that was ultimately chosen for implementation, explaining what it involves and why it was judged the best fit for both the residents the application serves and the </w:t>
      </w:r>
      <w:r w:rsidR="0066162A">
        <w:rPr>
          <w:sz w:val="24"/>
          <w:szCs w:val="24"/>
        </w:rPr>
        <w:t>technical.</w:t>
      </w:r>
      <w:r>
        <w:rPr>
          <w:sz w:val="24"/>
          <w:szCs w:val="24"/>
        </w:rPr>
        <w:t xml:space="preserve"> </w:t>
      </w:r>
    </w:p>
    <w:p w14:paraId="0E3640FA" w14:textId="77777777" w:rsidR="0066162A" w:rsidRDefault="0066162A">
      <w:pPr>
        <w:spacing w:after="200" w:line="360" w:lineRule="auto"/>
        <w:jc w:val="both"/>
        <w:rPr>
          <w:sz w:val="24"/>
          <w:szCs w:val="24"/>
        </w:rPr>
      </w:pPr>
    </w:p>
    <w:p w14:paraId="63CD5E22" w14:textId="77777777" w:rsidR="0066162A" w:rsidRDefault="0066162A">
      <w:pPr>
        <w:spacing w:after="200" w:line="360" w:lineRule="auto"/>
        <w:jc w:val="both"/>
        <w:rPr>
          <w:sz w:val="24"/>
          <w:szCs w:val="24"/>
        </w:rPr>
      </w:pPr>
    </w:p>
    <w:p w14:paraId="3B151457" w14:textId="77777777" w:rsidR="0066162A" w:rsidRDefault="0066162A">
      <w:pPr>
        <w:spacing w:after="200" w:line="360" w:lineRule="auto"/>
        <w:jc w:val="both"/>
        <w:rPr>
          <w:sz w:val="24"/>
          <w:szCs w:val="24"/>
        </w:rPr>
      </w:pPr>
    </w:p>
    <w:p w14:paraId="27A55353" w14:textId="77777777" w:rsidR="0066162A" w:rsidRDefault="0066162A">
      <w:pPr>
        <w:spacing w:after="200" w:line="360" w:lineRule="auto"/>
        <w:jc w:val="both"/>
        <w:rPr>
          <w:sz w:val="24"/>
          <w:szCs w:val="24"/>
        </w:rPr>
      </w:pPr>
    </w:p>
    <w:p w14:paraId="4DFA8CB7" w14:textId="77777777" w:rsidR="0066162A" w:rsidRDefault="0066162A">
      <w:pPr>
        <w:spacing w:after="200" w:line="360" w:lineRule="auto"/>
        <w:jc w:val="both"/>
      </w:pPr>
    </w:p>
    <w:p w14:paraId="36A340D9" w14:textId="77777777" w:rsidR="003F2085" w:rsidRDefault="003F2085">
      <w:pPr>
        <w:spacing w:after="200" w:line="360" w:lineRule="auto"/>
        <w:jc w:val="both"/>
      </w:pPr>
    </w:p>
    <w:p w14:paraId="3E079497" w14:textId="77777777" w:rsidR="006E799C" w:rsidRPr="008D1695" w:rsidRDefault="00000000">
      <w:pPr>
        <w:pStyle w:val="Heading1"/>
        <w:spacing w:before="300" w:after="200"/>
        <w:rPr>
          <w:color w:val="auto"/>
        </w:rPr>
      </w:pPr>
      <w:r w:rsidRPr="008D1695">
        <w:rPr>
          <w:b/>
          <w:bCs/>
          <w:color w:val="auto"/>
        </w:rPr>
        <w:lastRenderedPageBreak/>
        <w:t>2. Five User Engagement Strategies Considered</w:t>
      </w:r>
    </w:p>
    <w:p w14:paraId="43DC35A1" w14:textId="77777777" w:rsidR="006E799C" w:rsidRDefault="00000000">
      <w:pPr>
        <w:spacing w:after="200" w:line="360" w:lineRule="auto"/>
        <w:jc w:val="both"/>
      </w:pPr>
      <w:r>
        <w:rPr>
          <w:sz w:val="24"/>
          <w:szCs w:val="24"/>
        </w:rPr>
        <w:t>The five strategies below emerged from reading around user engagement in South African municipal and e-government contexts specifically, rather than general engagement theory, since what works for a retail app does not always translate to a municipal one operating under real infrastructure and literacy constraints.</w:t>
      </w:r>
    </w:p>
    <w:p w14:paraId="720233FB" w14:textId="3669A0CE" w:rsidR="006E799C" w:rsidRDefault="00000000">
      <w:pPr>
        <w:pStyle w:val="ListParagraph"/>
        <w:numPr>
          <w:ilvl w:val="0"/>
          <w:numId w:val="2"/>
        </w:numPr>
        <w:spacing w:after="120" w:line="360" w:lineRule="auto"/>
      </w:pPr>
      <w:r>
        <w:rPr>
          <w:b/>
          <w:bCs/>
          <w:sz w:val="24"/>
          <w:szCs w:val="24"/>
        </w:rPr>
        <w:t xml:space="preserve">Real-time status tracking and progress </w:t>
      </w:r>
      <w:r w:rsidR="004955EE">
        <w:rPr>
          <w:b/>
          <w:bCs/>
          <w:sz w:val="24"/>
          <w:szCs w:val="24"/>
        </w:rPr>
        <w:t>feedback</w:t>
      </w:r>
      <w:r w:rsidR="004955EE">
        <w:rPr>
          <w:sz w:val="24"/>
          <w:szCs w:val="24"/>
        </w:rPr>
        <w:t>: keeping</w:t>
      </w:r>
      <w:r>
        <w:rPr>
          <w:sz w:val="24"/>
          <w:szCs w:val="24"/>
        </w:rPr>
        <w:t xml:space="preserve"> residents informed, through visual indicators and confirmation messages, of exactly where their reported issue stands in the resolution </w:t>
      </w:r>
      <w:r w:rsidR="0066162A">
        <w:rPr>
          <w:sz w:val="24"/>
          <w:szCs w:val="24"/>
        </w:rPr>
        <w:t>process.</w:t>
      </w:r>
    </w:p>
    <w:p w14:paraId="599123DC" w14:textId="19168ACE" w:rsidR="006E799C" w:rsidRDefault="00000000">
      <w:pPr>
        <w:pStyle w:val="ListParagraph"/>
        <w:numPr>
          <w:ilvl w:val="0"/>
          <w:numId w:val="2"/>
        </w:numPr>
        <w:spacing w:after="120" w:line="360" w:lineRule="auto"/>
      </w:pPr>
      <w:r>
        <w:rPr>
          <w:b/>
          <w:bCs/>
          <w:sz w:val="24"/>
          <w:szCs w:val="24"/>
        </w:rPr>
        <w:t xml:space="preserve">Two-way communication and feedback </w:t>
      </w:r>
      <w:r w:rsidR="004955EE">
        <w:rPr>
          <w:b/>
          <w:bCs/>
          <w:sz w:val="24"/>
          <w:szCs w:val="24"/>
        </w:rPr>
        <w:t>loops</w:t>
      </w:r>
      <w:r w:rsidR="004955EE">
        <w:rPr>
          <w:sz w:val="24"/>
          <w:szCs w:val="24"/>
        </w:rPr>
        <w:t>:</w:t>
      </w:r>
      <w:r>
        <w:rPr>
          <w:sz w:val="24"/>
          <w:szCs w:val="24"/>
        </w:rPr>
        <w:t xml:space="preserve"> allowing citizens to rate, comment on, or follow up on municipal responses, rather than reporting into a one-directional </w:t>
      </w:r>
      <w:r w:rsidR="0066162A">
        <w:rPr>
          <w:sz w:val="24"/>
          <w:szCs w:val="24"/>
        </w:rPr>
        <w:t>system.</w:t>
      </w:r>
    </w:p>
    <w:p w14:paraId="30199C8B" w14:textId="192E6953" w:rsidR="006E799C" w:rsidRDefault="004955EE">
      <w:pPr>
        <w:pStyle w:val="ListParagraph"/>
        <w:numPr>
          <w:ilvl w:val="0"/>
          <w:numId w:val="2"/>
        </w:numPr>
        <w:spacing w:after="120" w:line="360" w:lineRule="auto"/>
      </w:pPr>
      <w:r>
        <w:rPr>
          <w:b/>
          <w:bCs/>
          <w:sz w:val="24"/>
          <w:szCs w:val="24"/>
        </w:rPr>
        <w:t>Gamification</w:t>
      </w:r>
      <w:r>
        <w:rPr>
          <w:sz w:val="24"/>
          <w:szCs w:val="24"/>
        </w:rPr>
        <w:t>:</w:t>
      </w:r>
      <w:r w:rsidR="00000000">
        <w:rPr>
          <w:sz w:val="24"/>
          <w:szCs w:val="24"/>
        </w:rPr>
        <w:t xml:space="preserve"> using badges, points, or recognition for residents who actively and accurately report issues, to sustain long-term participation.</w:t>
      </w:r>
    </w:p>
    <w:p w14:paraId="6197505E" w14:textId="586D9ED8" w:rsidR="006E799C" w:rsidRDefault="00000000">
      <w:pPr>
        <w:pStyle w:val="ListParagraph"/>
        <w:numPr>
          <w:ilvl w:val="0"/>
          <w:numId w:val="2"/>
        </w:numPr>
        <w:spacing w:after="120" w:line="360" w:lineRule="auto"/>
      </w:pPr>
      <w:r>
        <w:rPr>
          <w:b/>
          <w:bCs/>
          <w:sz w:val="24"/>
          <w:szCs w:val="24"/>
        </w:rPr>
        <w:t xml:space="preserve">Multi-channel push and SMS/USSD </w:t>
      </w:r>
      <w:r w:rsidR="004955EE">
        <w:rPr>
          <w:b/>
          <w:bCs/>
          <w:sz w:val="24"/>
          <w:szCs w:val="24"/>
        </w:rPr>
        <w:t>notifications</w:t>
      </w:r>
      <w:r w:rsidR="004955EE">
        <w:rPr>
          <w:sz w:val="24"/>
          <w:szCs w:val="24"/>
        </w:rPr>
        <w:t>:</w:t>
      </w:r>
      <w:r>
        <w:rPr>
          <w:sz w:val="24"/>
          <w:szCs w:val="24"/>
        </w:rPr>
        <w:t xml:space="preserve"> alerting users to updates through channels that remain accessible on low-cost devices and in areas with limited data connectivity.</w:t>
      </w:r>
    </w:p>
    <w:p w14:paraId="04F3181E" w14:textId="421ABFAC" w:rsidR="006E799C" w:rsidRDefault="00000000">
      <w:pPr>
        <w:pStyle w:val="ListParagraph"/>
        <w:numPr>
          <w:ilvl w:val="0"/>
          <w:numId w:val="2"/>
        </w:numPr>
        <w:spacing w:after="120" w:line="360" w:lineRule="auto"/>
      </w:pPr>
      <w:r>
        <w:rPr>
          <w:b/>
          <w:bCs/>
          <w:sz w:val="24"/>
          <w:szCs w:val="24"/>
        </w:rPr>
        <w:t xml:space="preserve">Multilingual, low-bandwidth and accessible </w:t>
      </w:r>
      <w:r w:rsidR="004955EE">
        <w:rPr>
          <w:b/>
          <w:bCs/>
          <w:sz w:val="24"/>
          <w:szCs w:val="24"/>
        </w:rPr>
        <w:t>design</w:t>
      </w:r>
      <w:r w:rsidR="004955EE">
        <w:rPr>
          <w:sz w:val="24"/>
          <w:szCs w:val="24"/>
        </w:rPr>
        <w:t>:</w:t>
      </w:r>
      <w:r>
        <w:rPr>
          <w:sz w:val="24"/>
          <w:szCs w:val="24"/>
        </w:rPr>
        <w:t xml:space="preserve"> reducing the digital-literacy and infrastructure barriers that have historically excluded rural and low-income residents from South African e-government platforms.</w:t>
      </w:r>
    </w:p>
    <w:p w14:paraId="7CF0F4F0" w14:textId="77777777" w:rsidR="006E799C" w:rsidRPr="008D1695" w:rsidRDefault="00000000">
      <w:pPr>
        <w:pStyle w:val="Heading1"/>
        <w:spacing w:before="300" w:after="200"/>
        <w:rPr>
          <w:color w:val="auto"/>
        </w:rPr>
      </w:pPr>
      <w:r w:rsidRPr="008D1695">
        <w:rPr>
          <w:b/>
          <w:bCs/>
          <w:color w:val="auto"/>
        </w:rPr>
        <w:t>3. Explanation and Justification of the Chosen Strategy</w:t>
      </w:r>
    </w:p>
    <w:p w14:paraId="466DC4E8" w14:textId="41974069" w:rsidR="006E799C" w:rsidRDefault="00000000">
      <w:pPr>
        <w:spacing w:after="200" w:line="360" w:lineRule="auto"/>
        <w:jc w:val="both"/>
      </w:pPr>
      <w:r>
        <w:rPr>
          <w:sz w:val="24"/>
          <w:szCs w:val="24"/>
        </w:rPr>
        <w:t>The strategy selected for implementation is real-time status tracking and progress feedback: a visible progress indicator, short encouraging messages, and confirmation dialogs at each stage of the issue-reporting process, so a resident always has some sense of where things stand. The reasoning starts with a problem that keeps surfacing in the literature on South African local government: residents often submit a complaint through whatever channel is available and then hear nothing further, with no way of knowing whether it was even received, let alone acted on. That silence matters more than it might seem it is what erodes trust and quietly convinces residents that reporting an issue is not worth the effort next time.</w:t>
      </w:r>
    </w:p>
    <w:p w14:paraId="7C27DBEF" w14:textId="7A6C66FA" w:rsidR="006E799C" w:rsidRDefault="00000000">
      <w:pPr>
        <w:spacing w:after="200" w:line="360" w:lineRule="auto"/>
        <w:jc w:val="both"/>
      </w:pPr>
      <w:r>
        <w:rPr>
          <w:sz w:val="24"/>
          <w:szCs w:val="24"/>
        </w:rPr>
        <w:t xml:space="preserve">Feedback-oriented engagement is a </w:t>
      </w:r>
      <w:r w:rsidR="0066162A">
        <w:rPr>
          <w:sz w:val="24"/>
          <w:szCs w:val="24"/>
        </w:rPr>
        <w:t>direct</w:t>
      </w:r>
      <w:r>
        <w:rPr>
          <w:sz w:val="24"/>
          <w:szCs w:val="24"/>
        </w:rPr>
        <w:t xml:space="preserve"> answer to that problem. In their study of basic service technologies in distressed municipalities, Hart et al. found that residents respond well to tools </w:t>
      </w:r>
      <w:r>
        <w:rPr>
          <w:sz w:val="24"/>
          <w:szCs w:val="24"/>
        </w:rPr>
        <w:lastRenderedPageBreak/>
        <w:t xml:space="preserve">that make the status of a request visible and predictable, even where the underlying municipal process itself remains slow visibility alone reduces the uncertainty and sense of unfairness that builds up around unanswered complaints. The </w:t>
      </w:r>
      <w:proofErr w:type="spellStart"/>
      <w:r>
        <w:rPr>
          <w:sz w:val="24"/>
          <w:szCs w:val="24"/>
        </w:rPr>
        <w:t>MobiSAM</w:t>
      </w:r>
      <w:proofErr w:type="spellEnd"/>
      <w:r>
        <w:rPr>
          <w:sz w:val="24"/>
          <w:szCs w:val="24"/>
        </w:rPr>
        <w:t xml:space="preserve"> project reached a similar conclusion from a different angle: it was deliberately designed to close the loop between a citizen's report and the municipality's response, on the premise that two-way, monitored communication is what turns a reporting tool into genuine participation rather than </w:t>
      </w:r>
      <w:r w:rsidR="0066162A">
        <w:rPr>
          <w:sz w:val="24"/>
          <w:szCs w:val="24"/>
        </w:rPr>
        <w:t>complaints inbox residents</w:t>
      </w:r>
      <w:r>
        <w:rPr>
          <w:sz w:val="24"/>
          <w:szCs w:val="24"/>
        </w:rPr>
        <w:t xml:space="preserve"> eventually abandon.</w:t>
      </w:r>
    </w:p>
    <w:p w14:paraId="202D4FFF" w14:textId="1D748D8E" w:rsidR="006E799C" w:rsidRDefault="00000000">
      <w:pPr>
        <w:spacing w:after="200" w:line="360" w:lineRule="auto"/>
        <w:jc w:val="both"/>
      </w:pPr>
      <w:r>
        <w:rPr>
          <w:sz w:val="24"/>
          <w:szCs w:val="24"/>
        </w:rPr>
        <w:t xml:space="preserve">There is also a practical reason for this choice: it fits neatly with what the brief already asks for. The technical specification calls for a </w:t>
      </w:r>
      <w:proofErr w:type="spellStart"/>
      <w:r>
        <w:rPr>
          <w:sz w:val="24"/>
          <w:szCs w:val="24"/>
        </w:rPr>
        <w:t>ProgressBar</w:t>
      </w:r>
      <w:proofErr w:type="spellEnd"/>
      <w:r>
        <w:rPr>
          <w:sz w:val="24"/>
          <w:szCs w:val="24"/>
        </w:rPr>
        <w:t xml:space="preserve"> or Label to convey engagement and a </w:t>
      </w:r>
      <w:proofErr w:type="spellStart"/>
      <w:r>
        <w:rPr>
          <w:sz w:val="24"/>
          <w:szCs w:val="24"/>
        </w:rPr>
        <w:t>MessageBox</w:t>
      </w:r>
      <w:proofErr w:type="spellEnd"/>
      <w:r>
        <w:rPr>
          <w:sz w:val="24"/>
          <w:szCs w:val="24"/>
        </w:rPr>
        <w:t xml:space="preserve"> for success and error feedback and real-time progress tracking uses precisely those controls rather than requiring anything extra. As a resident works through the form, the </w:t>
      </w:r>
      <w:proofErr w:type="spellStart"/>
      <w:r>
        <w:rPr>
          <w:sz w:val="24"/>
          <w:szCs w:val="24"/>
        </w:rPr>
        <w:t>ProgressBar</w:t>
      </w:r>
      <w:proofErr w:type="spellEnd"/>
      <w:r>
        <w:rPr>
          <w:sz w:val="24"/>
          <w:szCs w:val="24"/>
        </w:rPr>
        <w:t xml:space="preserve"> fills in to reflect how much of the location, category and description has been completed, while a short message on the Label responds to whatever stage they are at (for instance, "Almost done just add a description"). Once submitted, a </w:t>
      </w:r>
      <w:proofErr w:type="spellStart"/>
      <w:r>
        <w:rPr>
          <w:sz w:val="24"/>
          <w:szCs w:val="24"/>
        </w:rPr>
        <w:t>MessageBox</w:t>
      </w:r>
      <w:proofErr w:type="spellEnd"/>
      <w:r>
        <w:rPr>
          <w:sz w:val="24"/>
          <w:szCs w:val="24"/>
        </w:rPr>
        <w:t xml:space="preserve"> confirms the report went through and explains what happens next, so the resident is not left guessing whether the click registered.</w:t>
      </w:r>
    </w:p>
    <w:p w14:paraId="056299F8" w14:textId="77777777" w:rsidR="006E799C" w:rsidRDefault="00000000">
      <w:pPr>
        <w:spacing w:after="200" w:line="360" w:lineRule="auto"/>
        <w:jc w:val="both"/>
        <w:rPr>
          <w:sz w:val="24"/>
          <w:szCs w:val="24"/>
        </w:rPr>
      </w:pPr>
      <w:r>
        <w:rPr>
          <w:sz w:val="24"/>
          <w:szCs w:val="24"/>
        </w:rPr>
        <w:t>Finally, this strategy keeps paying off as the application grows. Local Events and Service Request Status are both flagged as later menu additions, and both are, in effect, extensions of the same idea: the status-tracking logic built for the progress bar during reporting can later be reused to show residents the live status of requests they have already submitted. Building on a strategy that is cheap to implement now, grounded in South African service-delivery research, and reusable later avoids rework and keeps the application's look, feel and behaviour consistent, which is also what the brief's design considerations around consistency and clarity ask for. Taken together, this combination of evidence, fit with the specified controls, and room to grow is why real-time status tracking and progress feedback was chosen over the other strategies considered.</w:t>
      </w:r>
    </w:p>
    <w:p w14:paraId="380FF2F0" w14:textId="77777777" w:rsidR="008D1695" w:rsidRDefault="008D1695">
      <w:pPr>
        <w:spacing w:after="200" w:line="360" w:lineRule="auto"/>
        <w:jc w:val="both"/>
        <w:rPr>
          <w:sz w:val="24"/>
          <w:szCs w:val="24"/>
        </w:rPr>
      </w:pPr>
    </w:p>
    <w:p w14:paraId="71D26F65" w14:textId="77777777" w:rsidR="0066162A" w:rsidRDefault="0066162A">
      <w:pPr>
        <w:spacing w:after="200" w:line="360" w:lineRule="auto"/>
        <w:jc w:val="both"/>
        <w:rPr>
          <w:sz w:val="24"/>
          <w:szCs w:val="24"/>
        </w:rPr>
      </w:pPr>
    </w:p>
    <w:p w14:paraId="39F1EF9B" w14:textId="77777777" w:rsidR="00216C2D" w:rsidRDefault="00216C2D">
      <w:pPr>
        <w:spacing w:after="200" w:line="360" w:lineRule="auto"/>
        <w:jc w:val="both"/>
      </w:pPr>
    </w:p>
    <w:p w14:paraId="65D1471B" w14:textId="77777777" w:rsidR="00216C2D" w:rsidRDefault="00216C2D">
      <w:pPr>
        <w:spacing w:after="200" w:line="360" w:lineRule="auto"/>
        <w:jc w:val="both"/>
      </w:pPr>
    </w:p>
    <w:p w14:paraId="32B978A4" w14:textId="77777777" w:rsidR="006E799C" w:rsidRPr="008D1695" w:rsidRDefault="00000000">
      <w:pPr>
        <w:pStyle w:val="Heading1"/>
        <w:spacing w:before="300" w:after="200"/>
        <w:rPr>
          <w:color w:val="auto"/>
        </w:rPr>
      </w:pPr>
      <w:r w:rsidRPr="008D1695">
        <w:rPr>
          <w:b/>
          <w:bCs/>
          <w:color w:val="auto"/>
        </w:rPr>
        <w:lastRenderedPageBreak/>
        <w:t>References</w:t>
      </w:r>
    </w:p>
    <w:p w14:paraId="1055F23D" w14:textId="77777777" w:rsidR="006E799C" w:rsidRDefault="00000000">
      <w:pPr>
        <w:spacing w:after="120" w:line="360" w:lineRule="auto"/>
      </w:pPr>
      <w:r>
        <w:rPr>
          <w:sz w:val="24"/>
          <w:szCs w:val="24"/>
        </w:rPr>
        <w:t>[1] T. G. B. Hart et al., "Innovation for development in South Africa: Experiences with basic service technologies in distressed municipalities," Forum for Development Studies, vol. 47, no. 1, pp. 23–47, Aug. 2019.</w:t>
      </w:r>
    </w:p>
    <w:p w14:paraId="4C3ACCA6" w14:textId="77777777" w:rsidR="006E799C" w:rsidRDefault="00000000">
      <w:pPr>
        <w:spacing w:after="120" w:line="360" w:lineRule="auto"/>
      </w:pPr>
      <w:r>
        <w:rPr>
          <w:sz w:val="24"/>
          <w:szCs w:val="24"/>
        </w:rPr>
        <w:t>[2] R. Mofokeng, "Assessing the impact of digital technologies on service delivery in local government," Journal of Local Government Research and Innovation, 2024.</w:t>
      </w:r>
    </w:p>
    <w:p w14:paraId="06C9E8E1" w14:textId="77777777" w:rsidR="006E799C" w:rsidRDefault="00000000">
      <w:pPr>
        <w:spacing w:after="120" w:line="360" w:lineRule="auto"/>
      </w:pPr>
      <w:r>
        <w:rPr>
          <w:sz w:val="24"/>
          <w:szCs w:val="24"/>
        </w:rPr>
        <w:t xml:space="preserve">[3] H. </w:t>
      </w:r>
      <w:proofErr w:type="spellStart"/>
      <w:r>
        <w:rPr>
          <w:sz w:val="24"/>
          <w:szCs w:val="24"/>
        </w:rPr>
        <w:t>Thinyane</w:t>
      </w:r>
      <w:proofErr w:type="spellEnd"/>
      <w:r>
        <w:rPr>
          <w:sz w:val="24"/>
          <w:szCs w:val="24"/>
        </w:rPr>
        <w:t xml:space="preserve">, "Power participation in digital citizen engagement in South African local government: The case of </w:t>
      </w:r>
      <w:proofErr w:type="spellStart"/>
      <w:r>
        <w:rPr>
          <w:sz w:val="24"/>
          <w:szCs w:val="24"/>
        </w:rPr>
        <w:t>MobiSAM</w:t>
      </w:r>
      <w:proofErr w:type="spellEnd"/>
      <w:r>
        <w:rPr>
          <w:sz w:val="24"/>
          <w:szCs w:val="24"/>
        </w:rPr>
        <w:t xml:space="preserve">," </w:t>
      </w:r>
      <w:proofErr w:type="spellStart"/>
      <w:r>
        <w:rPr>
          <w:sz w:val="24"/>
          <w:szCs w:val="24"/>
        </w:rPr>
        <w:t>arXiv</w:t>
      </w:r>
      <w:proofErr w:type="spellEnd"/>
      <w:r>
        <w:rPr>
          <w:sz w:val="24"/>
          <w:szCs w:val="24"/>
        </w:rPr>
        <w:t xml:space="preserve"> preprint arXiv:2108.09798, 2021.</w:t>
      </w:r>
    </w:p>
    <w:p w14:paraId="0AF7BAC9" w14:textId="77777777" w:rsidR="006E799C" w:rsidRDefault="00000000">
      <w:pPr>
        <w:spacing w:after="120" w:line="360" w:lineRule="auto"/>
      </w:pPr>
      <w:r>
        <w:rPr>
          <w:sz w:val="24"/>
          <w:szCs w:val="24"/>
        </w:rPr>
        <w:t xml:space="preserve">[4] D. Nel-Sanders and A. </w:t>
      </w:r>
      <w:proofErr w:type="spellStart"/>
      <w:r>
        <w:rPr>
          <w:sz w:val="24"/>
          <w:szCs w:val="24"/>
        </w:rPr>
        <w:t>Malomane</w:t>
      </w:r>
      <w:proofErr w:type="spellEnd"/>
      <w:r>
        <w:rPr>
          <w:sz w:val="24"/>
          <w:szCs w:val="24"/>
        </w:rPr>
        <w:t>, "Examining e-services and citizen engagement for sustainable local governance," Africa's Public Service Delivery and Performance Review, 2022.</w:t>
      </w:r>
    </w:p>
    <w:sectPr w:rsidR="006E799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B03CC7"/>
    <w:multiLevelType w:val="hybridMultilevel"/>
    <w:tmpl w:val="BCBAA018"/>
    <w:lvl w:ilvl="0" w:tplc="67B87C1A">
      <w:start w:val="1"/>
      <w:numFmt w:val="bullet"/>
      <w:lvlText w:val="•"/>
      <w:lvlJc w:val="left"/>
      <w:pPr>
        <w:ind w:left="720" w:hanging="360"/>
      </w:pPr>
    </w:lvl>
    <w:lvl w:ilvl="1" w:tplc="5496727E">
      <w:numFmt w:val="decimal"/>
      <w:lvlText w:val=""/>
      <w:lvlJc w:val="left"/>
    </w:lvl>
    <w:lvl w:ilvl="2" w:tplc="CD3C01CC">
      <w:numFmt w:val="decimal"/>
      <w:lvlText w:val=""/>
      <w:lvlJc w:val="left"/>
    </w:lvl>
    <w:lvl w:ilvl="3" w:tplc="5552B84C">
      <w:numFmt w:val="decimal"/>
      <w:lvlText w:val=""/>
      <w:lvlJc w:val="left"/>
    </w:lvl>
    <w:lvl w:ilvl="4" w:tplc="EBDE37AA">
      <w:numFmt w:val="decimal"/>
      <w:lvlText w:val=""/>
      <w:lvlJc w:val="left"/>
    </w:lvl>
    <w:lvl w:ilvl="5" w:tplc="D31C8D54">
      <w:numFmt w:val="decimal"/>
      <w:lvlText w:val=""/>
      <w:lvlJc w:val="left"/>
    </w:lvl>
    <w:lvl w:ilvl="6" w:tplc="74CC29C4">
      <w:numFmt w:val="decimal"/>
      <w:lvlText w:val=""/>
      <w:lvlJc w:val="left"/>
    </w:lvl>
    <w:lvl w:ilvl="7" w:tplc="944A73A6">
      <w:numFmt w:val="decimal"/>
      <w:lvlText w:val=""/>
      <w:lvlJc w:val="left"/>
    </w:lvl>
    <w:lvl w:ilvl="8" w:tplc="3BFCB68A">
      <w:numFmt w:val="decimal"/>
      <w:lvlText w:val=""/>
      <w:lvlJc w:val="left"/>
    </w:lvl>
  </w:abstractNum>
  <w:abstractNum w:abstractNumId="1" w15:restartNumberingAfterBreak="0">
    <w:nsid w:val="61A83C63"/>
    <w:multiLevelType w:val="hybridMultilevel"/>
    <w:tmpl w:val="DC5C4C1E"/>
    <w:lvl w:ilvl="0" w:tplc="AC1EAC4C">
      <w:start w:val="1"/>
      <w:numFmt w:val="bullet"/>
      <w:lvlText w:val="●"/>
      <w:lvlJc w:val="left"/>
      <w:pPr>
        <w:ind w:left="720" w:hanging="360"/>
      </w:pPr>
    </w:lvl>
    <w:lvl w:ilvl="1" w:tplc="79E25BC6">
      <w:start w:val="1"/>
      <w:numFmt w:val="bullet"/>
      <w:lvlText w:val="○"/>
      <w:lvlJc w:val="left"/>
      <w:pPr>
        <w:ind w:left="1440" w:hanging="360"/>
      </w:pPr>
    </w:lvl>
    <w:lvl w:ilvl="2" w:tplc="1AB874E8">
      <w:start w:val="1"/>
      <w:numFmt w:val="bullet"/>
      <w:lvlText w:val="■"/>
      <w:lvlJc w:val="left"/>
      <w:pPr>
        <w:ind w:left="2160" w:hanging="360"/>
      </w:pPr>
    </w:lvl>
    <w:lvl w:ilvl="3" w:tplc="5016EEF2">
      <w:start w:val="1"/>
      <w:numFmt w:val="bullet"/>
      <w:lvlText w:val="●"/>
      <w:lvlJc w:val="left"/>
      <w:pPr>
        <w:ind w:left="2880" w:hanging="360"/>
      </w:pPr>
    </w:lvl>
    <w:lvl w:ilvl="4" w:tplc="75A48654">
      <w:start w:val="1"/>
      <w:numFmt w:val="bullet"/>
      <w:lvlText w:val="○"/>
      <w:lvlJc w:val="left"/>
      <w:pPr>
        <w:ind w:left="3600" w:hanging="360"/>
      </w:pPr>
    </w:lvl>
    <w:lvl w:ilvl="5" w:tplc="A872954E">
      <w:start w:val="1"/>
      <w:numFmt w:val="bullet"/>
      <w:lvlText w:val="■"/>
      <w:lvlJc w:val="left"/>
      <w:pPr>
        <w:ind w:left="4320" w:hanging="360"/>
      </w:pPr>
    </w:lvl>
    <w:lvl w:ilvl="6" w:tplc="6CA68A5E">
      <w:start w:val="1"/>
      <w:numFmt w:val="bullet"/>
      <w:lvlText w:val="●"/>
      <w:lvlJc w:val="left"/>
      <w:pPr>
        <w:ind w:left="5040" w:hanging="360"/>
      </w:pPr>
    </w:lvl>
    <w:lvl w:ilvl="7" w:tplc="A4B06A00">
      <w:start w:val="1"/>
      <w:numFmt w:val="bullet"/>
      <w:lvlText w:val="●"/>
      <w:lvlJc w:val="left"/>
      <w:pPr>
        <w:ind w:left="5760" w:hanging="360"/>
      </w:pPr>
    </w:lvl>
    <w:lvl w:ilvl="8" w:tplc="F684A7A0">
      <w:start w:val="1"/>
      <w:numFmt w:val="bullet"/>
      <w:lvlText w:val="●"/>
      <w:lvlJc w:val="left"/>
      <w:pPr>
        <w:ind w:left="6480" w:hanging="360"/>
      </w:pPr>
    </w:lvl>
  </w:abstractNum>
  <w:num w:numId="1" w16cid:durableId="2090687171">
    <w:abstractNumId w:val="1"/>
    <w:lvlOverride w:ilvl="0">
      <w:startOverride w:val="1"/>
    </w:lvlOverride>
  </w:num>
  <w:num w:numId="2" w16cid:durableId="20875281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99C"/>
    <w:rsid w:val="00216C2D"/>
    <w:rsid w:val="003F2085"/>
    <w:rsid w:val="004955EE"/>
    <w:rsid w:val="0066162A"/>
    <w:rsid w:val="006E799C"/>
    <w:rsid w:val="008339C0"/>
    <w:rsid w:val="008D1695"/>
    <w:rsid w:val="00B02C8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30837"/>
  <w15:docId w15:val="{B30088B7-F52E-4E27-B800-C1B0BF48F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4</Pages>
  <Words>1030</Words>
  <Characters>5874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Nokubonga Thabede</cp:lastModifiedBy>
  <cp:revision>2</cp:revision>
  <dcterms:created xsi:type="dcterms:W3CDTF">2026-08-31T06:25:00Z</dcterms:created>
  <dcterms:modified xsi:type="dcterms:W3CDTF">2026-09-01T11:12:00Z</dcterms:modified>
</cp:coreProperties>
</file>