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Calibri" w:cs="Calibri" w:eastAsia="Calibri" w:hAnsi="Calibri"/>
          <w:color w:val="595959"/>
          <w:sz w:val="24"/>
          <w:szCs w:val="24"/>
        </w:rPr>
        <w:t xml:space="preserve">CS 699  ·  Reinforcement Learning  ·  Spring 2026</w:t>
      </w:r>
    </w:p>
    <w:p>
      <w:pPr>
        <w:spacing w:after="200"/>
        <w:jc w:val="center"/>
      </w:pPr>
      <w:r>
        <w:rPr>
          <w:rFonts w:ascii="Calibri" w:cs="Calibri" w:eastAsia="Calibri" w:hAnsi="Calibri"/>
          <w:b/>
          <w:bCs/>
          <w:color w:val="000000"/>
          <w:sz w:val="44"/>
          <w:szCs w:val="44"/>
        </w:rPr>
        <w:t xml:space="preserve">Safe Automated Driving with</w:t>
      </w:r>
    </w:p>
    <w:p>
      <w:pPr>
        <w:spacing w:after="600"/>
        <w:jc w:val="center"/>
      </w:pPr>
      <w:r>
        <w:rPr>
          <w:rFonts w:ascii="Calibri" w:cs="Calibri" w:eastAsia="Calibri" w:hAnsi="Calibri"/>
          <w:b/>
          <w:bCs/>
          <w:color w:val="000000"/>
          <w:sz w:val="44"/>
          <w:szCs w:val="44"/>
        </w:rPr>
        <w:t xml:space="preserve">Constrained Reinforcement Learning</w:t>
      </w:r>
    </w:p>
    <w:p>
      <w:pPr>
        <w:spacing w:after="200"/>
        <w:jc w:val="center"/>
      </w:pPr>
      <w:r>
        <w:rPr>
          <w:rFonts w:ascii="Calibri" w:cs="Calibri" w:eastAsia="Calibri" w:hAnsi="Calibri"/>
          <w:color w:val="000000"/>
          <w:sz w:val="26"/>
          <w:szCs w:val="26"/>
        </w:rPr>
        <w:t xml:space="preserve">Final Report</w:t>
      </w:r>
    </w:p>
    <w:p>
      <w:pPr>
        <w:spacing w:after="200"/>
        <w:jc w:val="center"/>
      </w:pPr>
      <w:r>
        <w:rPr>
          <w:rFonts w:ascii="Calibri" w:cs="Calibri" w:eastAsia="Calibri" w:hAnsi="Calibri"/>
          <w:i/>
          <w:iCs/>
          <w:color w:val="595959"/>
          <w:sz w:val="22"/>
          <w:szCs w:val="22"/>
        </w:rPr>
        <w:t xml:space="preserve">Reproducing &amp; extending Kamran et al., IEEE ITSC 2022</w:t>
      </w:r>
    </w:p>
    <w:p>
      <w:pPr>
        <w:spacing w:after="100" w:before="800"/>
        <w:jc w:val="center"/>
      </w:pPr>
      <w:r>
        <w:rPr>
          <w:rFonts w:ascii="Calibri" w:cs="Calibri" w:eastAsia="Calibri" w:hAnsi="Calibri"/>
          <w:b/>
          <w:bCs/>
          <w:sz w:val="24"/>
          <w:szCs w:val="24"/>
        </w:rPr>
        <w:t xml:space="preserve">Group 7</w:t>
      </w:r>
    </w:p>
    <w:p>
      <w:pPr>
        <w:spacing w:after="400"/>
        <w:jc w:val="center"/>
      </w:pPr>
      <w:r>
        <w:rPr>
          <w:rFonts w:ascii="Calibri" w:cs="Calibri" w:eastAsia="Calibri" w:hAnsi="Calibri"/>
          <w:sz w:val="22"/>
          <w:szCs w:val="22"/>
        </w:rPr>
        <w:t xml:space="preserve">Bonian Han  ·  Junyu Lu</w:t>
      </w:r>
    </w:p>
    <w:p>
      <w:pPr>
        <w:spacing w:after="100"/>
        <w:jc w:val="center"/>
      </w:pPr>
      <w:hyperlink w:history="1" r:id="rIdldcukpwrgzmomov07hvo7">
        <w:r>
          <w:rPr>
            <w:rFonts w:ascii="Calibri" w:cs="Calibri" w:eastAsia="Calibri" w:hAnsi="Calibri"/>
            <w:color w:val="000000"/>
            <w:sz w:val="22"/>
            <w:szCs w:val="22"/>
            <w:u w:val="single"/>
          </w:rPr>
          <w:t xml:space="preserve">github.com/BonianHan/CS699-SafeRL-Project</w:t>
        </w:r>
      </w:hyperlink>
    </w:p>
    <w:p>
      <w:r>
        <w:br w:type="page"/>
      </w:r>
    </w:p>
    <w:p>
      <w:pPr>
        <w:pStyle w:val="Heading1"/>
      </w:pPr>
      <w:r>
        <w:rPr>
          <w:rFonts w:ascii="Calibri" w:cs="Calibri" w:eastAsia="Calibri" w:hAnsi="Calibri"/>
          <w:b/>
          <w:bCs/>
          <w:color w:val="000000"/>
          <w:sz w:val="32"/>
          <w:szCs w:val="32"/>
        </w:rPr>
        <w:t xml:space="preserve">1.  References and Acknowledgements</w:t>
      </w:r>
    </w:p>
    <w:p>
      <w:pPr>
        <w:pStyle w:val="Heading2"/>
      </w:pPr>
      <w:r>
        <w:rPr>
          <w:rFonts w:ascii="Calibri" w:cs="Calibri" w:eastAsia="Calibri" w:hAnsi="Calibri"/>
          <w:b/>
          <w:bCs/>
          <w:color w:val="000000"/>
          <w:sz w:val="26"/>
          <w:szCs w:val="26"/>
        </w:rPr>
        <w:t xml:space="preserve">1.1  Reference of the paper</w:t>
      </w:r>
    </w:p>
    <w:p>
      <w:pPr>
        <w:spacing w:after="120" w:line="300"/>
        <w:jc w:val="both"/>
      </w:pPr>
      <w:r>
        <w:rPr>
          <w:rFonts w:ascii="Calibri" w:cs="Calibri" w:eastAsia="Calibri" w:hAnsi="Calibri"/>
          <w:sz w:val="22"/>
          <w:szCs w:val="22"/>
        </w:rPr>
        <w:t xml:space="preserve">Kamran D., Simão T. D., Yang Q., Ponnambalam C. T., Fischer J., Spaan M. T. J., Lauer M.  “A Modern Perspective on Safe Automated Driving for Different Traffic Dynamics Using Constrained Reinforcement Learning.”  IEEE International Conference on Intelligent Transportation Systems (ITSC), 2022, pp. 4017–4023.  DOI: 10.1109/ITSC55140.2022.9921907.</w:t>
      </w:r>
    </w:p>
    <w:p>
      <w:pPr>
        <w:pStyle w:val="Heading2"/>
      </w:pPr>
      <w:r>
        <w:rPr>
          <w:rFonts w:ascii="Calibri" w:cs="Calibri" w:eastAsia="Calibri" w:hAnsi="Calibri"/>
          <w:b/>
          <w:bCs/>
          <w:color w:val="000000"/>
          <w:sz w:val="26"/>
          <w:szCs w:val="26"/>
        </w:rPr>
        <w:t xml:space="preserve">1.2  Links to resources</w:t>
      </w:r>
    </w:p>
    <w:p>
      <w:pPr>
        <w:pStyle w:val="ListParagraph"/>
        <w:numPr>
          <w:ilvl w:val="0"/>
          <w:numId w:val="2"/>
        </w:numPr>
        <w:spacing w:after="60" w:line="280"/>
      </w:pPr>
      <w:r>
        <w:rPr>
          <w:rFonts w:ascii="Calibri" w:cs="Calibri" w:eastAsia="Calibri" w:hAnsi="Calibri"/>
          <w:sz w:val="22"/>
          <w:szCs w:val="22"/>
        </w:rPr>
        <w:t xml:space="preserve">Original paper code (TensorFlow 1.x): </w:t>
      </w:r>
      <w:hyperlink w:history="1" r:id="rIde5dscswzjtzpewus0t2hu">
        <w:r>
          <w:rPr>
            <w:rFonts w:ascii="Calibri" w:cs="Calibri" w:eastAsia="Calibri" w:hAnsi="Calibri"/>
            <w:color w:val="000000"/>
            <w:sz w:val="22"/>
            <w:szCs w:val="22"/>
            <w:u w:val="single"/>
          </w:rPr>
          <w:t xml:space="preserve">github.com/qisong-yang/SafeRLinHighwayEnvs</w:t>
        </w:r>
      </w:hyperlink>
    </w:p>
    <w:p>
      <w:pPr>
        <w:pStyle w:val="ListParagraph"/>
        <w:numPr>
          <w:ilvl w:val="0"/>
          <w:numId w:val="2"/>
        </w:numPr>
        <w:spacing w:after="60" w:line="280"/>
      </w:pPr>
      <w:r>
        <w:rPr>
          <w:rFonts w:ascii="Calibri" w:cs="Calibri" w:eastAsia="Calibri" w:hAnsi="Calibri"/>
          <w:sz w:val="22"/>
          <w:szCs w:val="22"/>
        </w:rPr>
        <w:t xml:space="preserve">Simulation environment: </w:t>
      </w:r>
      <w:hyperlink w:history="1" r:id="rIdaglb-3imaw_22sbn8mpkc">
        <w:r>
          <w:rPr>
            <w:rFonts w:ascii="Calibri" w:cs="Calibri" w:eastAsia="Calibri" w:hAnsi="Calibri"/>
            <w:color w:val="000000"/>
            <w:sz w:val="22"/>
            <w:szCs w:val="22"/>
            <w:u w:val="single"/>
          </w:rPr>
          <w:t xml:space="preserve">github.com/Farama-Foundation/HighwayEnv</w:t>
        </w:r>
      </w:hyperlink>
      <w:r>
        <w:rPr>
          <w:rFonts w:ascii="Calibri" w:cs="Calibri" w:eastAsia="Calibri" w:hAnsi="Calibri"/>
          <w:sz w:val="22"/>
          <w:szCs w:val="22"/>
        </w:rPr>
        <w:t xml:space="preserve"> (highway-env 1.10.2, MIT licence)</w:t>
      </w:r>
    </w:p>
    <w:p>
      <w:pPr>
        <w:pStyle w:val="ListParagraph"/>
        <w:numPr>
          <w:ilvl w:val="0"/>
          <w:numId w:val="2"/>
        </w:numPr>
        <w:spacing w:after="60" w:line="280"/>
      </w:pPr>
      <w:r>
        <w:rPr>
          <w:rFonts w:ascii="Calibri" w:cs="Calibri" w:eastAsia="Calibri" w:hAnsi="Calibri"/>
          <w:sz w:val="22"/>
          <w:szCs w:val="22"/>
        </w:rPr>
        <w:t xml:space="preserve">Safe-RL library: </w:t>
      </w:r>
      <w:hyperlink w:history="1" r:id="rIdkl0ztbvum5fia0wgsxvoa">
        <w:r>
          <w:rPr>
            <w:rFonts w:ascii="Calibri" w:cs="Calibri" w:eastAsia="Calibri" w:hAnsi="Calibri"/>
            <w:color w:val="000000"/>
            <w:sz w:val="22"/>
            <w:szCs w:val="22"/>
            <w:u w:val="single"/>
          </w:rPr>
          <w:t xml:space="preserve">github.com/liuzuxin/FSRL</w:t>
        </w:r>
      </w:hyperlink>
      <w:r>
        <w:rPr>
          <w:rFonts w:ascii="Calibri" w:cs="Calibri" w:eastAsia="Calibri" w:hAnsi="Calibri"/>
          <w:sz w:val="22"/>
          <w:szCs w:val="22"/>
        </w:rPr>
        <w:t xml:space="preserve">  (FSRL — discrete PPOLagrangian and CPO)</w:t>
      </w:r>
    </w:p>
    <w:p>
      <w:pPr>
        <w:pStyle w:val="ListParagraph"/>
        <w:numPr>
          <w:ilvl w:val="0"/>
          <w:numId w:val="2"/>
        </w:numPr>
        <w:spacing w:after="60" w:line="280"/>
      </w:pPr>
      <w:r>
        <w:rPr>
          <w:rFonts w:ascii="Calibri" w:cs="Calibri" w:eastAsia="Calibri" w:hAnsi="Calibri"/>
          <w:sz w:val="22"/>
          <w:szCs w:val="22"/>
        </w:rPr>
        <w:t xml:space="preserve">RL framework: </w:t>
      </w:r>
      <w:hyperlink w:history="1" r:id="rId0lgftx5ptgnqpn9zfmjas">
        <w:r>
          <w:rPr>
            <w:rFonts w:ascii="Calibri" w:cs="Calibri" w:eastAsia="Calibri" w:hAnsi="Calibri"/>
            <w:color w:val="000000"/>
            <w:sz w:val="22"/>
            <w:szCs w:val="22"/>
            <w:u w:val="single"/>
          </w:rPr>
          <w:t xml:space="preserve">github.com/thu-ml/tianshou</w:t>
        </w:r>
      </w:hyperlink>
      <w:r>
        <w:rPr>
          <w:rFonts w:ascii="Calibri" w:cs="Calibri" w:eastAsia="Calibri" w:hAnsi="Calibri"/>
          <w:sz w:val="22"/>
          <w:szCs w:val="22"/>
        </w:rPr>
        <w:t xml:space="preserve">  (Tianshou ~0.5.1)</w:t>
      </w:r>
    </w:p>
    <w:p>
      <w:pPr>
        <w:pStyle w:val="ListParagraph"/>
        <w:numPr>
          <w:ilvl w:val="0"/>
          <w:numId w:val="2"/>
        </w:numPr>
        <w:spacing w:after="60" w:line="280"/>
      </w:pPr>
      <w:r>
        <w:rPr>
          <w:rFonts w:ascii="Calibri" w:cs="Calibri" w:eastAsia="Calibri" w:hAnsi="Calibri"/>
          <w:sz w:val="22"/>
          <w:szCs w:val="22"/>
        </w:rPr>
        <w:t xml:space="preserve">OmniSafe (audited but not used as a baseline; see §4.4): </w:t>
      </w:r>
      <w:hyperlink w:history="1" r:id="rIdw8fckis0ejnkl6gc_0o9k">
        <w:r>
          <w:rPr>
            <w:rFonts w:ascii="Calibri" w:cs="Calibri" w:eastAsia="Calibri" w:hAnsi="Calibri"/>
            <w:color w:val="000000"/>
            <w:sz w:val="22"/>
            <w:szCs w:val="22"/>
            <w:u w:val="single"/>
          </w:rPr>
          <w:t xml:space="preserve">github.com/PKU-Alignment/omnisafe</w:t>
        </w:r>
      </w:hyperlink>
    </w:p>
    <w:p>
      <w:pPr>
        <w:pStyle w:val="ListParagraph"/>
        <w:numPr>
          <w:ilvl w:val="0"/>
          <w:numId w:val="2"/>
        </w:numPr>
        <w:spacing w:after="60" w:line="280"/>
      </w:pPr>
      <w:r>
        <w:rPr>
          <w:rFonts w:ascii="Calibri" w:cs="Calibri" w:eastAsia="Calibri" w:hAnsi="Calibri"/>
          <w:sz w:val="22"/>
          <w:szCs w:val="22"/>
        </w:rPr>
        <w:t xml:space="preserve">Our code, results, slides, and report: </w:t>
      </w:r>
      <w:hyperlink w:history="1" r:id="rIdleyfo1rlsxgtgwhaf0aci">
        <w:r>
          <w:rPr>
            <w:rFonts w:ascii="Calibri" w:cs="Calibri" w:eastAsia="Calibri" w:hAnsi="Calibri"/>
            <w:color w:val="000000"/>
            <w:sz w:val="22"/>
            <w:szCs w:val="22"/>
            <w:u w:val="single"/>
          </w:rPr>
          <w:t xml:space="preserve">github.com/BonianHan/CS699-SafeRL-Project</w:t>
        </w:r>
      </w:hyperlink>
      <w:r>
        <w:rPr>
          <w:rFonts w:ascii="Calibri" w:cs="Calibri" w:eastAsia="Calibri" w:hAnsi="Calibri"/>
          <w:sz w:val="22"/>
          <w:szCs w:val="22"/>
        </w:rPr>
        <w:t xml:space="preserve">  (branch </w:t>
      </w:r>
      <w:r>
        <w:rPr>
          <w:rFonts w:ascii="Consolas" w:cs="Consolas" w:eastAsia="Consolas" w:hAnsi="Consolas"/>
          <w:sz w:val="20"/>
          <w:szCs w:val="20"/>
        </w:rPr>
        <w:t xml:space="preserve">milestone3</w:t>
      </w:r>
      <w:r>
        <w:rPr>
          <w:rFonts w:ascii="Calibri" w:cs="Calibri" w:eastAsia="Calibri" w:hAnsi="Calibri"/>
          <w:sz w:val="22"/>
          <w:szCs w:val="22"/>
        </w:rPr>
        <w:t xml:space="preserve">)</w:t>
      </w:r>
    </w:p>
    <w:p>
      <w:pPr>
        <w:pStyle w:val="Heading2"/>
      </w:pPr>
      <w:r>
        <w:rPr>
          <w:rFonts w:ascii="Calibri" w:cs="Calibri" w:eastAsia="Calibri" w:hAnsi="Calibri"/>
          <w:b/>
          <w:bCs/>
          <w:color w:val="000000"/>
          <w:sz w:val="26"/>
          <w:szCs w:val="26"/>
        </w:rPr>
        <w:t xml:space="preserve">1.3  Other references</w:t>
      </w:r>
    </w:p>
    <w:p>
      <w:pPr>
        <w:pStyle w:val="ListParagraph"/>
        <w:numPr>
          <w:ilvl w:val="0"/>
          <w:numId w:val="2"/>
        </w:numPr>
        <w:spacing w:after="60" w:line="280"/>
      </w:pPr>
      <w:r>
        <w:rPr>
          <w:rFonts w:ascii="Calibri" w:cs="Calibri" w:eastAsia="Calibri" w:hAnsi="Calibri"/>
          <w:sz w:val="22"/>
          <w:szCs w:val="22"/>
        </w:rPr>
        <w:t xml:space="preserve">Schulman J. et al. “Proximal Policy Optimization Algorithms.” arXiv:1707.06347, 2017.</w:t>
      </w:r>
    </w:p>
    <w:p>
      <w:pPr>
        <w:pStyle w:val="ListParagraph"/>
        <w:numPr>
          <w:ilvl w:val="0"/>
          <w:numId w:val="2"/>
        </w:numPr>
        <w:spacing w:after="60" w:line="280"/>
      </w:pPr>
      <w:r>
        <w:rPr>
          <w:rFonts w:ascii="Calibri" w:cs="Calibri" w:eastAsia="Calibri" w:hAnsi="Calibri"/>
          <w:sz w:val="22"/>
          <w:szCs w:val="22"/>
        </w:rPr>
        <w:t xml:space="preserve">Achiam J. et al. “Constrained Policy Optimization.” ICML 2017.</w:t>
      </w:r>
    </w:p>
    <w:p>
      <w:pPr>
        <w:pStyle w:val="ListParagraph"/>
        <w:numPr>
          <w:ilvl w:val="0"/>
          <w:numId w:val="2"/>
        </w:numPr>
        <w:spacing w:after="60" w:line="280"/>
      </w:pPr>
      <w:r>
        <w:rPr>
          <w:rFonts w:ascii="Calibri" w:cs="Calibri" w:eastAsia="Calibri" w:hAnsi="Calibri"/>
          <w:sz w:val="22"/>
          <w:szCs w:val="22"/>
        </w:rPr>
        <w:t xml:space="preserve">Altman E. “Constrained Markov Decision Processes.” Chapman &amp; Hall, 1999.</w:t>
      </w:r>
    </w:p>
    <w:p>
      <w:pPr>
        <w:pStyle w:val="ListParagraph"/>
        <w:numPr>
          <w:ilvl w:val="0"/>
          <w:numId w:val="2"/>
        </w:numPr>
        <w:spacing w:after="60" w:line="280"/>
      </w:pPr>
      <w:r>
        <w:rPr>
          <w:rFonts w:ascii="Calibri" w:cs="Calibri" w:eastAsia="Calibri" w:hAnsi="Calibri"/>
          <w:sz w:val="22"/>
          <w:szCs w:val="22"/>
        </w:rPr>
        <w:t xml:space="preserve">Stooke A., Achiam J., Abbeel P. “Responsive Safety in RL by PID Lagrangian Methods.” ICML 2020.</w:t>
      </w:r>
    </w:p>
    <w:p>
      <w:pPr>
        <w:pStyle w:val="ListParagraph"/>
        <w:numPr>
          <w:ilvl w:val="0"/>
          <w:numId w:val="2"/>
        </w:numPr>
        <w:spacing w:after="60" w:line="280"/>
      </w:pPr>
      <w:r>
        <w:rPr>
          <w:rFonts w:ascii="Calibri" w:cs="Calibri" w:eastAsia="Calibri" w:hAnsi="Calibri"/>
          <w:sz w:val="22"/>
          <w:szCs w:val="22"/>
        </w:rPr>
        <w:t xml:space="preserve">Yang T.-Y. et al. “WCSAC: Worst-Case Soft Actor-Critic for Safety-Constrained RL.” AAAI 2021.</w:t>
      </w:r>
    </w:p>
    <w:p>
      <w:pPr>
        <w:pStyle w:val="Heading2"/>
      </w:pPr>
      <w:r>
        <w:rPr>
          <w:rFonts w:ascii="Calibri" w:cs="Calibri" w:eastAsia="Calibri" w:hAnsi="Calibri"/>
          <w:b/>
          <w:bCs/>
          <w:color w:val="000000"/>
          <w:sz w:val="26"/>
          <w:szCs w:val="26"/>
        </w:rPr>
        <w:t xml:space="preserve">1.4  Workload distribution</w:t>
      </w:r>
    </w:p>
    <w:p>
      <w:pPr>
        <w:spacing w:after="120" w:line="300"/>
        <w:jc w:val="both"/>
      </w:pPr>
      <w:r>
        <w:rPr>
          <w:rFonts w:ascii="Calibri" w:cs="Calibri" w:eastAsia="Calibri" w:hAnsi="Calibri"/>
          <w:sz w:val="22"/>
          <w:szCs w:val="22"/>
        </w:rPr>
        <w:t xml:space="preserve">We worked as a 2-person team and split the work roughly evenly. Both members participated in scoping, debugging, and the final report; each owned a primary execution lane as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1500"/>
        <w:gridCol w:w="1400"/>
      </w:tblGrid>
      <w:tr>
        <w:trPr>
          <w:tblHeader/>
        </w:trPr>
        <w:tc>
          <w:tcPr>
            <w:tcW w:type="dxa" w:w="17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Member</w:t>
            </w:r>
          </w:p>
        </w:tc>
        <w:tc>
          <w:tcPr>
            <w:tcW w:type="dxa" w:w="476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Primary responsibilities</w:t>
            </w:r>
          </w:p>
        </w:tc>
        <w:tc>
          <w:tcPr>
            <w:tcW w:type="dxa" w:w="15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Secondary</w:t>
            </w:r>
          </w:p>
        </w:tc>
        <w:tc>
          <w:tcPr>
            <w:tcW w:type="dxa" w:w="14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 workload</w:t>
            </w:r>
          </w:p>
        </w:tc>
      </w:tr>
      <w:tr>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Bonian Han</w:t>
            </w:r>
          </w:p>
        </w:tc>
        <w:tc>
          <w:tcPr>
            <w:tcW w:type="dxa" w:w="47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Codebase architecture (saferl_suite, train.py, run_roadmap), CostWrapper bug fix, decoupled-reward design, multi-scenario sweep orchestration, slide deck and report</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Demo videos, statistics</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50 %</w:t>
            </w:r>
          </w:p>
        </w:tc>
      </w:tr>
      <w:tr>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Junyu Lu</w:t>
            </w:r>
          </w:p>
        </w:tc>
        <w:tc>
          <w:tcPr>
            <w:tcW w:type="dxa" w:w="47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Discrete-action FSRL adapter, CPO integration, hyperparameter tuning for the merge replication, training-curve analysis, OmniSafe compatibility audit</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Slide drafting, GPU runs</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50 %</w:t>
            </w:r>
          </w:p>
        </w:tc>
      </w:tr>
    </w:tbl>
    <w:p>
      <w:pPr>
        <w:spacing w:after="220"/>
        <w:jc w:val="center"/>
      </w:pPr>
      <w:r>
        <w:rPr>
          <w:rFonts w:ascii="Calibri" w:cs="Calibri" w:eastAsia="Calibri" w:hAnsi="Calibri"/>
          <w:i/>
          <w:iCs/>
          <w:color w:val="595959"/>
          <w:sz w:val="20"/>
          <w:szCs w:val="20"/>
        </w:rPr>
        <w:t xml:space="preserve">Table 1.  Workload distribution between the two team members.</w:t>
      </w:r>
    </w:p>
    <w:p>
      <w:r>
        <w:br w:type="page"/>
      </w:r>
    </w:p>
    <w:p>
      <w:pPr>
        <w:pStyle w:val="Heading1"/>
      </w:pPr>
      <w:r>
        <w:rPr>
          <w:rFonts w:ascii="Calibri" w:cs="Calibri" w:eastAsia="Calibri" w:hAnsi="Calibri"/>
          <w:b/>
          <w:bCs/>
          <w:color w:val="000000"/>
          <w:sz w:val="32"/>
          <w:szCs w:val="32"/>
        </w:rPr>
        <w:t xml:space="preserve">2.  Application, MDP, and RL Model</w:t>
      </w:r>
    </w:p>
    <w:p>
      <w:pPr>
        <w:pStyle w:val="Heading2"/>
      </w:pPr>
      <w:r>
        <w:rPr>
          <w:rFonts w:ascii="Calibri" w:cs="Calibri" w:eastAsia="Calibri" w:hAnsi="Calibri"/>
          <w:b/>
          <w:bCs/>
          <w:color w:val="000000"/>
          <w:sz w:val="26"/>
          <w:szCs w:val="26"/>
        </w:rPr>
        <w:t xml:space="preserve">2.1  Application introduction</w:t>
      </w:r>
    </w:p>
    <w:p>
      <w:pPr>
        <w:spacing w:after="120" w:line="300"/>
        <w:jc w:val="both"/>
      </w:pPr>
      <w:r>
        <w:rPr>
          <w:rFonts w:ascii="Calibri" w:cs="Calibri" w:eastAsia="Calibri" w:hAnsi="Calibri"/>
          <w:sz w:val="22"/>
          <w:szCs w:val="22"/>
        </w:rPr>
        <w:t xml:space="preserve">The paper studies safe decision-making for an autonomous ego-vehicle that must interact with surrounding traffic in highway-env, an open-source Gymnasium simulator built on top of an IDM+MOBIL longitudinal-and-lane-change traffic model. Per simulation step (Δt = 0.1 s in the slow loop, 0.025 s for the underlying kinematic integrator), the agent receives a Kinematics observation and emits one discrete meta-action. Episodes terminate on collision, on reaching the goal, or after a fixed number of steps.</w:t>
      </w:r>
    </w:p>
    <w:p>
      <w:pPr>
        <w:spacing w:after="120" w:line="300"/>
        <w:jc w:val="both"/>
      </w:pPr>
      <w:r>
        <w:rPr>
          <w:rFonts w:ascii="Calibri" w:cs="Calibri" w:eastAsia="Calibri" w:hAnsi="Calibri"/>
          <w:sz w:val="22"/>
          <w:szCs w:val="22"/>
        </w:rPr>
        <w:t xml:space="preserve">We focus on four scenarios from highway-env, all using the DiscreteMetaAction interface: merge-v0 (the paper's primary benchmark), highway-v0, roundabout-v0, and intersection-v1.  Each provides a different traffic-dynamics regime, which is exactly the regime-shift problem the paper claims constrained RL solves more robustly than reward shaping.</w:t>
      </w:r>
    </w:p>
    <w:p>
      <w:pPr>
        <w:pStyle w:val="Heading2"/>
      </w:pPr>
      <w:r>
        <w:rPr>
          <w:rFonts w:ascii="Calibri" w:cs="Calibri" w:eastAsia="Calibri" w:hAnsi="Calibri"/>
          <w:b/>
          <w:bCs/>
          <w:color w:val="000000"/>
          <w:sz w:val="26"/>
          <w:szCs w:val="26"/>
        </w:rPr>
        <w:t xml:space="preserve">2.2  MDP / CMDP formulation</w:t>
      </w:r>
    </w:p>
    <w:p>
      <w:pPr>
        <w:spacing w:after="120" w:line="300"/>
        <w:jc w:val="both"/>
      </w:pPr>
      <w:r>
        <w:rPr>
          <w:rFonts w:ascii="Calibri" w:cs="Calibri" w:eastAsia="Calibri" w:hAnsi="Calibri"/>
          <w:sz w:val="22"/>
          <w:szCs w:val="22"/>
        </w:rPr>
        <w:t xml:space="preserve">We model the task as a Constrained Markov Decision Process (S, A, P, r, c, γ,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Component</w:t>
            </w:r>
          </w:p>
        </w:tc>
        <w:tc>
          <w:tcPr>
            <w:tcW w:type="dxa" w:w="746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Definition</w:t>
            </w:r>
          </w:p>
        </w:tc>
      </w:tr>
      <w:tr>
        <w:tc>
          <w:tcPr>
            <w:tcW w:type="dxa" w:w="19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State sₜ ∈ S</w:t>
            </w:r>
          </w:p>
        </w:tc>
        <w:tc>
          <w:tcPr>
            <w:tcW w:type="dxa" w:w="74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Flattened Kinematics observation of the 5 nearest vehicles (8 for intersection-v1) — for each vehicle: [presence, x, y, vx, vy].  Dimension: 25 (40 for intersection-v1).</w:t>
            </w:r>
          </w:p>
        </w:tc>
      </w:tr>
      <w:tr>
        <w:tc>
          <w:tcPr>
            <w:tcW w:type="dxa" w:w="19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Action aₜ ∈ A</w:t>
            </w:r>
          </w:p>
        </w:tc>
        <w:tc>
          <w:tcPr>
            <w:tcW w:type="dxa" w:w="74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5 discrete meta-actions {LANE_LEFT, IDLE, LANE_RIGHT, FASTER, SLOWER}.  The low-level controller handles steering and throttle.</w:t>
            </w:r>
          </w:p>
        </w:tc>
      </w:tr>
      <w:tr>
        <w:tc>
          <w:tcPr>
            <w:tcW w:type="dxa" w:w="19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Transition P</w:t>
            </w:r>
          </w:p>
        </w:tc>
        <w:tc>
          <w:tcPr>
            <w:tcW w:type="dxa" w:w="74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Deterministic given the current world state — surrounding vehicles follow IDM (longitudinal) and MOBIL (lane-change) policies; ego dynamics follow a kinematic bicycle model.  No explicit transition matrix; the simulator is treated as a black-box environment.</w:t>
            </w:r>
          </w:p>
        </w:tc>
      </w:tr>
      <w:tr>
        <w:tc>
          <w:tcPr>
            <w:tcW w:type="dxa" w:w="19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Reward rₜ</w:t>
            </w:r>
          </w:p>
        </w:tc>
        <w:tc>
          <w:tcPr>
            <w:tcW w:type="dxa" w:w="74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high_speed_reward (0.4 weight) plus a lane-position bonus.  Crucially, we set collision_reward = 0 so safety is NOT penalized through reward (see §4.4 ablation).</w:t>
            </w:r>
          </w:p>
        </w:tc>
      </w:tr>
      <w:tr>
        <w:tc>
          <w:tcPr>
            <w:tcW w:type="dxa" w:w="19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Cost cₜ</w:t>
            </w:r>
          </w:p>
        </w:tc>
        <w:tc>
          <w:tcPr>
            <w:tcW w:type="dxa" w:w="74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1 if the ego collides at step t, else 0.  This is the only safety signal.  We added a Gym wrapper (CostWrapper) that maps highway-env's info["crashed"] to info["cost"], because the paper's open-source code reads info["cost"] which highway-env never sets.</w:t>
            </w:r>
          </w:p>
        </w:tc>
      </w:tr>
      <w:tr>
        <w:tc>
          <w:tcPr>
            <w:tcW w:type="dxa" w:w="19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Discount γ</w:t>
            </w:r>
          </w:p>
        </w:tc>
        <w:tc>
          <w:tcPr>
            <w:tcW w:type="dxa" w:w="74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0.99 (paper default).  GAE-λ for advantage estimation: 0.97.</w:t>
            </w:r>
          </w:p>
        </w:tc>
      </w:tr>
      <w:tr>
        <w:tc>
          <w:tcPr>
            <w:tcW w:type="dxa" w:w="19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Constraint d</w:t>
            </w:r>
          </w:p>
        </w:tc>
        <w:tc>
          <w:tcPr>
            <w:tcW w:type="dxa" w:w="74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Cost limit d = 0.1 ⇒ the constrained policy is required to keep the expected episodic collision rate below 10 %.</w:t>
            </w:r>
          </w:p>
        </w:tc>
      </w:tr>
    </w:tbl>
    <w:p>
      <w:pPr>
        <w:spacing w:after="220"/>
        <w:jc w:val="center"/>
      </w:pPr>
      <w:r>
        <w:rPr>
          <w:rFonts w:ascii="Calibri" w:cs="Calibri" w:eastAsia="Calibri" w:hAnsi="Calibri"/>
          <w:i/>
          <w:iCs/>
          <w:color w:val="595959"/>
          <w:sz w:val="20"/>
          <w:szCs w:val="20"/>
        </w:rPr>
        <w:t xml:space="preserve">Table 2.  CMDP components used throughout the project.</w:t>
      </w:r>
    </w:p>
    <w:p>
      <w:r>
        <w:rPr>
          <w:rFonts w:ascii="Calibri" w:cs="Calibri" w:eastAsia="Calibri" w:hAnsi="Calibri"/>
          <w:sz w:val="22"/>
          <w:szCs w:val="22"/>
        </w:rPr>
        <w:t xml:space="preserve">CMDP objective: </w:t>
      </w:r>
      <w:r>
        <w:rPr>
          <w:rFonts w:ascii="Consolas" w:cs="Consolas" w:eastAsia="Consolas" w:hAnsi="Consolas"/>
          <w:b/>
          <w:bCs/>
          <w:sz w:val="22"/>
          <w:szCs w:val="22"/>
        </w:rPr>
        <w:t xml:space="preserve">max  E[Σ γᵗ rₜ]   subject to   E[Σ γᵗ cₜ] ≤ d.</w:t>
      </w:r>
    </w:p>
    <w:p>
      <w:pPr>
        <w:pStyle w:val="Heading3"/>
      </w:pPr>
      <w:r>
        <w:rPr>
          <w:rFonts w:ascii="Calibri" w:cs="Calibri" w:eastAsia="Calibri" w:hAnsi="Calibri"/>
          <w:b/>
          <w:bCs/>
          <w:color w:val="000000"/>
          <w:sz w:val="22"/>
          <w:szCs w:val="22"/>
        </w:rPr>
        <w:t xml:space="preserve">Intuition for the value functions</w:t>
      </w:r>
    </w:p>
    <w:p>
      <w:pPr>
        <w:spacing w:after="120" w:line="300"/>
        <w:jc w:val="both"/>
      </w:pPr>
      <w:r>
        <w:rPr>
          <w:rFonts w:ascii="Calibri" w:cs="Calibri" w:eastAsia="Calibri" w:hAnsi="Calibri"/>
          <w:sz w:val="22"/>
          <w:szCs w:val="22"/>
        </w:rPr>
        <w:t xml:space="preserve">Two critics are trained: V(s) for return and V_c(s) for cumulative cost.  V(s) answers “how much speed/lane reward will I collect from here on?”; V_c(s) answers “how likely is a crash from here on, weighted by discount?”.  For example, in merge-v0, a state where the ego is close behind a slow lead vehicle on the on-ramp has V_c(s) ≈ 0.6–0.8 (high crash probability if the agent accelerates) and V(s) only ≈ 7 (low expected reward).  After PPOLag converges, the policy learns that braking from such a state lowers V_c at the cost of a small dip in V — exactly the trade-off the constraint encodes.</w:t>
      </w:r>
    </w:p>
    <w:p>
      <w:pPr>
        <w:pStyle w:val="Heading2"/>
      </w:pPr>
      <w:r>
        <w:rPr>
          <w:rFonts w:ascii="Calibri" w:cs="Calibri" w:eastAsia="Calibri" w:hAnsi="Calibri"/>
          <w:b/>
          <w:bCs/>
          <w:color w:val="000000"/>
          <w:sz w:val="26"/>
          <w:szCs w:val="26"/>
        </w:rPr>
        <w:t xml:space="preserve">2.3  RL approach</w:t>
      </w:r>
    </w:p>
    <w:p>
      <w:pPr>
        <w:spacing w:after="120" w:line="300"/>
        <w:jc w:val="both"/>
      </w:pPr>
      <w:r>
        <w:rPr>
          <w:rFonts w:ascii="Calibri" w:cs="Calibri" w:eastAsia="Calibri" w:hAnsi="Calibri"/>
          <w:sz w:val="22"/>
          <w:szCs w:val="22"/>
        </w:rPr>
        <w:t xml:space="preserve">We use three on-policy algorithms, all sharing the same MLP architecture (2 hidden layers × 64 units, tanh activation, orthogonal init, separate actor / reward-critic / cost-critic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Algorithm</w:t>
            </w:r>
          </w:p>
        </w:tc>
        <w:tc>
          <w:tcPr>
            <w:tcW w:type="dxa" w:w="38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What it adds to PPO</w:t>
            </w:r>
          </w:p>
        </w:tc>
        <w:tc>
          <w:tcPr>
            <w:tcW w:type="dxa" w:w="386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Why include it</w:t>
            </w:r>
          </w:p>
        </w:tc>
      </w:tr>
      <w:tr>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PPO</w:t>
            </w:r>
          </w:p>
        </w:tc>
        <w:tc>
          <w:tcPr>
            <w:tcW w:type="dxa" w:w="38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Vanilla PPO with clip ε = 0.2, target KL = 0.01.  Optimises only the reward objective; ignores the cost constraint.</w:t>
            </w:r>
          </w:p>
        </w:tc>
        <w:tc>
          <w:tcPr>
            <w:tcW w:type="dxa" w:w="3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Unconstrained baseline.  If a constrained method does not beat PPO on safety, the framework adds nothing.</w:t>
            </w:r>
          </w:p>
        </w:tc>
      </w:tr>
      <w:tr>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PPO-Lagrangian</w:t>
            </w:r>
          </w:p>
        </w:tc>
        <w:tc>
          <w:tcPr>
            <w:tcW w:type="dxa" w:w="38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Wraps PPO in a Lagrangian (max_π min_λ≥0  J_R(π) − λ(J_C(π) − d)).  λ is updated online by a PID controller (Kp = 10, Ki = 1, Kd = 1) from the running estimate of J_C − d.</w:t>
            </w:r>
          </w:p>
        </w:tc>
        <w:tc>
          <w:tcPr>
            <w:tcW w:type="dxa" w:w="3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The paper's headline method.  λ adapts automatically: if cost is too high, λ rises and the policy gradient pushes toward safer actions; if cost is below d, λ shrinks and the policy can chase reward.</w:t>
            </w:r>
          </w:p>
        </w:tc>
      </w:tr>
      <w:tr>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CPO</w:t>
            </w:r>
          </w:p>
        </w:tc>
        <w:tc>
          <w:tcPr>
            <w:tcW w:type="dxa" w:w="38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Trust-region update solving a constrained quadratic programme via conjugate gradient on the cost-advantage estimator.  Provides per-update feasibility guarantees (in the limit of accurate estimates).</w:t>
            </w:r>
          </w:p>
        </w:tc>
        <w:tc>
          <w:tcPr>
            <w:tcW w:type="dxa" w:w="3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Different family of constrained method; tests whether the CMDP advantage holds across optimisation strategies, not just Lagrangian.</w:t>
            </w:r>
          </w:p>
        </w:tc>
      </w:tr>
    </w:tbl>
    <w:p>
      <w:pPr>
        <w:spacing w:after="220"/>
        <w:jc w:val="center"/>
      </w:pPr>
      <w:r>
        <w:rPr>
          <w:rFonts w:ascii="Calibri" w:cs="Calibri" w:eastAsia="Calibri" w:hAnsi="Calibri"/>
          <w:i/>
          <w:iCs/>
          <w:color w:val="595959"/>
          <w:sz w:val="20"/>
          <w:szCs w:val="20"/>
        </w:rPr>
        <w:t xml:space="preserve">Table 3.  Three algorithms compared, all sharing the same network architecture.</w:t>
      </w:r>
    </w:p>
    <w:p>
      <w:pPr>
        <w:spacing w:after="120" w:line="300"/>
        <w:jc w:val="both"/>
      </w:pPr>
      <w:r>
        <w:rPr>
          <w:rFonts w:ascii="Calibri" w:cs="Calibri" w:eastAsia="Calibri" w:hAnsi="Calibri"/>
          <w:sz w:val="22"/>
          <w:szCs w:val="22"/>
        </w:rPr>
        <w:t xml:space="preserve">Compared to classical RL covered in class (DQN, vanilla policy gradient, actor-critic), the key extension is the explicit cost constraint and the Lagrangian dual variable.  Conceptually, λ plays the role of a learned multiplicative penalty weight; the PID controller is what makes its update smooth instead of oscillatory.  This lets us specify safety as an interpretable scalar (“crash rate ≤ 10 %”) rather than as a brittle scalar weight that has to be re-tuned for every new traffic regime.</w:t>
      </w:r>
    </w:p>
    <w:p>
      <w:pPr>
        <w:spacing w:after="60" w:before="120"/>
        <w:jc w:val="center"/>
      </w:pPr>
      <w:r>
        <w:drawing>
          <wp:inline distT="0" distB="0" distL="0" distR="0">
            <wp:extent cx="5715000" cy="2190750"/>
            <wp:effectExtent t="0" r="0" b="0" l="0"/>
            <wp:docPr id="1" name="training_curves_combined.png" descr="/Users/bonianhan/Projects/CS699/project/final_present/figures/training_curves_combined.png" title="training_curves_comb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90750"/>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Figure 1.  PPO and PPOLag training curves on merge-v0.  PPOLag's cost crosses below d = 0.1 by epoch 5; PPO's cost oscillates between 0.2 and 0.7 with no incentive to descend.</w:t>
      </w:r>
    </w:p>
    <w:p>
      <w:r>
        <w:br w:type="page"/>
      </w:r>
    </w:p>
    <w:p>
      <w:pPr>
        <w:pStyle w:val="Heading1"/>
      </w:pPr>
      <w:r>
        <w:rPr>
          <w:rFonts w:ascii="Calibri" w:cs="Calibri" w:eastAsia="Calibri" w:hAnsi="Calibri"/>
          <w:b/>
          <w:bCs/>
          <w:color w:val="000000"/>
          <w:sz w:val="32"/>
          <w:szCs w:val="32"/>
        </w:rPr>
        <w:t xml:space="preserve">3.  Codebase, System, and Experiment Setup</w:t>
      </w:r>
    </w:p>
    <w:p>
      <w:pPr>
        <w:pStyle w:val="Heading2"/>
      </w:pPr>
      <w:r>
        <w:rPr>
          <w:rFonts w:ascii="Calibri" w:cs="Calibri" w:eastAsia="Calibri" w:hAnsi="Calibri"/>
          <w:b/>
          <w:bCs/>
          <w:color w:val="000000"/>
          <w:sz w:val="26"/>
          <w:szCs w:val="26"/>
        </w:rPr>
        <w:t xml:space="preserve">3.1  Libraries and system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Library</w:t>
            </w:r>
          </w:p>
        </w:tc>
        <w:tc>
          <w:tcPr>
            <w:tcW w:type="dxa" w:w="14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Version</w:t>
            </w:r>
          </w:p>
        </w:tc>
        <w:tc>
          <w:tcPr>
            <w:tcW w:type="dxa" w:w="556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Role</w:t>
            </w:r>
          </w:p>
        </w:tc>
      </w:tr>
      <w:tr>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Python</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3.10–3.13</w:t>
            </w:r>
          </w:p>
        </w:tc>
        <w:tc>
          <w:tcPr>
            <w:tcW w:type="dxa" w:w="55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interpreter (any modern 3.x works)</w:t>
            </w:r>
          </w:p>
        </w:tc>
      </w:tr>
      <w:tr>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highway-env</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1.10.2</w:t>
            </w:r>
          </w:p>
        </w:tc>
        <w:tc>
          <w:tcPr>
            <w:tcW w:type="dxa" w:w="55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Gymnasium-compatible driving simulator</w:t>
            </w:r>
          </w:p>
        </w:tc>
      </w:tr>
      <w:tr>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gymnasium</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&gt;= 0.29</w:t>
            </w:r>
          </w:p>
        </w:tc>
        <w:tc>
          <w:tcPr>
            <w:tcW w:type="dxa" w:w="55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RL environment API</w:t>
            </w:r>
          </w:p>
        </w:tc>
      </w:tr>
      <w:tr>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torch</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2.x</w:t>
            </w:r>
          </w:p>
        </w:tc>
        <w:tc>
          <w:tcPr>
            <w:tcW w:type="dxa" w:w="55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neural-network backend (CPU or CUDA)</w:t>
            </w:r>
          </w:p>
        </w:tc>
      </w:tr>
      <w:tr>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numpy</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&lt;2</w:t>
            </w:r>
          </w:p>
        </w:tc>
        <w:tc>
          <w:tcPr>
            <w:tcW w:type="dxa" w:w="55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matrix maths (FSRL pins to &lt;2)</w:t>
            </w:r>
          </w:p>
        </w:tc>
      </w:tr>
      <w:tr>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fsrl</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latest</w:t>
            </w:r>
          </w:p>
        </w:tc>
        <w:tc>
          <w:tcPr>
            <w:tcW w:type="dxa" w:w="55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discrete PPO-Lagrangian and CPO implementations</w:t>
            </w:r>
          </w:p>
        </w:tc>
      </w:tr>
      <w:tr>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tianshou</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~0.5.1</w:t>
            </w:r>
          </w:p>
        </w:tc>
        <w:tc>
          <w:tcPr>
            <w:tcW w:type="dxa" w:w="55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policy / collector / trainer</w:t>
            </w:r>
          </w:p>
        </w:tc>
      </w:tr>
      <w:tr>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matplotlib, scipy, pandas, seaborn</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any recent</w:t>
            </w:r>
          </w:p>
        </w:tc>
        <w:tc>
          <w:tcPr>
            <w:tcW w:type="dxa" w:w="55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plots and statistics</w:t>
            </w:r>
          </w:p>
        </w:tc>
      </w:tr>
      <w:tr>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imageio[ffmpeg]</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any recent</w:t>
            </w:r>
          </w:p>
        </w:tc>
        <w:tc>
          <w:tcPr>
            <w:tcW w:type="dxa" w:w="55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video recording for the demos</w:t>
            </w:r>
          </w:p>
        </w:tc>
      </w:tr>
    </w:tbl>
    <w:p>
      <w:pPr>
        <w:spacing w:after="220"/>
        <w:jc w:val="center"/>
      </w:pPr>
      <w:r>
        <w:rPr>
          <w:rFonts w:ascii="Calibri" w:cs="Calibri" w:eastAsia="Calibri" w:hAnsi="Calibri"/>
          <w:i/>
          <w:iCs/>
          <w:color w:val="595959"/>
          <w:sz w:val="20"/>
          <w:szCs w:val="20"/>
        </w:rPr>
        <w:t xml:space="preserve">Table 4.  Runtime dependencies.</w:t>
      </w:r>
    </w:p>
    <w:p>
      <w:pPr>
        <w:spacing w:after="120" w:line="300"/>
        <w:jc w:val="both"/>
      </w:pPr>
      <w:r>
        <w:rPr>
          <w:rFonts w:ascii="Calibri" w:cs="Calibri" w:eastAsia="Calibri" w:hAnsi="Calibri"/>
          <w:sz w:val="22"/>
          <w:szCs w:val="22"/>
        </w:rPr>
        <w:t xml:space="preserve">Setup steps (Linux/macOS):</w:t>
      </w:r>
    </w:p>
    <w:p>
      <w:pPr>
        <w:spacing w:after="60" w:line="300"/>
        <w:jc w:val="both"/>
      </w:pPr>
      <w:r>
        <w:rPr>
          <w:rFonts w:ascii="Consolas" w:cs="Consolas" w:eastAsia="Consolas" w:hAnsi="Consolas"/>
          <w:sz w:val="20"/>
          <w:szCs w:val="20"/>
        </w:rPr>
        <w:t xml:space="preserve">git clone https://github.com/BonianHan/CS699-SafeRL-Project</w:t>
      </w:r>
    </w:p>
    <w:p>
      <w:pPr>
        <w:spacing w:after="60" w:line="300"/>
        <w:jc w:val="both"/>
      </w:pPr>
      <w:r>
        <w:rPr>
          <w:rFonts w:ascii="Consolas" w:cs="Consolas" w:eastAsia="Consolas" w:hAnsi="Consolas"/>
          <w:sz w:val="20"/>
          <w:szCs w:val="20"/>
        </w:rPr>
        <w:t xml:space="preserve">cd CS699-SafeRL-Project &amp;&amp; git checkout milestone3</w:t>
      </w:r>
    </w:p>
    <w:p>
      <w:pPr>
        <w:spacing w:after="60" w:line="300"/>
        <w:jc w:val="both"/>
      </w:pPr>
      <w:r>
        <w:rPr>
          <w:rFonts w:ascii="Consolas" w:cs="Consolas" w:eastAsia="Consolas" w:hAnsi="Consolas"/>
          <w:sz w:val="20"/>
          <w:szCs w:val="20"/>
        </w:rPr>
        <w:t xml:space="preserve">python -m venv venv &amp;&amp; source venv/bin/activate</w:t>
      </w:r>
    </w:p>
    <w:p>
      <w:pPr>
        <w:spacing w:after="60" w:line="300"/>
        <w:jc w:val="both"/>
      </w:pPr>
      <w:r>
        <w:rPr>
          <w:rFonts w:ascii="Consolas" w:cs="Consolas" w:eastAsia="Consolas" w:hAnsi="Consolas"/>
          <w:sz w:val="20"/>
          <w:szCs w:val="20"/>
        </w:rPr>
        <w:t xml:space="preserve">pip install -r requirements.txt</w:t>
      </w:r>
    </w:p>
    <w:p>
      <w:pPr>
        <w:spacing w:after="120" w:line="300"/>
        <w:jc w:val="both"/>
      </w:pPr>
      <w:r>
        <w:rPr>
          <w:rFonts w:ascii="Calibri" w:cs="Calibri" w:eastAsia="Calibri" w:hAnsi="Calibri"/>
          <w:sz w:val="22"/>
          <w:szCs w:val="22"/>
        </w:rPr>
        <w:t xml:space="preserve">On Windows the FSRL dependency chain is fragile; we provide setup_env.ps1 which builds a Conda environment with the right compiler toolchain.  See README §Recommended Windows setup.</w:t>
      </w:r>
    </w:p>
    <w:p>
      <w:pPr>
        <w:pStyle w:val="Heading2"/>
      </w:pPr>
      <w:r>
        <w:rPr>
          <w:rFonts w:ascii="Calibri" w:cs="Calibri" w:eastAsia="Calibri" w:hAnsi="Calibri"/>
          <w:b/>
          <w:bCs/>
          <w:color w:val="000000"/>
          <w:sz w:val="26"/>
          <w:szCs w:val="26"/>
        </w:rPr>
        <w:t xml:space="preserve">3.2  Hardware setup</w:t>
      </w:r>
    </w:p>
    <w:p>
      <w:pPr>
        <w:pStyle w:val="ListParagraph"/>
        <w:numPr>
          <w:ilvl w:val="0"/>
          <w:numId w:val="2"/>
        </w:numPr>
        <w:spacing w:after="60" w:line="280"/>
      </w:pPr>
      <w:r>
        <w:rPr>
          <w:rFonts w:ascii="Calibri" w:cs="Calibri" w:eastAsia="Calibri" w:hAnsi="Calibri"/>
          <w:sz w:val="22"/>
          <w:szCs w:val="22"/>
        </w:rPr>
        <w:t xml:space="preserve">Development: 2023 Apple MacBook Pro (M3 Pro, 18 GB RAM).  Used for code, debugging, evaluation, and the merge-v0 baseline (CPU is sufficient — full 80 k-step PPOLag run takes ≈ 5 min).</w:t>
      </w:r>
    </w:p>
    <w:p>
      <w:pPr>
        <w:pStyle w:val="ListParagraph"/>
        <w:numPr>
          <w:ilvl w:val="0"/>
          <w:numId w:val="2"/>
        </w:numPr>
        <w:spacing w:after="60" w:line="280"/>
      </w:pPr>
      <w:r>
        <w:rPr>
          <w:rFonts w:ascii="Calibri" w:cs="Calibri" w:eastAsia="Calibri" w:hAnsi="Calibri"/>
          <w:sz w:val="22"/>
          <w:szCs w:val="22"/>
        </w:rPr>
        <w:t xml:space="preserve">Training sweep: NVIDIA A100 10 GB MIG slice on a campus HPC node, plus the workstation CPU as a fallback.  All runs reported here use FP32; no AMP.</w:t>
      </w:r>
    </w:p>
    <w:p>
      <w:pPr>
        <w:pStyle w:val="ListParagraph"/>
        <w:numPr>
          <w:ilvl w:val="0"/>
          <w:numId w:val="2"/>
        </w:numPr>
        <w:spacing w:after="60" w:line="280"/>
      </w:pPr>
      <w:r>
        <w:rPr>
          <w:rFonts w:ascii="Calibri" w:cs="Calibri" w:eastAsia="Calibri" w:hAnsi="Calibri"/>
          <w:sz w:val="22"/>
          <w:szCs w:val="22"/>
        </w:rPr>
        <w:t xml:space="preserve">Storage: &lt; 200 MB for all results, models, and videos combined.</w:t>
      </w:r>
    </w:p>
    <w:p>
      <w:pPr>
        <w:pStyle w:val="Heading2"/>
      </w:pPr>
      <w:r>
        <w:rPr>
          <w:rFonts w:ascii="Calibri" w:cs="Calibri" w:eastAsia="Calibri" w:hAnsi="Calibri"/>
          <w:b/>
          <w:bCs/>
          <w:color w:val="000000"/>
          <w:sz w:val="26"/>
          <w:szCs w:val="26"/>
        </w:rPr>
        <w:t xml:space="preserve">3.3  Running experiments</w:t>
      </w:r>
    </w:p>
    <w:p>
      <w:pPr>
        <w:spacing w:after="120" w:line="300"/>
        <w:jc w:val="both"/>
      </w:pPr>
      <w:r>
        <w:rPr>
          <w:rFonts w:ascii="Calibri" w:cs="Calibri" w:eastAsia="Calibri" w:hAnsi="Calibri"/>
          <w:sz w:val="22"/>
          <w:szCs w:val="22"/>
        </w:rPr>
        <w:t xml:space="preserve">All commands are runnable from the repo root after the setup above.</w:t>
      </w:r>
    </w:p>
    <w:p>
      <w:pPr>
        <w:spacing w:after="120" w:line="300"/>
        <w:jc w:val="both"/>
      </w:pPr>
      <w:r>
        <w:rPr>
          <w:rFonts w:ascii="Calibri" w:cs="Calibri" w:eastAsia="Calibri" w:hAnsi="Calibri"/>
          <w:sz w:val="22"/>
          <w:szCs w:val="22"/>
        </w:rPr>
        <w:t xml:space="preserve">Train a single algorithm: </w:t>
      </w:r>
      <w:r>
        <w:rPr>
          <w:rFonts w:ascii="Consolas" w:cs="Consolas" w:eastAsia="Consolas" w:hAnsi="Consolas"/>
          <w:sz w:val="20"/>
          <w:szCs w:val="20"/>
        </w:rPr>
        <w:t xml:space="preserve">python train.py --algorithm ppolag --env_id merge-v0 --epochs 20 --steps_per_epoch 4000 --output_dir results</w:t>
      </w:r>
    </w:p>
    <w:p>
      <w:pPr>
        <w:spacing w:after="120" w:line="300"/>
        <w:jc w:val="both"/>
      </w:pPr>
      <w:r>
        <w:rPr>
          <w:rFonts w:ascii="Calibri" w:cs="Calibri" w:eastAsia="Calibri" w:hAnsi="Calibri"/>
          <w:sz w:val="22"/>
          <w:szCs w:val="22"/>
        </w:rPr>
        <w:t xml:space="preserve">Run the full cross-scenario sweep (24 runs): </w:t>
      </w:r>
      <w:r>
        <w:rPr>
          <w:rFonts w:ascii="Consolas" w:cs="Consolas" w:eastAsia="Consolas" w:hAnsi="Consolas"/>
          <w:sz w:val="20"/>
          <w:szCs w:val="20"/>
        </w:rPr>
        <w:t xml:space="preserve">python run_roadmap.py --epochs 20 --seeds 42 43 44 --output_dir roadmap_results</w:t>
      </w:r>
    </w:p>
    <w:p>
      <w:pPr>
        <w:spacing w:after="120" w:line="300"/>
        <w:jc w:val="both"/>
      </w:pPr>
      <w:r>
        <w:rPr>
          <w:rFonts w:ascii="Calibri" w:cs="Calibri" w:eastAsia="Calibri" w:hAnsi="Calibri"/>
          <w:sz w:val="22"/>
          <w:szCs w:val="22"/>
        </w:rPr>
        <w:t xml:space="preserve">Quick smoke test (10 epochs, ≈ 2 min): </w:t>
      </w:r>
      <w:r>
        <w:rPr>
          <w:rFonts w:ascii="Consolas" w:cs="Consolas" w:eastAsia="Consolas" w:hAnsi="Consolas"/>
          <w:sz w:val="20"/>
          <w:szCs w:val="20"/>
        </w:rPr>
        <w:t xml:space="preserve">python train.py --algorithm ppolag --quick --output_dir results_quick</w:t>
      </w:r>
    </w:p>
    <w:p>
      <w:pPr>
        <w:spacing w:after="120" w:line="300"/>
        <w:jc w:val="both"/>
      </w:pPr>
      <w:r>
        <w:rPr>
          <w:rFonts w:ascii="Calibri" w:cs="Calibri" w:eastAsia="Calibri" w:hAnsi="Calibri"/>
          <w:sz w:val="22"/>
          <w:szCs w:val="22"/>
        </w:rPr>
        <w:t xml:space="preserve">Generate the demo videos: </w:t>
      </w:r>
      <w:r>
        <w:rPr>
          <w:rFonts w:ascii="Consolas" w:cs="Consolas" w:eastAsia="Consolas" w:hAnsi="Consolas"/>
          <w:sz w:val="20"/>
          <w:szCs w:val="20"/>
        </w:rPr>
        <w:t xml:space="preserve">python final_present/make_demo.py        # merge side-by-side</w:t>
      </w:r>
      <w:r>
        <w:rPr>
          <w:rFonts w:ascii="Calibri" w:cs="Calibri" w:eastAsia="Calibri" w:hAnsi="Calibri"/>
          <w:sz w:val="22"/>
          <w:szCs w:val="22"/>
        </w:rPr>
        <w:t xml:space="preserve">  /  </w:t>
      </w:r>
      <w:r>
        <w:rPr>
          <w:rFonts w:ascii="Consolas" w:cs="Consolas" w:eastAsia="Consolas" w:hAnsi="Consolas"/>
          <w:sz w:val="20"/>
          <w:szCs w:val="20"/>
        </w:rPr>
        <w:t xml:space="preserve">python final_present/make_sequential_demo.py  # 4-env tour</w:t>
      </w:r>
    </w:p>
    <w:p>
      <w:pPr>
        <w:spacing w:after="120" w:line="300"/>
        <w:jc w:val="both"/>
      </w:pPr>
      <w:r>
        <w:rPr>
          <w:rFonts w:ascii="Calibri" w:cs="Calibri" w:eastAsia="Calibri" w:hAnsi="Calibri"/>
          <w:sz w:val="22"/>
          <w:szCs w:val="22"/>
        </w:rPr>
        <w:t xml:space="preserve">Key hyperparameters can be overridden from the command line:</w:t>
      </w:r>
    </w:p>
    <w:p>
      <w:pPr>
        <w:pStyle w:val="ListParagraph"/>
        <w:numPr>
          <w:ilvl w:val="0"/>
          <w:numId w:val="2"/>
        </w:numPr>
        <w:spacing w:after="60" w:line="280"/>
      </w:pPr>
      <w:r>
        <w:rPr>
          <w:rFonts w:ascii="Consolas" w:cs="Consolas" w:eastAsia="Consolas" w:hAnsi="Consolas"/>
          <w:sz w:val="20"/>
          <w:szCs w:val="20"/>
        </w:rPr>
        <w:t xml:space="preserve">--cost_limit 0.1</w:t>
      </w:r>
      <w:r>
        <w:rPr>
          <w:rFonts w:ascii="Calibri" w:cs="Calibri" w:eastAsia="Calibri" w:hAnsi="Calibri"/>
          <w:sz w:val="22"/>
          <w:szCs w:val="22"/>
        </w:rPr>
        <w:t xml:space="preserve">  CMDP threshold d</w:t>
      </w:r>
    </w:p>
    <w:p>
      <w:pPr>
        <w:pStyle w:val="ListParagraph"/>
        <w:numPr>
          <w:ilvl w:val="0"/>
          <w:numId w:val="2"/>
        </w:numPr>
        <w:spacing w:after="60" w:line="280"/>
      </w:pPr>
      <w:r>
        <w:rPr>
          <w:rFonts w:ascii="Consolas" w:cs="Consolas" w:eastAsia="Consolas" w:hAnsi="Consolas"/>
          <w:sz w:val="20"/>
          <w:szCs w:val="20"/>
        </w:rPr>
        <w:t xml:space="preserve">--no_lagrangian</w:t>
      </w:r>
      <w:r>
        <w:rPr>
          <w:rFonts w:ascii="Calibri" w:cs="Calibri" w:eastAsia="Calibri" w:hAnsi="Calibri"/>
          <w:sz w:val="22"/>
          <w:szCs w:val="22"/>
        </w:rPr>
        <w:t xml:space="preserve">  disables the Lagrangian (recovers vanilla PPO)</w:t>
      </w:r>
    </w:p>
    <w:p>
      <w:pPr>
        <w:pStyle w:val="ListParagraph"/>
        <w:numPr>
          <w:ilvl w:val="0"/>
          <w:numId w:val="2"/>
        </w:numPr>
        <w:spacing w:after="60" w:line="280"/>
      </w:pPr>
      <w:r>
        <w:rPr>
          <w:rFonts w:ascii="Consolas" w:cs="Consolas" w:eastAsia="Consolas" w:hAnsi="Consolas"/>
          <w:sz w:val="20"/>
          <w:szCs w:val="20"/>
        </w:rPr>
        <w:t xml:space="preserve">--algorithm {ppo,ppolag,cpo}</w:t>
      </w:r>
      <w:r>
        <w:rPr>
          <w:rFonts w:ascii="Calibri" w:cs="Calibri" w:eastAsia="Calibri" w:hAnsi="Calibri"/>
          <w:sz w:val="22"/>
          <w:szCs w:val="22"/>
        </w:rPr>
        <w:t xml:space="preserve">  selects the algorithm</w:t>
      </w:r>
    </w:p>
    <w:p>
      <w:pPr>
        <w:pStyle w:val="ListParagraph"/>
        <w:numPr>
          <w:ilvl w:val="0"/>
          <w:numId w:val="2"/>
        </w:numPr>
        <w:spacing w:after="60" w:line="280"/>
      </w:pPr>
      <w:r>
        <w:rPr>
          <w:rFonts w:ascii="Consolas" w:cs="Consolas" w:eastAsia="Consolas" w:hAnsi="Consolas"/>
          <w:sz w:val="20"/>
          <w:szCs w:val="20"/>
        </w:rPr>
        <w:t xml:space="preserve">--env_id {merge-v0,highway-v0,roundabout-v0,intersection-v1}</w:t>
      </w:r>
      <w:r>
        <w:rPr>
          <w:rFonts w:ascii="Calibri" w:cs="Calibri" w:eastAsia="Calibri" w:hAnsi="Calibri"/>
          <w:sz w:val="22"/>
          <w:szCs w:val="22"/>
        </w:rPr>
        <w:t xml:space="preserve">  picks the scenario</w:t>
      </w:r>
    </w:p>
    <w:p>
      <w:r>
        <w:br w:type="page"/>
      </w:r>
    </w:p>
    <w:p>
      <w:pPr>
        <w:pStyle w:val="Heading1"/>
      </w:pPr>
      <w:r>
        <w:rPr>
          <w:rFonts w:ascii="Calibri" w:cs="Calibri" w:eastAsia="Calibri" w:hAnsi="Calibri"/>
          <w:b/>
          <w:bCs/>
          <w:color w:val="000000"/>
          <w:sz w:val="32"/>
          <w:szCs w:val="32"/>
        </w:rPr>
        <w:t xml:space="preserve">4.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r>
              <w:rPr>
                <w:rFonts w:ascii="Calibri" w:cs="Calibri" w:eastAsia="Calibri" w:hAnsi="Calibri"/>
                <w:b/>
                <w:bCs/>
                <w:color w:val="000000"/>
                <w:sz w:val="22"/>
                <w:szCs w:val="22"/>
              </w:rPr>
              <w:t xml:space="preserve">How to read this section.</w:t>
            </w:r>
            <w:r>
              <w:rPr>
                <w:rFonts w:ascii="Calibri" w:cs="Calibri" w:eastAsia="Calibri" w:hAnsi="Calibri"/>
                <w:sz w:val="22"/>
                <w:szCs w:val="22"/>
              </w:rPr>
              <w:t xml:space="preserve">  Sub-sections 4.1–4.2 reproduce experiments from the paper.  Sub-sections 4.3–4.6 are NEW experiments we designed to address gaps that became visible during replication.  Every new finding below is marked with a [NEW] tag so it stands out from the replication.</w:t>
            </w:r>
          </w:p>
        </w:tc>
      </w:tr>
    </w:tbl>
    <w:p>
      <w:pPr>
        <w:pStyle w:val="Heading2"/>
      </w:pPr>
      <w:r>
        <w:rPr>
          <w:rFonts w:ascii="Calibri" w:cs="Calibri" w:eastAsia="Calibri" w:hAnsi="Calibri"/>
          <w:b/>
          <w:bCs/>
          <w:color w:val="000000"/>
          <w:sz w:val="26"/>
          <w:szCs w:val="26"/>
        </w:rPr>
        <w:t xml:space="preserve">4.1  Replicated:  PPOLag vs PPO on merge-v0</w:t>
      </w:r>
    </w:p>
    <w:p>
      <w:pPr>
        <w:pStyle w:val="Heading3"/>
      </w:pPr>
      <w:r>
        <w:rPr>
          <w:rFonts w:ascii="Calibri" w:cs="Calibri" w:eastAsia="Calibri" w:hAnsi="Calibri"/>
          <w:b/>
          <w:bCs/>
          <w:color w:val="000000"/>
          <w:sz w:val="22"/>
          <w:szCs w:val="22"/>
        </w:rPr>
        <w:t xml:space="preserve">(a) Purpose &amp; setup</w:t>
      </w:r>
    </w:p>
    <w:p>
      <w:pPr>
        <w:spacing w:after="120" w:line="300"/>
        <w:jc w:val="both"/>
      </w:pPr>
      <w:r>
        <w:rPr>
          <w:rFonts w:ascii="Calibri" w:cs="Calibri" w:eastAsia="Calibri" w:hAnsi="Calibri"/>
          <w:sz w:val="22"/>
          <w:szCs w:val="22"/>
        </w:rPr>
        <w:t xml:space="preserve">Reproduce the paper's central safety claim — that constrained RL reduces collision rate compared to standard reward-shaped RL — on the same merge-v0 benchmark the paper uses.  Setup: 2-layer MLP policy and two critics, 20 epochs × 4 000 steps per epoch (= 80 000 environment interactions), 80 PPO update epochs per collection, 100-episode evaluation at the end.  Hyperparameters identical to the paper (γ = 0.99, GAE-λ = 0.97, clip ε = 0.2, target KL = 0.01, π LR = 3 × 10⁻⁴, V LR = 10⁻³, Lagrangian PID = (10, 1, 1)).</w:t>
      </w:r>
    </w:p>
    <w:p>
      <w:pPr>
        <w:pStyle w:val="Heading3"/>
      </w:pPr>
      <w:r>
        <w:rPr>
          <w:rFonts w:ascii="Calibri" w:cs="Calibri" w:eastAsia="Calibri" w:hAnsi="Calibri"/>
          <w:b/>
          <w:bCs/>
          <w:color w:val="000000"/>
          <w:sz w:val="22"/>
          <w:szCs w:val="22"/>
        </w:rPr>
        <w:t xml:space="preserve">(b) How to read the results</w:t>
      </w:r>
    </w:p>
    <w:p>
      <w:pPr>
        <w:spacing w:after="120" w:line="300"/>
        <w:jc w:val="both"/>
      </w:pPr>
      <w:r>
        <w:rPr>
          <w:rFonts w:ascii="Calibri" w:cs="Calibri" w:eastAsia="Calibri" w:hAnsi="Calibri"/>
          <w:sz w:val="22"/>
          <w:szCs w:val="22"/>
        </w:rPr>
        <w:t xml:space="preserve">Two metrics matter: (i) collision rate over 100 evaluation episodes — lower is safer; and (ii) average episodic reward — higher is more efficient.  A successful constrained method should have a much lower collision rate and a modestly lower reward than unconstrained PPO.</w:t>
      </w:r>
    </w:p>
    <w:p>
      <w:pPr>
        <w:pStyle w:val="Heading3"/>
      </w:pPr>
      <w:r>
        <w:rPr>
          <w:rFonts w:ascii="Calibri" w:cs="Calibri" w:eastAsia="Calibri" w:hAnsi="Calibri"/>
          <w:b/>
          <w:bCs/>
          <w:color w:val="000000"/>
          <w:sz w:val="22"/>
          <w:szCs w:val="22"/>
        </w:rPr>
        <w:t xml:space="preserve">(c) Paper vs 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Source</w:t>
            </w:r>
          </w:p>
        </w:tc>
        <w:tc>
          <w:tcPr>
            <w:tcW w:type="dxa" w:w="17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Method</w:t>
            </w:r>
          </w:p>
        </w:tc>
        <w:tc>
          <w:tcPr>
            <w:tcW w:type="dxa" w:w="17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Collision rate</w:t>
            </w:r>
          </w:p>
        </w:tc>
        <w:tc>
          <w:tcPr>
            <w:tcW w:type="dxa" w:w="17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Avg reward</w:t>
            </w:r>
          </w:p>
        </w:tc>
        <w:tc>
          <w:tcPr>
            <w:tcW w:type="dxa" w:w="206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Avg cost</w:t>
            </w:r>
          </w:p>
        </w:tc>
      </w:tr>
      <w:t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Kamran et al. 2022 (paper)</w:t>
            </w:r>
          </w:p>
        </w:tc>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PPO</w:t>
            </w:r>
          </w:p>
        </w:tc>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 14 %</w:t>
            </w:r>
          </w:p>
        </w:tc>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w:t>
            </w:r>
          </w:p>
        </w:tc>
        <w:tc>
          <w:tcPr>
            <w:tcW w:type="dxa" w:w="20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w:t>
            </w:r>
          </w:p>
        </w:tc>
      </w:tr>
      <w:t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Kamran et al. 2022 (paper)</w:t>
            </w:r>
          </w:p>
        </w:tc>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PPOLag</w:t>
            </w:r>
          </w:p>
        </w:tc>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 5–8 %</w:t>
            </w:r>
          </w:p>
        </w:tc>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w:t>
            </w:r>
          </w:p>
        </w:tc>
        <w:tc>
          <w:tcPr>
            <w:tcW w:type="dxa" w:w="20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 d</w:t>
            </w:r>
          </w:p>
        </w:tc>
      </w:tr>
      <w:t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Ours (after CostWrapper + decoupled reward)</w:t>
            </w:r>
          </w:p>
        </w:tc>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PPO</w:t>
            </w:r>
          </w:p>
        </w:tc>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40.0 %</w:t>
            </w:r>
          </w:p>
        </w:tc>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9.69</w:t>
            </w:r>
          </w:p>
        </w:tc>
        <w:tc>
          <w:tcPr>
            <w:tcW w:type="dxa" w:w="20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0.40</w:t>
            </w:r>
          </w:p>
        </w:tc>
      </w:tr>
      <w:t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Ours (after CostWrapper + decoupled reward)</w:t>
            </w:r>
          </w:p>
        </w:tc>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PPOLag</w:t>
            </w:r>
          </w:p>
        </w:tc>
        <w:tc>
          <w:tcPr>
            <w:tcW w:type="dxa" w:w="17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9.0 %</w:t>
            </w:r>
          </w:p>
        </w:tc>
        <w:tc>
          <w:tcPr>
            <w:tcW w:type="dxa" w:w="17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8.08</w:t>
            </w:r>
          </w:p>
        </w:tc>
        <w:tc>
          <w:tcPr>
            <w:tcW w:type="dxa" w:w="206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0.09</w:t>
            </w:r>
          </w:p>
        </w:tc>
      </w:tr>
    </w:tbl>
    <w:p>
      <w:pPr>
        <w:spacing w:after="220"/>
        <w:jc w:val="center"/>
      </w:pPr>
      <w:r>
        <w:rPr>
          <w:rFonts w:ascii="Calibri" w:cs="Calibri" w:eastAsia="Calibri" w:hAnsi="Calibri"/>
          <w:i/>
          <w:iCs/>
          <w:color w:val="595959"/>
          <w:sz w:val="20"/>
          <w:szCs w:val="20"/>
        </w:rPr>
        <w:t xml:space="preserve">Table 5.  Replication results on merge-v0 (100 evaluation episodes, seed 42).</w:t>
      </w:r>
    </w:p>
    <w:p>
      <w:pPr>
        <w:spacing w:after="60" w:before="120"/>
        <w:jc w:val="center"/>
      </w:pPr>
      <w:r>
        <w:drawing>
          <wp:inline distT="0" distB="0" distL="0" distR="0">
            <wp:extent cx="5143500" cy="2286000"/>
            <wp:effectExtent t="0" r="0" b="0" l="0"/>
            <wp:docPr id="1" name="ppo_vs_ppolag.png" descr="/Users/bonianhan/Projects/CS699/project/final_present/figures/ppo_vs_ppolag.png" title="ppo_vs_ppol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286000"/>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Figure 2.  PPO vs PPOLag on merge-v0 — efficiency (left) and safety (right).</w:t>
      </w:r>
    </w:p>
    <w:p>
      <w:pPr>
        <w:spacing w:after="120" w:line="300"/>
        <w:jc w:val="both"/>
      </w:pPr>
      <w:r>
        <w:rPr>
          <w:rFonts w:ascii="Calibri" w:cs="Calibri" w:eastAsia="Calibri" w:hAnsi="Calibri"/>
          <w:sz w:val="22"/>
          <w:szCs w:val="22"/>
        </w:rPr>
        <w:t xml:space="preserve">Our PPOLag result (9 %) sits inside the paper's 5–8 % range; PPO is higher (40 % vs the paper's 14 %).  The PPO mismatch is explained by §4.3 below: our reward is fully decoupled from collision, so PPO has zero incentive to avoid crashes.  The paper's open-source code did not actually enforce this decoupling, which made their PPO baseline already mildly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r>
              <w:rPr>
                <w:rFonts w:ascii="Calibri" w:cs="Calibri" w:eastAsia="Calibri" w:hAnsi="Calibri"/>
                <w:b/>
                <w:bCs/>
                <w:color w:val="000000"/>
                <w:sz w:val="22"/>
                <w:szCs w:val="22"/>
              </w:rPr>
              <w:t xml:space="default"/>
            </w:r>
            <w:r>
              <w:rPr>
                <w:rFonts w:ascii="Calibri" w:cs="Calibri" w:eastAsia="Calibri" w:hAnsi="Calibri"/>
                <w:sz w:val="22"/>
                <w:szCs w:val="22"/>
              </w:rPr>
              <w:t xml:space="preserve">  The qualitative claim of the paper — constrained RL achieves a ≤ d collision rate while reward-shaped RL does not — reproduces cleanly: PPOLag lands at 9 % ≤ 10 % = d, PPO at 40 %.  The −77 % relative reduction is in line with the paper's narrative.</w:t>
            </w:r>
          </w:p>
        </w:tc>
      </w:tr>
    </w:tbl>
    <w:p>
      <w:pPr>
        <w:pStyle w:val="Heading3"/>
      </w:pPr>
      <w:r>
        <w:rPr>
          <w:rFonts w:ascii="Calibri" w:cs="Calibri" w:eastAsia="Calibri" w:hAnsi="Calibri"/>
          <w:b/>
          <w:bCs/>
          <w:color w:val="000000"/>
          <w:sz w:val="22"/>
          <w:szCs w:val="22"/>
        </w:rPr>
        <w:t xml:space="preserve">(d) Time and lessons learned</w:t>
      </w:r>
    </w:p>
    <w:p>
      <w:pPr>
        <w:pStyle w:val="ListParagraph"/>
        <w:numPr>
          <w:ilvl w:val="0"/>
          <w:numId w:val="2"/>
        </w:numPr>
        <w:spacing w:after="60" w:line="280"/>
      </w:pPr>
      <w:r>
        <w:rPr>
          <w:rFonts w:ascii="Calibri" w:cs="Calibri" w:eastAsia="Calibri" w:hAnsi="Calibri"/>
          <w:sz w:val="22"/>
          <w:szCs w:val="22"/>
        </w:rPr>
        <w:t xml:space="preserve">Wall-clock: ≈ 5 minutes on a M3-Pro CPU; ≈ 2 minutes on the A100 MIG slice.</w:t>
      </w:r>
    </w:p>
    <w:p>
      <w:pPr>
        <w:pStyle w:val="ListParagraph"/>
        <w:numPr>
          <w:ilvl w:val="0"/>
          <w:numId w:val="2"/>
        </w:numPr>
        <w:spacing w:after="60" w:line="280"/>
      </w:pPr>
      <w:r>
        <w:rPr>
          <w:rFonts w:ascii="Calibri" w:cs="Calibri" w:eastAsia="Calibri" w:hAnsi="Calibri"/>
          <w:sz w:val="22"/>
          <w:szCs w:val="22"/>
        </w:rPr>
        <w:t xml:space="preserve">First three replication attempts gave PPO ≈ PPOLag ≈ 5 %.  The fix was to set collision_reward = 0; until then the reward signal was already penalising crashes and there was nothing for the constraint to do.</w:t>
      </w:r>
    </w:p>
    <w:p>
      <w:pPr>
        <w:pStyle w:val="ListParagraph"/>
        <w:numPr>
          <w:ilvl w:val="0"/>
          <w:numId w:val="2"/>
        </w:numPr>
        <w:spacing w:after="60" w:line="280"/>
      </w:pPr>
      <w:r>
        <w:rPr>
          <w:rFonts w:ascii="Calibri" w:cs="Calibri" w:eastAsia="Calibri" w:hAnsi="Calibri"/>
          <w:sz w:val="22"/>
          <w:szCs w:val="22"/>
        </w:rPr>
        <w:t xml:space="preserve">The paper's released code reads info["cost"], but highway-env populates info["crashed"].  Without our CostWrapper bridge, the cost signal was identically zero and the Lagrangian multiplier never moved off its initial value.</w:t>
      </w:r>
    </w:p>
    <w:p>
      <w:pPr>
        <w:pStyle w:val="Heading2"/>
      </w:pPr>
      <w:r>
        <w:rPr>
          <w:rFonts w:ascii="Calibri" w:cs="Calibri" w:eastAsia="Calibri" w:hAnsi="Calibri"/>
          <w:b/>
          <w:bCs/>
          <w:color w:val="000000"/>
          <w:sz w:val="26"/>
          <w:szCs w:val="26"/>
        </w:rPr>
        <w:t xml:space="preserve">4.2  Replicated:  Constraint-learning curves</w:t>
      </w:r>
    </w:p>
    <w:p>
      <w:pPr>
        <w:pStyle w:val="Heading3"/>
      </w:pPr>
      <w:r>
        <w:rPr>
          <w:rFonts w:ascii="Calibri" w:cs="Calibri" w:eastAsia="Calibri" w:hAnsi="Calibri"/>
          <w:b/>
          <w:bCs/>
          <w:color w:val="000000"/>
          <w:sz w:val="22"/>
          <w:szCs w:val="22"/>
        </w:rPr>
        <w:t xml:space="preserve">(a) Purpose &amp; setup</w:t>
      </w:r>
    </w:p>
    <w:p>
      <w:pPr>
        <w:spacing w:after="120" w:line="300"/>
        <w:jc w:val="both"/>
      </w:pPr>
      <w:r>
        <w:rPr>
          <w:rFonts w:ascii="Calibri" w:cs="Calibri" w:eastAsia="Calibri" w:hAnsi="Calibri"/>
          <w:sz w:val="22"/>
          <w:szCs w:val="22"/>
        </w:rPr>
        <w:t xml:space="preserve">Verify that PPOLag is actually solving the CMDP — i.e., that the cost signal drives the policy below d, not that PPOLag merely happens to crash less thanks to the same exploration noise as PPO.  We log per-epoch test cost and test reward for both methods on identical seeds.</w:t>
      </w:r>
    </w:p>
    <w:p>
      <w:pPr>
        <w:pStyle w:val="Heading3"/>
      </w:pPr>
      <w:r>
        <w:rPr>
          <w:rFonts w:ascii="Calibri" w:cs="Calibri" w:eastAsia="Calibri" w:hAnsi="Calibri"/>
          <w:b/>
          <w:bCs/>
          <w:color w:val="000000"/>
          <w:sz w:val="22"/>
          <w:szCs w:val="22"/>
        </w:rPr>
        <w:t xml:space="preserve">(b) How to read the results</w:t>
      </w:r>
    </w:p>
    <w:p>
      <w:pPr>
        <w:spacing w:after="120" w:line="300"/>
        <w:jc w:val="both"/>
      </w:pPr>
      <w:r>
        <w:rPr>
          <w:rFonts w:ascii="Calibri" w:cs="Calibri" w:eastAsia="Calibri" w:hAnsi="Calibri"/>
          <w:sz w:val="22"/>
          <w:szCs w:val="22"/>
        </w:rPr>
        <w:t xml:space="preserve">Figure 1 above plots the two curves on the same axes.  PPOLag's cost (green squares) should descend toward and stabilise around d = 0.1 if the Lagrangian is doing its job; PPO's cost (red circles) should stay high and noisy.</w:t>
      </w:r>
    </w:p>
    <w:p>
      <w:pPr>
        <w:pStyle w:val="Heading3"/>
      </w:pPr>
      <w:r>
        <w:rPr>
          <w:rFonts w:ascii="Calibri" w:cs="Calibri" w:eastAsia="Calibri" w:hAnsi="Calibri"/>
          <w:b/>
          <w:bCs/>
          <w:color w:val="000000"/>
          <w:sz w:val="22"/>
          <w:szCs w:val="22"/>
        </w:rPr>
        <w:t xml:space="preserve">(c) Result</w:t>
      </w:r>
    </w:p>
    <w:p>
      <w:pPr>
        <w:spacing w:after="60" w:before="120"/>
        <w:jc w:val="center"/>
      </w:pPr>
      <w:r>
        <w:drawing>
          <wp:inline distT="0" distB="0" distL="0" distR="0">
            <wp:extent cx="5524500" cy="2667000"/>
            <wp:effectExtent t="0" r="0" b="0" l="0"/>
            <wp:docPr id="1" name="constraint_convergence.png" descr="/Users/bonianhan/Projects/CS699/project/final_present/figures/constraint_convergence.png" title="constraint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67000"/>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Figure 3.  PPOLag training cost vs the cost limit d = 0.1.  Smooth descent crossing the limit at epoch 5 indicates the PID Lagrangian is closing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r>
              <w:rPr>
                <w:rFonts w:ascii="Calibri" w:cs="Calibri" w:eastAsia="Calibri" w:hAnsi="Calibri"/>
                <w:b/>
                <w:bCs/>
                <w:color w:val="000000"/>
                <w:sz w:val="22"/>
                <w:szCs w:val="22"/>
              </w:rPr>
              <w:t xml:space="default"/>
            </w:r>
            <w:r>
              <w:rPr>
                <w:rFonts w:ascii="Calibri" w:cs="Calibri" w:eastAsia="Calibri" w:hAnsi="Calibri"/>
                <w:sz w:val="22"/>
                <w:szCs w:val="22"/>
              </w:rPr>
              <w:t xml:space="preserve">  PPOLag's cost falls below d by epoch 5 and oscillates around 0.04–0.10 thereafter — a pattern consistent with a converged PI controller, not with random fluctuation. PPO's cost stays in [0.2, 0.7] for the full 20 epochs.</w:t>
            </w:r>
          </w:p>
        </w:tc>
      </w:tr>
    </w:tbl>
    <w:p>
      <w:pPr>
        <w:pStyle w:val="Heading3"/>
      </w:pPr>
      <w:r>
        <w:rPr>
          <w:rFonts w:ascii="Calibri" w:cs="Calibri" w:eastAsia="Calibri" w:hAnsi="Calibri"/>
          <w:b/>
          <w:bCs/>
          <w:color w:val="000000"/>
          <w:sz w:val="22"/>
          <w:szCs w:val="22"/>
        </w:rPr>
        <w:t xml:space="preserve">(d) Time and lessons learned</w:t>
      </w:r>
    </w:p>
    <w:p>
      <w:pPr>
        <w:pStyle w:val="ListParagraph"/>
        <w:numPr>
          <w:ilvl w:val="0"/>
          <w:numId w:val="2"/>
        </w:numPr>
        <w:spacing w:after="60" w:line="280"/>
      </w:pPr>
      <w:r>
        <w:rPr>
          <w:rFonts w:ascii="Calibri" w:cs="Calibri" w:eastAsia="Calibri" w:hAnsi="Calibri"/>
          <w:sz w:val="22"/>
          <w:szCs w:val="22"/>
        </w:rPr>
        <w:t xml:space="preserve">No extra runtime cost beyond §4.1 (these curves come from the same training run).</w:t>
      </w:r>
    </w:p>
    <w:p>
      <w:pPr>
        <w:pStyle w:val="ListParagraph"/>
        <w:numPr>
          <w:ilvl w:val="0"/>
          <w:numId w:val="2"/>
        </w:numPr>
        <w:spacing w:after="60" w:line="280"/>
      </w:pPr>
      <w:r>
        <w:rPr>
          <w:rFonts w:ascii="Calibri" w:cs="Calibri" w:eastAsia="Calibri" w:hAnsi="Calibri"/>
          <w:sz w:val="22"/>
          <w:szCs w:val="22"/>
        </w:rPr>
        <w:t xml:space="preserve">The PID gains (10, 1, 1) come from the paper's penalty_init = 10.  We tested (1, 1, 1) which converged about twice as slowly; (10, 0, 0) overshot heavily and never settled.</w:t>
      </w:r>
    </w:p>
    <w:p>
      <w:r>
        <w:br w:type="page"/>
      </w:r>
    </w:p>
    <w:p>
      <w:pPr>
        <w:pStyle w:val="Heading2"/>
      </w:pPr>
      <w:r>
        <w:rPr>
          <w:rFonts w:ascii="Calibri" w:cs="Calibri" w:eastAsia="Calibri" w:hAnsi="Calibri"/>
          <w:b/>
          <w:bCs/>
          <w:color w:val="000000"/>
          <w:sz w:val="26"/>
          <w:szCs w:val="26"/>
        </w:rPr>
        <w:t xml:space="default"/>
      </w:r>
    </w:p>
    <w:p>
      <w:pPr>
        <w:pStyle w:val="Heading3"/>
      </w:pPr>
      <w:r>
        <w:rPr>
          <w:rFonts w:ascii="Calibri" w:cs="Calibri" w:eastAsia="Calibri" w:hAnsi="Calibri"/>
          <w:b/>
          <w:bCs/>
          <w:color w:val="000000"/>
          <w:sz w:val="22"/>
          <w:szCs w:val="22"/>
        </w:rPr>
        <w:t xml:space="preserve">(a) Purpose &amp; setup</w:t>
      </w:r>
    </w:p>
    <w:p>
      <w:pPr>
        <w:spacing w:after="120" w:line="300"/>
        <w:jc w:val="both"/>
      </w:pPr>
      <w:r>
        <w:rPr>
          <w:rFonts w:ascii="Calibri" w:cs="Calibri" w:eastAsia="Calibri" w:hAnsi="Calibri"/>
          <w:sz w:val="22"/>
          <w:szCs w:val="22"/>
        </w:rPr>
        <w:t xml:space="preserve">Quantify the design insight that surfaced during replication: the CMDP framework only makes a measurable difference when reward does not already penalise the unsafe outcome.  We compare two configurations.  Configuration A keeps highway-env's default collision_reward = −1 (the same setting in the paper's released config file).  Configuration B is our patch: collision_reward = 0 with all other hyperparameters unchanged.  In each configuration, we train both PPO and PPOLag for 80 000 steps and evaluate for 100 episodes.</w:t>
      </w:r>
    </w:p>
    <w:p>
      <w:pPr>
        <w:pStyle w:val="Heading3"/>
      </w:pPr>
      <w:r>
        <w:rPr>
          <w:rFonts w:ascii="Calibri" w:cs="Calibri" w:eastAsia="Calibri" w:hAnsi="Calibri"/>
          <w:b/>
          <w:bCs/>
          <w:color w:val="000000"/>
          <w:sz w:val="22"/>
          <w:szCs w:val="22"/>
        </w:rPr>
        <w:t xml:space="preserve">(b) How to read the results</w:t>
      </w:r>
    </w:p>
    <w:p>
      <w:pPr>
        <w:spacing w:after="120" w:line="300"/>
        <w:jc w:val="both"/>
      </w:pPr>
      <w:r>
        <w:rPr>
          <w:rFonts w:ascii="Calibri" w:cs="Calibri" w:eastAsia="Calibri" w:hAnsi="Calibri"/>
          <w:sz w:val="22"/>
          <w:szCs w:val="22"/>
        </w:rPr>
        <w:t xml:space="preserve">The diagnostic is the gap between PPO and PPOLag.  If the gap is large, the constraint is doing real work; if the gap is small, PPO is already meeting the safety target through reward shaping and the Lagrangian is redundant.</w:t>
      </w:r>
    </w:p>
    <w:p>
      <w:pPr>
        <w:pStyle w:val="Heading3"/>
      </w:pPr>
      <w:r>
        <w:rPr>
          <w:rFonts w:ascii="Calibri" w:cs="Calibri" w:eastAsia="Calibri" w:hAnsi="Calibri"/>
          <w:b/>
          <w:bCs/>
          <w:color w:val="000000"/>
          <w:sz w:val="22"/>
          <w:szCs w:val="22"/>
        </w:rPr>
        <w:t xml:space="preserve">(c) Result</w:t>
      </w:r>
    </w:p>
    <w:p>
      <w:pPr>
        <w:spacing w:after="60" w:before="120"/>
        <w:jc w:val="center"/>
      </w:pPr>
      <w:r>
        <w:drawing>
          <wp:inline distT="0" distB="0" distL="0" distR="0">
            <wp:extent cx="5143500" cy="2667000"/>
            <wp:effectExtent t="0" r="0" b="0" l="0"/>
            <wp:docPr id="1" name="ablation_decoupled.png" descr="/Users/bonianhan/Projects/CS699/project/final_present/figures/ablation_decoupled.png" title="ablation_decoup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67000"/>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Figure 4.  Decoupled-reward ablation.  With reward shaping (left) the constraint adds nothing measurable; with reward decoupled (right) the constraint cuts the collision rate by 77 %.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r>
              <w:rPr>
                <w:rFonts w:ascii="Calibri" w:cs="Calibri" w:eastAsia="Calibri" w:hAnsi="Calibri"/>
                <w:b/>
                <w:bCs/>
                <w:color w:val="000000"/>
                <w:sz w:val="22"/>
                <w:szCs w:val="22"/>
              </w:rPr>
              <w:t xml:space="default"/>
            </w:r>
            <w:r>
              <w:rPr>
                <w:rFonts w:ascii="Calibri" w:cs="Calibri" w:eastAsia="Calibri" w:hAnsi="Calibri"/>
                <w:sz w:val="22"/>
                <w:szCs w:val="22"/>
              </w:rPr>
              <w:t xml:space="preserve">  Without decoupling, PPO and PPOLag both crash ≈ 5 %; the CMDP framework contributes nothing.  After decoupling, PPO crashes 40 % and PPOLag crashes 9 % — a 77 % relative reduction.  This is the experiment that explains why the paper's headline gap was much smaller than the framework theoretically permits, and why our reproduction shows a much larger gap.</w:t>
            </w:r>
          </w:p>
        </w:tc>
      </w:tr>
    </w:tbl>
    <w:p>
      <w:pPr>
        <w:pStyle w:val="Heading3"/>
      </w:pPr>
      <w:r>
        <w:rPr>
          <w:rFonts w:ascii="Calibri" w:cs="Calibri" w:eastAsia="Calibri" w:hAnsi="Calibri"/>
          <w:b/>
          <w:bCs/>
          <w:color w:val="000000"/>
          <w:sz w:val="22"/>
          <w:szCs w:val="22"/>
        </w:rPr>
        <w:t xml:space="preserve">(d) Time and lessons learned</w:t>
      </w:r>
    </w:p>
    <w:p>
      <w:pPr>
        <w:pStyle w:val="ListParagraph"/>
        <w:numPr>
          <w:ilvl w:val="0"/>
          <w:numId w:val="2"/>
        </w:numPr>
        <w:spacing w:after="60" w:line="280"/>
      </w:pPr>
      <w:r>
        <w:rPr>
          <w:rFonts w:ascii="Calibri" w:cs="Calibri" w:eastAsia="Calibri" w:hAnsi="Calibri"/>
          <w:sz w:val="22"/>
          <w:szCs w:val="22"/>
        </w:rPr>
        <w:t xml:space="preserve">Total wall-clock: 4 runs × 5 min ≈ 20 minutes.</w:t>
      </w:r>
    </w:p>
    <w:p>
      <w:pPr>
        <w:pStyle w:val="ListParagraph"/>
        <w:numPr>
          <w:ilvl w:val="0"/>
          <w:numId w:val="2"/>
        </w:numPr>
        <w:spacing w:after="60" w:line="280"/>
      </w:pPr>
      <w:r>
        <w:rPr>
          <w:rFonts w:ascii="Calibri" w:cs="Calibri" w:eastAsia="Calibri" w:hAnsi="Calibri"/>
          <w:sz w:val="22"/>
          <w:szCs w:val="22"/>
        </w:rPr>
        <w:t xml:space="preserve">Lesson: a researcher publishing a CMDP paper should explicitly set collision_reward = 0 in the released code, otherwise the very baseline being beaten is doing the same thing as the proposed method.  We flagged this and submitted a brief note to the upstream repo.</w:t>
      </w:r>
    </w:p>
    <w:p>
      <w:pPr>
        <w:pStyle w:val="Heading2"/>
      </w:pPr>
      <w:r>
        <w:rPr>
          <w:rFonts w:ascii="Calibri" w:cs="Calibri" w:eastAsia="Calibri" w:hAnsi="Calibri"/>
          <w:b/>
          <w:bCs/>
          <w:color w:val="000000"/>
          <w:sz w:val="26"/>
          <w:szCs w:val="26"/>
        </w:rPr>
        <w:t xml:space="default"/>
      </w:r>
    </w:p>
    <w:p>
      <w:pPr>
        <w:pStyle w:val="Heading3"/>
      </w:pPr>
      <w:r>
        <w:rPr>
          <w:rFonts w:ascii="Calibri" w:cs="Calibri" w:eastAsia="Calibri" w:hAnsi="Calibri"/>
          <w:b/>
          <w:bCs/>
          <w:color w:val="000000"/>
          <w:sz w:val="22"/>
          <w:szCs w:val="22"/>
        </w:rPr>
        <w:t xml:space="preserve">(a) Purpose &amp; setup</w:t>
      </w:r>
    </w:p>
    <w:p>
      <w:pPr>
        <w:spacing w:after="120" w:line="300"/>
        <w:jc w:val="both"/>
      </w:pPr>
      <w:r>
        <w:rPr>
          <w:rFonts w:ascii="Calibri" w:cs="Calibri" w:eastAsia="Calibri" w:hAnsi="Calibri"/>
          <w:sz w:val="22"/>
          <w:szCs w:val="22"/>
        </w:rPr>
        <w:t xml:space="preserve">The paper tests only merge-v0.  We extend the same CMDP recipe to three other highway-env scenarios — highway-v0, roundabout-v0, and intersection-v1 — and to a third algorithm, CPO.  Sweep grid: 4 environments × 3 algorithms (PPO, PPOLag, CPO) × 2 seeds (42, 43) = 24 runs.  Per-run training budget is small (2 epochs × 300 steps = 600 environment interactions) because the goal is a pilot benchmark across the matrix, not full convergence on each cell.  We report mean ± 95 % CI half-widths and run a Welch t-test against PPO at the same scenario.</w:t>
      </w:r>
    </w:p>
    <w:p>
      <w:pPr>
        <w:pStyle w:val="Heading3"/>
      </w:pPr>
      <w:r>
        <w:rPr>
          <w:rFonts w:ascii="Calibri" w:cs="Calibri" w:eastAsia="Calibri" w:hAnsi="Calibri"/>
          <w:b/>
          <w:bCs/>
          <w:color w:val="000000"/>
          <w:sz w:val="22"/>
          <w:szCs w:val="22"/>
        </w:rPr>
        <w:t xml:space="preserve">(b) How to read the results</w:t>
      </w:r>
    </w:p>
    <w:p>
      <w:pPr>
        <w:spacing w:after="120" w:line="300"/>
        <w:jc w:val="both"/>
      </w:pPr>
      <w:r>
        <w:rPr>
          <w:rFonts w:ascii="Calibri" w:cs="Calibri" w:eastAsia="Calibri" w:hAnsi="Calibri"/>
          <w:sz w:val="22"/>
          <w:szCs w:val="22"/>
        </w:rPr>
        <w:t xml:space="preserve">Lower collision rate and higher reward are both desirable.  Because each cell uses only 2 seeds, the CIs are deliberately wide; we treat any direction supported by p ≤ 0.10 as suggestive and any with p ≤ 0.05 as significant.</w:t>
      </w:r>
    </w:p>
    <w:p>
      <w:pPr>
        <w:pStyle w:val="Heading3"/>
      </w:pPr>
      <w:r>
        <w:rPr>
          <w:rFonts w:ascii="Calibri" w:cs="Calibri" w:eastAsia="Calibri" w:hAnsi="Calibri"/>
          <w:b/>
          <w:bCs/>
          <w:color w:val="000000"/>
          <w:sz w:val="22"/>
          <w:szCs w:val="22"/>
        </w:rPr>
        <w:t xml:space="preserve">(c) Result</w:t>
      </w:r>
    </w:p>
    <w:p>
      <w:pPr>
        <w:spacing w:after="60" w:before="120"/>
        <w:jc w:val="center"/>
      </w:pPr>
      <w:r>
        <w:drawing>
          <wp:inline distT="0" distB="0" distL="0" distR="0">
            <wp:extent cx="5715000" cy="2667000"/>
            <wp:effectExtent t="0" r="0" b="0" l="0"/>
            <wp:docPr id="1" name="cross_scenario_with_ppo.png" descr="/Users/bonianhan/Projects/CS699/project/final_present/figures/cross_scenario_with_ppo.png" title="cross_scenario_with_p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67000"/>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Figure 5.  Collision rate across all four scenarios for PPO (red), PPOLag (green), and CPO (blue).  Error bars are 95 % CIs over 2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Scenario</w:t>
            </w:r>
          </w:p>
        </w:tc>
        <w:tc>
          <w:tcPr>
            <w:tcW w:type="dxa" w:w="18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PPO collision %</w:t>
            </w:r>
          </w:p>
        </w:tc>
        <w:tc>
          <w:tcPr>
            <w:tcW w:type="dxa" w:w="18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PPOLag collision %</w:t>
            </w:r>
          </w:p>
        </w:tc>
        <w:tc>
          <w:tcPr>
            <w:tcW w:type="dxa" w:w="18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CPO collision %</w:t>
            </w:r>
          </w:p>
        </w:tc>
        <w:tc>
          <w:tcPr>
            <w:tcW w:type="dxa" w:w="184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Best (lowest)</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Merge</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50</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30</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100</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PPOLag</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Highway</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100</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55</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100</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PPOLag</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Roundabout</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40</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40</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40</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tie</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Intersection</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50</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50</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45</w:t>
            </w:r>
          </w:p>
        </w:tc>
        <w:tc>
          <w:tcPr>
            <w:tcW w:type="dxa" w:w="184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CPO</w:t>
            </w:r>
          </w:p>
        </w:tc>
      </w:tr>
    </w:tbl>
    <w:p>
      <w:pPr>
        <w:spacing w:after="220"/>
        <w:jc w:val="center"/>
      </w:pPr>
      <w:r>
        <w:rPr>
          <w:rFonts w:ascii="Calibri" w:cs="Calibri" w:eastAsia="Calibri" w:hAnsi="Calibri"/>
          <w:i/>
          <w:iCs/>
          <w:color w:val="595959"/>
          <w:sz w:val="20"/>
          <w:szCs w:val="20"/>
        </w:rPr>
        <w:t xml:space="preserve">Table 6.  Cross-scenario collision rate (mean over 2 seeds, short-budget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r>
              <w:rPr>
                <w:rFonts w:ascii="Calibri" w:cs="Calibri" w:eastAsia="Calibri" w:hAnsi="Calibri"/>
                <w:b/>
                <w:bCs/>
                <w:color w:val="000000"/>
                <w:sz w:val="22"/>
                <w:szCs w:val="22"/>
              </w:rPr>
              <w:t xml:space="default"/>
            </w:r>
            <w:r>
              <w:rPr>
                <w:rFonts w:ascii="Calibri" w:cs="Calibri" w:eastAsia="Calibri" w:hAnsi="Calibri"/>
                <w:sz w:val="22"/>
                <w:szCs w:val="22"/>
              </w:rPr>
              <w:t xml:space="preserve">  (i) PPOLag is the safest method overall (mean 43.75 % vs PPO 60 % vs CPO 71.25 %). (ii) PPOLag DOES generalise — on Merge and Highway it beats both baselines. (iii) PPOLag does NOT always generalise — on Intersection it ties PPO; on Roundabout all three methods tie. (iv) CPO struggles in the short-budget regime (100 % collisions on Merge and Highway), consistent with its trust-region update being more sample-hungry than the Lagrangian PI loop.</w:t>
            </w:r>
          </w:p>
        </w:tc>
      </w:tr>
    </w:tbl>
    <w:p>
      <w:pPr>
        <w:pStyle w:val="Heading3"/>
      </w:pPr>
      <w:r>
        <w:rPr>
          <w:rFonts w:ascii="Calibri" w:cs="Calibri" w:eastAsia="Calibri" w:hAnsi="Calibri"/>
          <w:b/>
          <w:bCs/>
          <w:color w:val="000000"/>
          <w:sz w:val="22"/>
          <w:szCs w:val="22"/>
        </w:rPr>
        <w:t xml:space="preserve">(d) Time and lessons learned</w:t>
      </w:r>
    </w:p>
    <w:p>
      <w:pPr>
        <w:pStyle w:val="ListParagraph"/>
        <w:numPr>
          <w:ilvl w:val="0"/>
          <w:numId w:val="2"/>
        </w:numPr>
        <w:spacing w:after="60" w:line="280"/>
      </w:pPr>
      <w:r>
        <w:rPr>
          <w:rFonts w:ascii="Calibri" w:cs="Calibri" w:eastAsia="Calibri" w:hAnsi="Calibri"/>
          <w:sz w:val="22"/>
          <w:szCs w:val="22"/>
        </w:rPr>
        <w:t xml:space="preserve">Wall-clock: ≈ 90 minutes on the A100 MIG (24 sequential runs).</w:t>
      </w:r>
    </w:p>
    <w:p>
      <w:pPr>
        <w:pStyle w:val="ListParagraph"/>
        <w:numPr>
          <w:ilvl w:val="0"/>
          <w:numId w:val="2"/>
        </w:numPr>
        <w:spacing w:after="60" w:line="280"/>
      </w:pPr>
      <w:r>
        <w:rPr>
          <w:rFonts w:ascii="Calibri" w:cs="Calibri" w:eastAsia="Calibri" w:hAnsi="Calibri"/>
          <w:sz w:val="22"/>
          <w:szCs w:val="22"/>
        </w:rPr>
        <w:t xml:space="preserve">Lesson: 2 seeds is enough to surface ordering between methods but not enough for tight CIs.  We re-ran the PPOLag-vs-CPO subset with 10 epochs × 300 steps in the tradeoff sweep below to firm up the most interesting comparisons.</w:t>
      </w:r>
    </w:p>
    <w:p>
      <w:pPr>
        <w:pStyle w:val="Heading2"/>
      </w:pPr>
      <w:r>
        <w:rPr>
          <w:rFonts w:ascii="Calibri" w:cs="Calibri" w:eastAsia="Calibri" w:hAnsi="Calibri"/>
          <w:b/>
          <w:bCs/>
          <w:color w:val="000000"/>
          <w:sz w:val="26"/>
          <w:szCs w:val="26"/>
        </w:rPr>
        <w:t xml:space="default"/>
      </w:r>
    </w:p>
    <w:p>
      <w:pPr>
        <w:pStyle w:val="Heading3"/>
      </w:pPr>
      <w:r>
        <w:rPr>
          <w:rFonts w:ascii="Calibri" w:cs="Calibri" w:eastAsia="Calibri" w:hAnsi="Calibri"/>
          <w:b/>
          <w:bCs/>
          <w:color w:val="000000"/>
          <w:sz w:val="22"/>
          <w:szCs w:val="22"/>
        </w:rPr>
        <w:t xml:space="preserve">(a) Purpose &amp; setup</w:t>
      </w:r>
    </w:p>
    <w:p>
      <w:pPr>
        <w:spacing w:after="120" w:line="300"/>
        <w:jc w:val="both"/>
      </w:pPr>
      <w:r>
        <w:rPr>
          <w:rFonts w:ascii="Calibri" w:cs="Calibri" w:eastAsia="Calibri" w:hAnsi="Calibri"/>
          <w:sz w:val="22"/>
          <w:szCs w:val="22"/>
        </w:rPr>
        <w:t xml:space="preserve">Address the “2-seed CIs are too wide” limitation by running a longer, narrower sweep.  Same 4 environments and 2 seeds, but only PPOLag and CPO, and 10 epochs × 300 steps = 3 000 interactions per run.  The goal is to tighten the most interesting comparison (the only two constrained methods).</w:t>
      </w:r>
    </w:p>
    <w:p>
      <w:pPr>
        <w:pStyle w:val="Heading3"/>
      </w:pPr>
      <w:r>
        <w:rPr>
          <w:rFonts w:ascii="Calibri" w:cs="Calibri" w:eastAsia="Calibri" w:hAnsi="Calibri"/>
          <w:b/>
          <w:bCs/>
          <w:color w:val="000000"/>
          <w:sz w:val="22"/>
          <w:szCs w:val="22"/>
        </w:rPr>
        <w:t xml:space="preserve">(b/c) How to read &amp;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680"/>
        <w:gridCol w:w="1680"/>
      </w:tblGrid>
      <w:tr>
        <w:trPr>
          <w:tblHeader/>
        </w:trPr>
        <w:tc>
          <w:tcPr>
            <w:tcW w:type="dxa" w:w="20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Scenario</w:t>
            </w:r>
          </w:p>
        </w:tc>
        <w:tc>
          <w:tcPr>
            <w:tcW w:type="dxa" w:w="20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PPOLag coll. %</w:t>
            </w:r>
          </w:p>
        </w:tc>
        <w:tc>
          <w:tcPr>
            <w:tcW w:type="dxa" w:w="20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CPO coll. %</w:t>
            </w:r>
          </w:p>
        </w:tc>
        <w:tc>
          <w:tcPr>
            <w:tcW w:type="dxa" w:w="168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Δ</w:t>
            </w:r>
          </w:p>
        </w:tc>
        <w:tc>
          <w:tcPr>
            <w:tcW w:type="dxa" w:w="168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p (collision)</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Merge</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6.7</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100</w:t>
            </w:r>
          </w:p>
        </w:tc>
        <w:tc>
          <w:tcPr>
            <w:tcW w:type="dxa" w:w="168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−93</w:t>
            </w:r>
          </w:p>
        </w:tc>
        <w:tc>
          <w:tcPr>
            <w:tcW w:type="dxa" w:w="168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0.000</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Highway</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13.3</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100</w:t>
            </w:r>
          </w:p>
        </w:tc>
        <w:tc>
          <w:tcPr>
            <w:tcW w:type="dxa" w:w="168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−87</w:t>
            </w:r>
          </w:p>
        </w:tc>
        <w:tc>
          <w:tcPr>
            <w:tcW w:type="dxa" w:w="168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0.000</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Roundabout</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30.0</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36.7</w:t>
            </w:r>
          </w:p>
        </w:tc>
        <w:tc>
          <w:tcPr>
            <w:tcW w:type="dxa" w:w="168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−6.7</w:t>
            </w:r>
          </w:p>
        </w:tc>
        <w:tc>
          <w:tcPr>
            <w:tcW w:type="dxa" w:w="168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0.293</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Intersection</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43.3</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43.3</w:t>
            </w:r>
          </w:p>
        </w:tc>
        <w:tc>
          <w:tcPr>
            <w:tcW w:type="dxa" w:w="168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0</w:t>
            </w:r>
          </w:p>
        </w:tc>
        <w:tc>
          <w:tcPr>
            <w:tcW w:type="dxa" w:w="168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1.000</w:t>
            </w:r>
          </w:p>
        </w:tc>
      </w:tr>
    </w:tbl>
    <w:p>
      <w:pPr>
        <w:spacing w:after="220"/>
        <w:jc w:val="center"/>
      </w:pPr>
      <w:r>
        <w:rPr>
          <w:rFonts w:ascii="Calibri" w:cs="Calibri" w:eastAsia="Calibri" w:hAnsi="Calibri"/>
          <w:i/>
          <w:iCs/>
          <w:color w:val="595959"/>
          <w:sz w:val="20"/>
          <w:szCs w:val="20"/>
        </w:rPr>
        <w:t xml:space="preserve">Table 7.  Long-budget (10 epoch × 300 step) tradeoff sweep, with Welch t-test p-values vs CPO.</w:t>
      </w:r>
    </w:p>
    <w:p>
      <w:pPr>
        <w:spacing w:after="60" w:before="120"/>
        <w:jc w:val="center"/>
      </w:pPr>
      <w:r>
        <w:drawing>
          <wp:inline distT="0" distB="0" distL="0" distR="0">
            <wp:extent cx="5143500" cy="3429000"/>
            <wp:effectExtent t="0" r="0" b="0" l="0"/>
            <wp:docPr id="1" name="reward_vs_safety.png" descr="/Users/bonianhan/Projects/CS699/project/final_present/figures/reward_vs_safety.png" title="reward_vs_safe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429000"/>
                    </a:xfrm>
                    <a:prstGeom prst="rect">
                      <a:avLst/>
                    </a:prstGeom>
                  </pic:spPr>
                </pic:pic>
              </a:graphicData>
            </a:graphic>
          </wp:inline>
        </w:drawing>
      </w:r>
    </w:p>
    <w:p>
      <w:pPr>
        <w:spacing w:after="220"/>
        <w:jc w:val="center"/>
      </w:pPr>
      <w:r>
        <w:rPr>
          <w:rFonts w:ascii="Calibri" w:cs="Calibri" w:eastAsia="Calibri" w:hAnsi="Calibri"/>
          <w:i/>
          <w:iCs/>
          <w:color w:val="595959"/>
          <w:sz w:val="20"/>
          <w:szCs w:val="20"/>
        </w:rPr>
        <w:t xml:space="preserve">Figure 6.  Reward-vs-safety frontier (12 algorithm × scenario cells).  PPOLag/Merge dominates the upper-left quadrant.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r>
              <w:rPr>
                <w:rFonts w:ascii="Calibri" w:cs="Calibri" w:eastAsia="Calibri" w:hAnsi="Calibri"/>
                <w:b/>
                <w:bCs/>
                <w:color w:val="000000"/>
                <w:sz w:val="22"/>
                <w:szCs w:val="22"/>
              </w:rPr>
              <w:t xml:space="default"/>
            </w:r>
            <w:r>
              <w:rPr>
                <w:rFonts w:ascii="Calibri" w:cs="Calibri" w:eastAsia="Calibri" w:hAnsi="Calibri"/>
                <w:sz w:val="22"/>
                <w:szCs w:val="22"/>
              </w:rPr>
              <w:t xml:space="preserve">  On Merge, PPOLag's collision-rate advantage is statistically significant (p = 0.000) AND its reward advantage is significant (p = 0.002, see tradeoff_results/significance_tests.csv).  On the other three scenarios, differences are not significant at the 2-seed level.</w:t>
            </w:r>
          </w:p>
        </w:tc>
      </w:tr>
    </w:tbl>
    <w:p>
      <w:pPr>
        <w:pStyle w:val="Heading3"/>
      </w:pPr>
      <w:r>
        <w:rPr>
          <w:rFonts w:ascii="Calibri" w:cs="Calibri" w:eastAsia="Calibri" w:hAnsi="Calibri"/>
          <w:b/>
          <w:bCs/>
          <w:color w:val="000000"/>
          <w:sz w:val="22"/>
          <w:szCs w:val="22"/>
        </w:rPr>
        <w:t xml:space="preserve">(d) Time and lessons learned</w:t>
      </w:r>
    </w:p>
    <w:p>
      <w:pPr>
        <w:pStyle w:val="ListParagraph"/>
        <w:numPr>
          <w:ilvl w:val="0"/>
          <w:numId w:val="2"/>
        </w:numPr>
        <w:spacing w:after="60" w:line="280"/>
      </w:pPr>
      <w:r>
        <w:rPr>
          <w:rFonts w:ascii="Calibri" w:cs="Calibri" w:eastAsia="Calibri" w:hAnsi="Calibri"/>
          <w:sz w:val="22"/>
          <w:szCs w:val="22"/>
        </w:rPr>
        <w:t xml:space="preserve">Wall-clock: ≈ 60 minutes on the A100 MIG.</w:t>
      </w:r>
    </w:p>
    <w:p>
      <w:pPr>
        <w:pStyle w:val="ListParagraph"/>
        <w:numPr>
          <w:ilvl w:val="0"/>
          <w:numId w:val="2"/>
        </w:numPr>
        <w:spacing w:after="60" w:line="280"/>
      </w:pPr>
      <w:r>
        <w:rPr>
          <w:rFonts w:ascii="Calibri" w:cs="Calibri" w:eastAsia="Calibri" w:hAnsi="Calibri"/>
          <w:sz w:val="22"/>
          <w:szCs w:val="22"/>
        </w:rPr>
        <w:t xml:space="preserve">Lesson: cross-scenario absolute numbers are not comparable to the merge baseline (§4.1) — sample size for evaluation is 15 vs 100 episodes — so we report each sweep's numbers separately and warn explicitly in the deck.</w:t>
      </w:r>
    </w:p>
    <w:p>
      <w:pPr>
        <w:pStyle w:val="Heading2"/>
      </w:pPr>
      <w:r>
        <w:rPr>
          <w:rFonts w:ascii="Calibri" w:cs="Calibri" w:eastAsia="Calibri" w:hAnsi="Calibri"/>
          <w:b/>
          <w:bCs/>
          <w:color w:val="000000"/>
          <w:sz w:val="26"/>
          <w:szCs w:val="26"/>
        </w:rPr>
        <w:t xml:space="default"/>
      </w:r>
    </w:p>
    <w:p>
      <w:pPr>
        <w:pStyle w:val="Heading3"/>
      </w:pPr>
      <w:r>
        <w:rPr>
          <w:rFonts w:ascii="Calibri" w:cs="Calibri" w:eastAsia="Calibri" w:hAnsi="Calibri"/>
          <w:b/>
          <w:bCs/>
          <w:color w:val="000000"/>
          <w:sz w:val="22"/>
          <w:szCs w:val="22"/>
        </w:rPr>
        <w:t xml:space="preserve">(a) Purpose &amp; setup</w:t>
      </w:r>
    </w:p>
    <w:p>
      <w:pPr>
        <w:spacing w:after="120" w:line="300"/>
        <w:jc w:val="both"/>
      </w:pPr>
      <w:r>
        <w:rPr>
          <w:rFonts w:ascii="Calibri" w:cs="Calibri" w:eastAsia="Calibri" w:hAnsi="Calibri"/>
          <w:sz w:val="22"/>
          <w:szCs w:val="22"/>
        </w:rPr>
        <w:t xml:space="preserve">After watching the demo videos we asked: what does PPOLag actually do to achieve its low collision rate?  We logged the action distribution over 8 evaluation episodes per environment for the merge-trained PPOLag and a scratch-trained PPO on each of the other three environments (3 000 training steps each, pure-PyTorch implementation).</w:t>
      </w:r>
    </w:p>
    <w:p>
      <w:pPr>
        <w:pStyle w:val="Heading3"/>
      </w:pPr>
      <w:r>
        <w:rPr>
          <w:rFonts w:ascii="Calibri" w:cs="Calibri" w:eastAsia="Calibri" w:hAnsi="Calibri"/>
          <w:b/>
          <w:bCs/>
          <w:color w:val="000000"/>
          <w:sz w:val="22"/>
          <w:szCs w:val="22"/>
        </w:rPr>
        <w:t xml:space="preserve">(b) How to read the results</w:t>
      </w:r>
    </w:p>
    <w:p>
      <w:pPr>
        <w:spacing w:after="120" w:line="300"/>
        <w:jc w:val="both"/>
      </w:pPr>
      <w:r>
        <w:rPr>
          <w:rFonts w:ascii="Calibri" w:cs="Calibri" w:eastAsia="Calibri" w:hAnsi="Calibri"/>
          <w:sz w:val="22"/>
          <w:szCs w:val="22"/>
        </w:rPr>
        <w:t xml:space="preserve">If PPOLag has learned a sophisticated merging policy, we expect non-trivial use of LANE_LEFT / LANE_RIGHT / FASTER actions.  If PPOLag has learned the “lazy optimum” of just braking, the distribution will be dominated by SLOWER.</w:t>
      </w:r>
    </w:p>
    <w:p>
      <w:pPr>
        <w:pStyle w:val="Heading3"/>
      </w:pPr>
      <w:r>
        <w:rPr>
          <w:rFonts w:ascii="Calibri" w:cs="Calibri" w:eastAsia="Calibri" w:hAnsi="Calibri"/>
          <w:b/>
          <w:bCs/>
          <w:color w:val="000000"/>
          <w:sz w:val="22"/>
          <w:szCs w:val="22"/>
        </w:rPr>
        <w:t xml:space="preserve">(c)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rPr>
          <w:tblHeader/>
        </w:trPr>
        <w:tc>
          <w:tcPr>
            <w:tcW w:type="dxa" w:w="20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Scenario</w:t>
            </w:r>
          </w:p>
        </w:tc>
        <w:tc>
          <w:tcPr>
            <w:tcW w:type="dxa" w:w="15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Crashes</w:t>
            </w:r>
          </w:p>
        </w:tc>
        <w:tc>
          <w:tcPr>
            <w:tcW w:type="dxa" w:w="30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Top action(s)</w:t>
            </w:r>
          </w:p>
        </w:tc>
        <w:tc>
          <w:tcPr>
            <w:tcW w:type="dxa" w:w="286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Interpretation</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Merge</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0/3 (0 %)</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SLOWER 97 %, IDLE 3 %</w:t>
            </w:r>
          </w:p>
        </w:tc>
        <w:tc>
          <w:tcPr>
            <w:tcW w:type="dxa" w:w="2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Brake-only — geometry forces the merge anyway</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Highway</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0/1 (0 %)</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SLOWER 100 %</w:t>
            </w:r>
          </w:p>
        </w:tc>
        <w:tc>
          <w:tcPr>
            <w:tcW w:type="dxa" w:w="2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Brake-only — same lazy optimum</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Roundabout</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2/6 (33 %)</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FASTER 53 %, IDLE 22 %, LANE 13 %</w:t>
            </w:r>
          </w:p>
        </w:tc>
        <w:tc>
          <w:tcPr>
            <w:tcW w:type="dxa" w:w="2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Uses lane changes — but still crashes</w:t>
            </w:r>
          </w:p>
        </w:tc>
      </w:tr>
      <w:t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Intersection</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9/18 (50 %)</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FASTER 67 %, LANE 15 %, SLOWER 8 %</w:t>
            </w:r>
          </w:p>
        </w:tc>
        <w:tc>
          <w:tcPr>
            <w:tcW w:type="dxa" w:w="2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Uses lane changes — but still crashes</w:t>
            </w:r>
          </w:p>
        </w:tc>
      </w:tr>
    </w:tbl>
    <w:p>
      <w:pPr>
        <w:spacing w:after="220"/>
        <w:jc w:val="center"/>
      </w:pPr>
      <w:r>
        <w:rPr>
          <w:rFonts w:ascii="Calibri" w:cs="Calibri" w:eastAsia="Calibri" w:hAnsi="Calibri"/>
          <w:i/>
          <w:iCs/>
          <w:color w:val="595959"/>
          <w:sz w:val="20"/>
          <w:szCs w:val="20"/>
        </w:rPr>
        <w:t xml:space="preserve">Table 8.  Action distribution per scenario (lane-change actions are highlighted because they were specifically asked about during the milestone-3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r>
              <w:rPr>
                <w:rFonts w:ascii="Calibri" w:cs="Calibri" w:eastAsia="Calibri" w:hAnsi="Calibri"/>
                <w:b/>
                <w:bCs/>
                <w:color w:val="000000"/>
                <w:sz w:val="22"/>
                <w:szCs w:val="22"/>
              </w:rPr>
              <w:t xml:space="default"/>
            </w:r>
            <w:r>
              <w:rPr>
                <w:rFonts w:ascii="Calibri" w:cs="Calibri" w:eastAsia="Calibri" w:hAnsi="Calibri"/>
                <w:sz w:val="22"/>
                <w:szCs w:val="22"/>
              </w:rPr>
              <w:t xml:space="preserve">  On linear-flow tasks (Merge, Highway), the trained policy uses 0 % LANE_LEFT and 97–100 % SLOWER.  PPOLag's “safety strategy” is BRAKE, not MERGE CLEVERLY. On geometry-complex tasks (Roundabout, Intersection), the policy DOES use 12–16 % lane-change actions — but the small training budget (3 k steps) is too short to drive them well, so crash rates stay at 33–50 %.  Implication: the paper's claim is robust on the linear-merge benchmark but is an open question on scenarios where geometry doesn't do the work for the agent.</w:t>
            </w:r>
          </w:p>
        </w:tc>
      </w:tr>
    </w:tbl>
    <w:p>
      <w:pPr>
        <w:pStyle w:val="Heading3"/>
      </w:pPr>
      <w:r>
        <w:rPr>
          <w:rFonts w:ascii="Calibri" w:cs="Calibri" w:eastAsia="Calibri" w:hAnsi="Calibri"/>
          <w:b/>
          <w:bCs/>
          <w:color w:val="000000"/>
          <w:sz w:val="22"/>
          <w:szCs w:val="22"/>
        </w:rPr>
        <w:t xml:space="preserve">(d) Time and lessons learned</w:t>
      </w:r>
    </w:p>
    <w:p>
      <w:pPr>
        <w:pStyle w:val="ListParagraph"/>
        <w:numPr>
          <w:ilvl w:val="0"/>
          <w:numId w:val="2"/>
        </w:numPr>
        <w:spacing w:after="60" w:line="280"/>
      </w:pPr>
      <w:r>
        <w:rPr>
          <w:rFonts w:ascii="Calibri" w:cs="Calibri" w:eastAsia="Calibri" w:hAnsi="Calibri"/>
          <w:sz w:val="22"/>
          <w:szCs w:val="22"/>
        </w:rPr>
        <w:t xml:space="preserve">Wall-clock: ≈ 8 minutes for all 3 scratch-trained policies + ≈ 5 minutes for video composition.</w:t>
      </w:r>
    </w:p>
    <w:p>
      <w:pPr>
        <w:pStyle w:val="ListParagraph"/>
        <w:numPr>
          <w:ilvl w:val="0"/>
          <w:numId w:val="2"/>
        </w:numPr>
        <w:spacing w:after="60" w:line="280"/>
      </w:pPr>
      <w:r>
        <w:rPr>
          <w:rFonts w:ascii="Calibri" w:cs="Calibri" w:eastAsia="Calibri" w:hAnsi="Calibri"/>
          <w:sz w:val="22"/>
          <w:szCs w:val="22"/>
        </w:rPr>
        <w:t xml:space="preserve">Lesson: action histograms are cheap to log and reveal failure modes that aggregate metrics hide.  Adding this analysis to the standard reporting template is essentially free.</w:t>
      </w:r>
    </w:p>
    <w:p>
      <w:r>
        <w:br w:type="page"/>
      </w:r>
    </w:p>
    <w:p>
      <w:pPr>
        <w:pStyle w:val="Heading1"/>
      </w:pPr>
      <w:r>
        <w:rPr>
          <w:rFonts w:ascii="Calibri" w:cs="Calibri" w:eastAsia="Calibri" w:hAnsi="Calibri"/>
          <w:b/>
          <w:bCs/>
          <w:color w:val="000000"/>
          <w:sz w:val="32"/>
          <w:szCs w:val="32"/>
        </w:rPr>
        <w:t xml:space="preserve">5.  Conclusion</w:t>
      </w:r>
    </w:p>
    <w:p>
      <w:pPr>
        <w:pStyle w:val="Heading2"/>
      </w:pPr>
      <w:r>
        <w:rPr>
          <w:rFonts w:ascii="Calibri" w:cs="Calibri" w:eastAsia="Calibri" w:hAnsi="Calibri"/>
          <w:b/>
          <w:bCs/>
          <w:color w:val="000000"/>
          <w:sz w:val="26"/>
          <w:szCs w:val="26"/>
        </w:rPr>
        <w:t xml:space="preserve">5.1  Key learnings</w:t>
      </w:r>
    </w:p>
    <w:p>
      <w:pPr>
        <w:pStyle w:val="ListParagraph"/>
        <w:numPr>
          <w:ilvl w:val="0"/>
          <w:numId w:val="3"/>
        </w:numPr>
        <w:spacing w:after="60" w:line="280"/>
      </w:pPr>
      <w:r>
        <w:rPr>
          <w:rFonts w:ascii="Calibri" w:cs="Calibri" w:eastAsia="Calibri" w:hAnsi="Calibri"/>
          <w:sz w:val="22"/>
          <w:szCs w:val="22"/>
        </w:rPr>
        <w:t xml:space="preserve">Decoupling reward and cost is a prerequisite for the CMDP framework to add value.  If the reward already penalises the unsafe event, the constraint is redundant.</w:t>
      </w:r>
    </w:p>
    <w:p>
      <w:pPr>
        <w:pStyle w:val="ListParagraph"/>
        <w:numPr>
          <w:ilvl w:val="0"/>
          <w:numId w:val="3"/>
        </w:numPr>
        <w:spacing w:after="60" w:line="280"/>
      </w:pPr>
      <w:r>
        <w:rPr>
          <w:rFonts w:ascii="Calibri" w:cs="Calibri" w:eastAsia="Calibri" w:hAnsi="Calibri"/>
          <w:sz w:val="22"/>
          <w:szCs w:val="22"/>
        </w:rPr>
        <w:t xml:space="preserve">Constraint satisfaction is real and observable.  The Lagrangian-PID controller drives PPOLag's cost from 0.71 to 0.04 over 5 epochs and stabilises it around d = 0.1; this is direct evidence that the constraint mechanism is closing the loop.</w:t>
      </w:r>
    </w:p>
    <w:p>
      <w:pPr>
        <w:pStyle w:val="ListParagraph"/>
        <w:numPr>
          <w:ilvl w:val="0"/>
          <w:numId w:val="3"/>
        </w:numPr>
        <w:spacing w:after="60" w:line="280"/>
      </w:pPr>
      <w:r>
        <w:rPr>
          <w:rFonts w:ascii="Calibri" w:cs="Calibri" w:eastAsia="Calibri" w:hAnsi="Calibri"/>
          <w:sz w:val="22"/>
          <w:szCs w:val="22"/>
        </w:rPr>
        <w:t xml:space="preserve">Cross-scenario generalisation is partial.  PPOLag wins safely on linear-flow tasks (merge, highway), but on geometry-complex tasks (intersection) the constraint provides no measurable advantage at our budget.</w:t>
      </w:r>
    </w:p>
    <w:p>
      <w:pPr>
        <w:pStyle w:val="ListParagraph"/>
        <w:numPr>
          <w:ilvl w:val="0"/>
          <w:numId w:val="3"/>
        </w:numPr>
        <w:spacing w:after="60" w:line="280"/>
      </w:pPr>
      <w:r>
        <w:rPr>
          <w:rFonts w:ascii="Calibri" w:cs="Calibri" w:eastAsia="Calibri" w:hAnsi="Calibri"/>
          <w:sz w:val="22"/>
          <w:szCs w:val="22"/>
        </w:rPr>
        <w:t xml:space="preserve">Apparent safety can mask lazy policies.  PPOLag's headline 9 % collision rate on merge-v0 is achieved by braking, not by skilful merging — a finding that aggregate metrics never surface but that an action histogram makes obvious.</w:t>
      </w:r>
    </w:p>
    <w:p>
      <w:pPr>
        <w:pStyle w:val="ListParagraph"/>
        <w:numPr>
          <w:ilvl w:val="0"/>
          <w:numId w:val="3"/>
        </w:numPr>
        <w:spacing w:after="60" w:line="280"/>
      </w:pPr>
      <w:r>
        <w:rPr>
          <w:rFonts w:ascii="Calibri" w:cs="Calibri" w:eastAsia="Calibri" w:hAnsi="Calibri"/>
          <w:sz w:val="22"/>
          <w:szCs w:val="22"/>
        </w:rPr>
        <w:t xml:space="preserve">Statistical reporting matters.  Two seeds is enough to surface direction; it is not enough for confident absolute numbers — every cross-scenario claim in this report is qualified by a 95 % CI or a Welch t-test.</w:t>
      </w:r>
    </w:p>
    <w:p>
      <w:pPr>
        <w:pStyle w:val="Heading2"/>
      </w:pPr>
      <w:r>
        <w:rPr>
          <w:rFonts w:ascii="Calibri" w:cs="Calibri" w:eastAsia="Calibri" w:hAnsi="Calibri"/>
          <w:b/>
          <w:bCs/>
          <w:color w:val="000000"/>
          <w:sz w:val="26"/>
          <w:szCs w:val="26"/>
        </w:rPr>
        <w:t xml:space="preserve">5.2  Obstacles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Obstacle</w:t>
            </w:r>
          </w:p>
        </w:tc>
        <w:tc>
          <w:tcPr>
            <w:tcW w:type="dxa" w:w="5860"/>
            <w:tcBorders>
              <w:top w:val="single" w:color="000000" w:sz="4"/>
              <w:left w:val="single" w:color="000000" w:sz="4"/>
              <w:bottom w:val="single" w:color="000000" w:sz="4"/>
              <w:right w:val="single" w:color="000000" w:sz="4"/>
            </w:tcBorders>
            <w:shd w:fill="F2F2F2" w:val="clear"/>
            <w:tcMar>
              <w:top w:type="dxa" w:w="100"/>
              <w:left w:type="dxa" w:w="140"/>
              <w:bottom w:type="dxa" w:w="100"/>
              <w:right w:type="dxa" w:w="140"/>
            </w:tcMar>
            <w:vAlign w:val="center"/>
          </w:tcPr>
          <w:p>
            <w:r>
              <w:rPr>
                <w:rFonts w:ascii="Calibri" w:cs="Calibri" w:eastAsia="Calibri" w:hAnsi="Calibri"/>
                <w:b/>
                <w:bCs/>
                <w:color w:val="000000"/>
                <w:sz w:val="22"/>
                <w:szCs w:val="22"/>
              </w:rPr>
              <w:t xml:space="preserve">Solution</w:t>
            </w:r>
          </w:p>
        </w:tc>
      </w:tr>
      <w:tr>
        <w:tc>
          <w:tcPr>
            <w:tcW w:type="dxa" w:w="3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Paper's released code reads info["cost"] but highway-env emits info["crashed"]; the cost signal was always 0 and the Lagrangian never moved.</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Wrote a 6-line CostWrapper that maps crashed → cost.  This is the prerequisite that makes any of our results possible.</w:t>
            </w:r>
          </w:p>
        </w:tc>
      </w:tr>
      <w:tr>
        <w:tc>
          <w:tcPr>
            <w:tcW w:type="dxa" w:w="3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highway-env's default reward already deducts a large penalty on crash; PPO and PPOLag therefore both look ≈ 5 % safe and the constraint contributes nothing measurable.</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Set collision_reward = 0 in the env config.  This is the design insight that unlocks the 40 → 9 % gap (§4.3 ablation).</w:t>
            </w:r>
          </w:p>
        </w:tc>
      </w:tr>
      <w:tr>
        <w:tc>
          <w:tcPr>
            <w:tcW w:type="dxa" w:w="3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FSRL's PPO-Lagrangian and CPO ship with Gaussian (continuous) actors, but highway-env's discrete meta-actions are categorical.</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Implemented Categorical actor + dual critics + a discrete-aware FastCollector path.  About 200 LoC of glue code, now reusable for any discrete safe-RL benchmark.</w:t>
            </w:r>
          </w:p>
        </w:tc>
      </w:tr>
      <w:tr>
        <w:tc>
          <w:tcPr>
            <w:tcW w:type="dxa" w:w="3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OmniSafe 0.5 wraps environments with ActionScale, which asserts spaces.Box; this rejects highway-env's discrete spaces and OmniSafe 0.5 also dropped WCSAC.</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Audited the requirement, then explicitly cut WCSAC from scope and stated this as a limitation in §4.4 / §5.3.  Honest scoping &gt; silent omission.</w:t>
            </w:r>
          </w:p>
        </w:tc>
      </w:tr>
      <w:tr>
        <w:tc>
          <w:tcPr>
            <w:tcW w:type="dxa" w:w="3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pygame's macOS rendering returns black frames when SDL_VIDEODRIVER=dummy; recording video for the demo was broken on the first attempt.</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Switched to highway-env's offscreen_rendering = True config option, which uses pygame surfaces directly without invoking display mode.  Demos render correctly on both macOS and Linux now.</w:t>
            </w:r>
          </w:p>
        </w:tc>
      </w:tr>
      <w:tr>
        <w:tc>
          <w:tcPr>
            <w:tcW w:type="dxa" w:w="350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A100 MIG quota only granted 2 seeds within the deadline; CIs were too wide for several cross-scenario claims.</w:t>
            </w:r>
          </w:p>
        </w:tc>
        <w:tc>
          <w:tcPr>
            <w:tcW w:type="dxa" w:w="5860"/>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r>
              <w:rPr>
                <w:rFonts w:ascii="Calibri" w:cs="Calibri" w:eastAsia="Calibri" w:hAnsi="Calibri"/>
                <w:b w:val="false"/>
                <w:bCs w:val="false"/>
                <w:color w:val="000000"/>
                <w:sz w:val="22"/>
                <w:szCs w:val="22"/>
              </w:rPr>
              <w:t xml:space="preserve">Reported every cross-scenario number with a 95 % CI half-width and a Welch t-test; flagged non-significant comparisons explicitly so the reader is not misled.</w:t>
            </w:r>
          </w:p>
        </w:tc>
      </w:tr>
    </w:tbl>
    <w:p>
      <w:pPr>
        <w:spacing w:after="220"/>
        <w:jc w:val="center"/>
      </w:pPr>
      <w:r>
        <w:rPr>
          <w:rFonts w:ascii="Calibri" w:cs="Calibri" w:eastAsia="Calibri" w:hAnsi="Calibri"/>
          <w:i/>
          <w:iCs/>
          <w:color w:val="595959"/>
          <w:sz w:val="20"/>
          <w:szCs w:val="20"/>
        </w:rPr>
        <w:t xml:space="preserve">Table 9.  Obstacles encountered during the project and how we addressed them.</w:t>
      </w:r>
    </w:p>
    <w:p>
      <w:pPr>
        <w:pStyle w:val="Heading2"/>
      </w:pPr>
      <w:r>
        <w:rPr>
          <w:rFonts w:ascii="Calibri" w:cs="Calibri" w:eastAsia="Calibri" w:hAnsi="Calibri"/>
          <w:b/>
          <w:bCs/>
          <w:color w:val="000000"/>
          <w:sz w:val="26"/>
          <w:szCs w:val="26"/>
        </w:rPr>
        <w:t xml:space="preserve">5.3  Applying RL to real-world problems</w:t>
      </w:r>
    </w:p>
    <w:p>
      <w:pPr>
        <w:spacing w:after="120" w:line="300"/>
        <w:jc w:val="both"/>
      </w:pPr>
      <w:r>
        <w:rPr>
          <w:rFonts w:ascii="Calibri" w:cs="Calibri" w:eastAsia="Calibri" w:hAnsi="Calibri"/>
          <w:sz w:val="22"/>
          <w:szCs w:val="22"/>
        </w:rPr>
        <w:t xml:space="preserve">Our experience reproducing this paper informs how we would approach a real-world deployment of safe RL — for example, a real autonomous vehicle or an industrial control system.  Five concrete considerations follow.</w:t>
      </w:r>
    </w:p>
    <w:p>
      <w:pPr>
        <w:pStyle w:val="ListParagraph"/>
        <w:numPr>
          <w:ilvl w:val="0"/>
          <w:numId w:val="3"/>
        </w:numPr>
        <w:spacing w:after="60" w:line="280"/>
      </w:pPr>
      <w:r>
        <w:rPr>
          <w:rFonts w:ascii="Calibri" w:cs="Calibri" w:eastAsia="Calibri" w:hAnsi="Calibri"/>
          <w:b/>
          <w:bCs/>
          <w:sz w:val="22"/>
          <w:szCs w:val="22"/>
        </w:rPr>
        <w:t xml:space="preserve">Specifying safety as a constraint, not a penalty.</w:t>
      </w:r>
      <w:r>
        <w:rPr>
          <w:rFonts w:ascii="Calibri" w:cs="Calibri" w:eastAsia="Calibri" w:hAnsi="Calibri"/>
          <w:sz w:val="22"/>
          <w:szCs w:val="22"/>
        </w:rPr>
        <w:t xml:space="preserve">  This single design decision — collision_reward = 0, safety enforced via E[Σ c] ≤ d — was the difference between a working PPOLag and a redundant one.  In a real system, “maximum permissible failure rate” is a far more natural specification than a hand-tuned penalty weight, and it is what regulators tend to ask for anyway.</w:t>
      </w:r>
    </w:p>
    <w:p>
      <w:pPr>
        <w:pStyle w:val="ListParagraph"/>
        <w:numPr>
          <w:ilvl w:val="0"/>
          <w:numId w:val="3"/>
        </w:numPr>
        <w:spacing w:after="60" w:line="280"/>
      </w:pPr>
      <w:r>
        <w:rPr>
          <w:rFonts w:ascii="Calibri" w:cs="Calibri" w:eastAsia="Calibri" w:hAnsi="Calibri"/>
          <w:b/>
          <w:bCs/>
          <w:sz w:val="22"/>
          <w:szCs w:val="22"/>
        </w:rPr>
        <w:t xml:space="preserve">Aggregate metrics hide policy quality.</w:t>
      </w:r>
      <w:r>
        <w:rPr>
          <w:rFonts w:ascii="Calibri" w:cs="Calibri" w:eastAsia="Calibri" w:hAnsi="Calibri"/>
          <w:sz w:val="22"/>
          <w:szCs w:val="22"/>
        </w:rPr>
        <w:t xml:space="preserve">  A 9 % collision rate looks great on a slide, but the underlying policy was “brake until the geometry resolves the situation.”  Real deployment needs behaviour-level audits — action histograms, intervention statistics, rollout videos — not just headline KPIs.</w:t>
      </w:r>
    </w:p>
    <w:p>
      <w:pPr>
        <w:pStyle w:val="ListParagraph"/>
        <w:numPr>
          <w:ilvl w:val="0"/>
          <w:numId w:val="3"/>
        </w:numPr>
        <w:spacing w:after="60" w:line="280"/>
      </w:pPr>
      <w:r>
        <w:rPr>
          <w:rFonts w:ascii="Calibri" w:cs="Calibri" w:eastAsia="Calibri" w:hAnsi="Calibri"/>
          <w:b/>
          <w:bCs/>
          <w:sz w:val="22"/>
          <w:szCs w:val="22"/>
        </w:rPr>
        <w:t xml:space="preserve">Mean-cost constraints are not enough.</w:t>
      </w:r>
      <w:r>
        <w:rPr>
          <w:rFonts w:ascii="Calibri" w:cs="Calibri" w:eastAsia="Calibri" w:hAnsi="Calibri"/>
          <w:sz w:val="22"/>
          <w:szCs w:val="22"/>
        </w:rPr>
        <w:t xml:space="preserve">  A policy that satisfies E[c] ≤ 0.1 can still place 100 % of its risk in the long tail.  For real driving, risk-aware variants — WCSAC (CVaR), distributional CPO — are mandatory rather than nice-to-have.</w:t>
      </w:r>
    </w:p>
    <w:p>
      <w:pPr>
        <w:pStyle w:val="ListParagraph"/>
        <w:numPr>
          <w:ilvl w:val="0"/>
          <w:numId w:val="3"/>
        </w:numPr>
        <w:spacing w:after="60" w:line="280"/>
      </w:pPr>
      <w:r>
        <w:rPr>
          <w:rFonts w:ascii="Calibri" w:cs="Calibri" w:eastAsia="Calibri" w:hAnsi="Calibri"/>
          <w:b/>
          <w:bCs/>
          <w:sz w:val="22"/>
          <w:szCs w:val="22"/>
        </w:rPr>
        <w:t xml:space="preserve">Sample efficiency dictates feasibility.</w:t>
      </w:r>
      <w:r>
        <w:rPr>
          <w:rFonts w:ascii="Calibri" w:cs="Calibri" w:eastAsia="Calibri" w:hAnsi="Calibri"/>
          <w:sz w:val="22"/>
          <w:szCs w:val="22"/>
        </w:rPr>
        <w:t xml:space="preserve">  CPO's 100 % collision rate on the short-budget sweep is a reminder that trust-region methods need many more interactions than Lagrangian-PI to stabilise.  Real-world systems can't afford 100 k unsafe interactions; this argues for offline pre-training, model-based rollouts, or shielding layers around any deployed policy.</w:t>
      </w:r>
    </w:p>
    <w:p>
      <w:pPr>
        <w:pStyle w:val="ListParagraph"/>
        <w:numPr>
          <w:ilvl w:val="0"/>
          <w:numId w:val="3"/>
        </w:numPr>
        <w:spacing w:after="60" w:line="280"/>
      </w:pPr>
      <w:r>
        <w:rPr>
          <w:rFonts w:ascii="Calibri" w:cs="Calibri" w:eastAsia="Calibri" w:hAnsi="Calibri"/>
          <w:b/>
          <w:bCs/>
          <w:sz w:val="22"/>
          <w:szCs w:val="22"/>
        </w:rPr>
        <w:t xml:space="preserve">Distribution shift between training scenarios is the real test.</w:t>
      </w:r>
      <w:r>
        <w:rPr>
          <w:rFonts w:ascii="Calibri" w:cs="Calibri" w:eastAsia="Calibri" w:hAnsi="Calibri"/>
          <w:sz w:val="22"/>
          <w:szCs w:val="22"/>
        </w:rPr>
        <w:t xml:space="preserve">  PPOLag worked on merge but tied PPO on intersection; the framework's claim of regime-invariance is not unconditional.  Real deployment requires explicit domain-randomisation training and continual evaluation on out-of-distribution scenes, not just the benchmark a paper happened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2F2F2" w:val="clear"/>
            <w:tcMar>
              <w:top w:type="dxa" w:w="140"/>
              <w:left w:type="dxa" w:w="200"/>
              <w:bottom w:type="dxa" w:w="140"/>
              <w:right w:type="dxa" w:w="200"/>
            </w:tcMar>
          </w:tcPr>
          <w:p>
            <w:r>
              <w:rPr>
                <w:rFonts w:ascii="Calibri" w:cs="Calibri" w:eastAsia="Calibri" w:hAnsi="Calibri"/>
                <w:b/>
                <w:bCs/>
                <w:color w:val="000000"/>
                <w:sz w:val="22"/>
                <w:szCs w:val="22"/>
              </w:rPr>
              <w:t xml:space="preserve">Bottom line</w:t>
            </w:r>
            <w:r>
              <w:rPr>
                <w:rFonts w:ascii="Calibri" w:cs="Calibri" w:eastAsia="Calibri" w:hAnsi="Calibri"/>
                <w:sz w:val="22"/>
                <w:szCs w:val="22"/>
              </w:rPr>
              <w:t xml:space="preserve">  Constrained RL is a substantive improvement over reward shaping in the right regime.  Getting it to that regime requires rigorous decoupling of reward and cost, behaviour-level audits, and distribution-shift testing.  This project convinced us that those prerequisites are at least as important as the choice of safe-RL algorithm itself.</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CS 699 · Final Report · Group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8" w:space="6"/>
      </w:pBdr>
      <w:spacing w:after="24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dcukpwrgzmomov07hvo7" Type="http://schemas.openxmlformats.org/officeDocument/2006/relationships/hyperlink" Target="https://github.com/BonianHan/CS699-SafeRL-Project" TargetMode="External"/><Relationship Id="rIde5dscswzjtzpewus0t2hu" Type="http://schemas.openxmlformats.org/officeDocument/2006/relationships/hyperlink" Target="https://github.com/qisong-yang/SafeRLinHighwayEnvs" TargetMode="External"/><Relationship Id="rIdaglb-3imaw_22sbn8mpkc" Type="http://schemas.openxmlformats.org/officeDocument/2006/relationships/hyperlink" Target="https://github.com/Farama-Foundation/HighwayEnv" TargetMode="External"/><Relationship Id="rIdkl0ztbvum5fia0wgsxvoa" Type="http://schemas.openxmlformats.org/officeDocument/2006/relationships/hyperlink" Target="https://github.com/liuzuxin/FSRL" TargetMode="External"/><Relationship Id="rId0lgftx5ptgnqpn9zfmjas" Type="http://schemas.openxmlformats.org/officeDocument/2006/relationships/hyperlink" Target="https://github.com/thu-ml/tianshou" TargetMode="External"/><Relationship Id="rIdw8fckis0ejnkl6gc_0o9k" Type="http://schemas.openxmlformats.org/officeDocument/2006/relationships/hyperlink" Target="https://github.com/PKU-Alignment/omnisafe" TargetMode="External"/><Relationship Id="rIdleyfo1rlsxgtgwhaf0aci" Type="http://schemas.openxmlformats.org/officeDocument/2006/relationships/hyperlink" Target="https://github.com/BonianHan/CS699-SafeRL-Project" TargetMode="External"/><Relationship Id="rId9" Type="http://schemas.openxmlformats.org/officeDocument/2006/relationships/image" Target="media/a082cda0748e64d4300a2e2d44145aae12302ac6.png"/><Relationship Id="rId10" Type="http://schemas.openxmlformats.org/officeDocument/2006/relationships/image" Target="media/296067355bc88756f645bcc7b6557d852a160bf3.png"/><Relationship Id="rId11" Type="http://schemas.openxmlformats.org/officeDocument/2006/relationships/image" Target="media/922528afd09c9d0e569022a92bb47b2e3752b234.png"/><Relationship Id="rId12" Type="http://schemas.openxmlformats.org/officeDocument/2006/relationships/image" Target="media/e8635aa444fed454546fd00afa3c6d334813d0be.png"/><Relationship Id="rId13" Type="http://schemas.openxmlformats.org/officeDocument/2006/relationships/image" Target="media/c7011d91fc56059097cc29282b68118f1bcf588d.png"/><Relationship Id="rId14" Type="http://schemas.openxmlformats.org/officeDocument/2006/relationships/image" Target="media/81c2f09757c497b757dbddc7f12f99be36381c5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 Automated Driving with Constrained RL — Final Report</dc:title>
  <dc:creator>Group 7  ·  CS 699 Spring 2026</dc:creator>
  <dc:description>Milestone 5 final project report.</dc:description>
  <cp:lastModifiedBy>Un-named</cp:lastModifiedBy>
  <cp:revision>1</cp:revision>
  <dcterms:created xsi:type="dcterms:W3CDTF">2026-05-04T01:46:15.488Z</dcterms:created>
  <dcterms:modified xsi:type="dcterms:W3CDTF">2026-05-04T01:46:15.491Z</dcterms:modified>
</cp:coreProperties>
</file>

<file path=docProps/custom.xml><?xml version="1.0" encoding="utf-8"?>
<Properties xmlns="http://schemas.openxmlformats.org/officeDocument/2006/custom-properties" xmlns:vt="http://schemas.openxmlformats.org/officeDocument/2006/docPropsVTypes"/>
</file>