
<file path=[Content_Types].xml><?xml version="1.0" encoding="utf-8"?>
<Types xmlns="http://schemas.openxmlformats.org/package/2006/content-types"/>
</file>

<file path=_rels/.rels><?xml version="1.0" encoding="UTF-8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The findings of Smith et al. (2020) align with the proposed mechanism.
This interpretation is consistent with prior work.</w:t>
      </w:r>
    </w:p>
  </w:body>
</w:document>
</file>

<file path=docProps/app.xml>
</file>

<file path=docProps/core.xml>
</file>