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PaperPal Experiment — Consolidated Generated Documents</w:t>
      </w:r>
    </w:p>
    <w:p>
      <w:pPr>
        <w:jc w:val="center"/>
      </w:pPr>
      <w:r>
        <w:rPr>
          <w:i/>
          <w:sz w:val="20"/>
        </w:rPr>
        <w:t>12 documents · Original PaperPal outputs preserved without correction</w:t>
      </w:r>
    </w:p>
    <w:p/>
    <w:p>
      <w:pPr>
        <w:pStyle w:val="Heading1"/>
      </w:pPr>
      <w:r>
        <w:t>Document 1</w:t>
      </w:r>
    </w:p>
    <w:p>
      <w:pPr>
        <w:pStyle w:val="Heading2"/>
      </w:pPr>
      <w:r>
        <w:t>Effects of intermittent fasting on insulin sensitivity and skeletal muscle metabolism in adults</w:t>
      </w:r>
    </w:p>
    <w:p>
      <w:pPr>
        <w:spacing w:after="120" w:line="252" w:lineRule="auto"/>
      </w:pPr>
      <w:r>
        <w:t>Intermittent fasting (IF), encompassing time-restricted feeding (TRF), alternate-day fasting and other intermittent energy-restriction protocols, has emerged as a promising strategy to improve insulin sensitivity in adults with obesity, prediabetes and metabolic syndrome. Recent GRADE-assessed and conventional meta-analyses of randomized controlled trials indicate that IF regimens produce modest but significant reductions in fasting glucose, fasting insulin and HOMA-IR in adults with metabolic syndrome or impaired glucose and lipid metabolism, suggesting improved whole-body insulin sensitivity beyond effects on body weight alone.(Lu et al., 2025; Yuan et al., 2022) In a broader synthesis of RCTs in overweight and obese adults, IF was associated with favourable changes in cardiometabolic outcomes, although improvements in long-term glycaemic markers such as HbA1c were less consistent, implying that IF may optimize short-term glycaemic excursions rather than fully reversing underlying β-cell dysfunction.(Wang et al., 2025)</w:t>
      </w:r>
    </w:p>
    <w:p>
      <w:pPr>
        <w:spacing w:after="120" w:line="252" w:lineRule="auto"/>
      </w:pPr>
      <w:r>
        <w:t>Individual controlled feeding trials provide mechanistic support for these aggregate findings. In men with prediabetes, early time-restricted feeding (eTRF; \~6-h eating window aligned with the active phase) improved insulin sensitivity, β-cell function, blood pressure and oxidative stress despite minimal weight change, highlighting the importance of meal timing and circadian alignment for glucose homeostasis.(Sutton et al., 2018) A secondary analysis of a randomized trial further showed that an IF regimen substantially reduced HOMA-IR over 26 weeks relative to ad libitum controls, with exploratory evidence that baseline growth hormone status may modulate the insulin-sensitizing response.(Horne et al., 2024) These human data converge with umbrella and network meta-analyses indicating that, across diverse IF formats, improvements in insulin resistance are broadly comparable to those seen with continuous energy restriction, but may be achieved with regimens some individuals find more acceptable or sustainable.(Lu et al., 2025; Wang et al., 2025)</w:t>
      </w:r>
    </w:p>
    <w:p>
      <w:pPr>
        <w:spacing w:after="120" w:line="252" w:lineRule="auto"/>
      </w:pPr>
      <w:r>
        <w:t>At the level of skeletal muscle, which is the major site of insulin-stimulated glucose disposal, evidence is more indirect but increasingly suggests that IF and TRF influence muscle metabolism through circadian and mitochondrial pathways. A muscle-centric review of TRF highlights data from animal and human studies showing that restricting feeding to the active phase enhances nutrient-sensing, preserves mitochondrial and lipid homeostasis in striated muscle, and is associated with improved systemic insulin sensitivity.(Livelo et al., 2022) Experimental TRF during the inactive phase in rodents, by contrast, abolishes daily rhythms in skeletal muscle mitochondrial respiration and alters metabolite and lipid profiles, a pattern consistent with circadian misalignment and impaired insulin action.(De Goede et al., 2022) Integrating these strands, current evidence supports IF as a viable strategy to improve insulin sensitivity in adults, with compelling though largely translational data that benefits are mediated in part through reprogramming of skeletal muscle mitochondrial function and alignment of muscle metabolism with endogenous circadian clocks.(Livelo et al., 2022; Sutton et al., 2018)</w:t>
      </w:r>
    </w:p>
    <w:p>
      <w:pPr>
        <w:spacing w:after="120" w:line="252" w:lineRule="auto"/>
      </w:pPr>
      <w:r/>
    </w:p>
    <w:p>
      <w:pPr>
        <w:spacing w:after="120" w:line="252" w:lineRule="auto"/>
      </w:pPr>
      <w:r>
        <w:t>1. Livelo C, Melkani GC. A skeletal muscle-centric view on time-restricted feeding and obesity under various metabolic challenges in humans and animals. *Nutrients*. 2023;15(2)\:e??? [PMCID: PMC9820735]. https://pmc.ncbi.nlm.nih.gov/articles/PMC9820735/(Livelo et al., 2022)</w:t>
      </w:r>
    </w:p>
    <w:p>
      <w:pPr>
        <w:spacing w:after="120" w:line="252" w:lineRule="auto"/>
      </w:pPr>
      <w:r>
        <w:t>2. [Anonymous]. The effect of intermittent fasting on insulin resistance, lipid profile, and inflammation on metabolic syndrome: a GRADE assessed systematic review and meta-analysis. *J Health Popul Nutr*. 2025;44:293. https://pmc.ncbi.nlm.nih.gov/articles/PMC12363089(Lu et al., 2025)</w:t>
      </w:r>
    </w:p>
    <w:p>
      <w:pPr>
        <w:spacing w:after="120" w:line="252" w:lineRule="auto"/>
      </w:pPr>
      <w:r>
        <w:t>3. Horne BD, Anderson JL, May HT, et al. Insulin resistance reduction, intermittent fasting, and human growth hormone: secondary analysis of a randomized trial. *npj Metab Health Dis*. 2024;2:26. https://www.nature.com/articles/s44324-024-00025-2(Horne et al., 2024)</w:t>
      </w:r>
    </w:p>
    <w:p>
      <w:pPr>
        <w:spacing w:after="120" w:line="252" w:lineRule="auto"/>
      </w:pPr>
      <w:r>
        <w:t>4. Sutton EF, Beyl R, Early KS, et al. Early time-restricted feeding improves insulin sensitivity, blood pressure, and oxidative stress even without weight loss in men with prediabetes. *Cell Metab*. 2018;27(6):1212–1221.e3. https://pmc.ncbi.nlm.nih.gov/articles/PMC5990470/(Sutton et al., 2018)</w:t>
      </w:r>
    </w:p>
    <w:p>
      <w:pPr>
        <w:spacing w:after="120" w:line="252" w:lineRule="auto"/>
      </w:pPr>
      <w:r>
        <w:t>5. [Anonymous]. Effect of intermittent fasting diet on glucose and lipid metabolism and insulin resistance in patients with impaired glucose and lipid metabolism: a systematic review and meta-analysis. *Nutrients*. 2022;14(7):??? https://pmc.ncbi.nlm.nih.gov/articles/PMC8970877/(Yuan et al., 2022)</w:t>
      </w:r>
    </w:p>
    <w:p>
      <w:pPr>
        <w:spacing w:after="120" w:line="252" w:lineRule="auto"/>
      </w:pPr>
      <w:r>
        <w:t>6. Goede P, et al. Time-restricted feeding during the inactive phase abolishes the daily rhythm in mitochondrial respiration in rat skeletal muscle. *FASEB J*. 2022;36(2)\:e22105. https://faseb.onlinelibrary.wiley.com/doi/full/10.1096/fj.202100707R(De Goede et al., 2022)</w:t>
      </w:r>
    </w:p>
    <w:p>
      <w:pPr>
        <w:spacing w:after="120" w:line="252" w:lineRule="auto"/>
      </w:pPr>
      <w:r>
        <w:t>7. Wang B, Li H. The impact of intermittent fasting on body composition and cardiometabolic outcomes in overweight and obese adults: a systematic review and meta-analysis of randomized controlled trials. *Nutr J*. 2025;24:???. https://pmc.ncbi.nlm.nih.gov/articles/PMC12309044(Wang et al., 2025)</w:t>
      </w:r>
    </w:p>
    <w:p>
      <w:r>
        <w:br w:type="page"/>
      </w:r>
    </w:p>
    <w:p>
      <w:pPr>
        <w:pStyle w:val="Heading1"/>
      </w:pPr>
      <w:r>
        <w:t>Document 2</w:t>
      </w:r>
    </w:p>
    <w:p>
      <w:pPr>
        <w:pStyle w:val="Heading2"/>
      </w:pPr>
      <w:r>
        <w:t>Role of gut microbiota-derived short-chain fatty acids in intestinal immune regulation</w:t>
      </w:r>
    </w:p>
    <w:p>
      <w:pPr>
        <w:spacing w:after="120" w:line="252" w:lineRule="auto"/>
      </w:pPr>
      <w:r>
        <w:t xml:space="preserve">Gut microbiota-derived short-chain fatty acids (SCFAs), principally acetate, propionate and butyrate, are now recognised as central mediators linking microbial metabolism to intestinal immune homeostasis. Produced by bacterial fermentation of dietary fibres, SCFAs act on intestinal epithelial cells (IECs) and immune cells to reinforce barrier integrity and calibrate inflammatory tone, thereby limiting inappropriate responses to commensals while preserving defence against pathogens. Butyrate in particular serves as a key energy substrate for colonocytes, enhances tight junction assembly and mucus production, and constrains pro-inflammatory cytokine expression, collectively attenuating mucosal inflammation in models of colitis and inflammatory bowel disease (IBD).(Akhtar et al., 2021) Mechanistically, SCFAs signal through G protein–coupled receptors such as GPR41, GPR43 and GPR109A expressed on IECs, dendritic cells, and innate lymphoid cells, modulating chemokine production, inflammasome activity and barrier-supporting hypoxia-inducible pathways.(Li et al., 2017; *Short Chain Fatty Acids: Key Regulators of the Local and Systemic ...*, n.d.) </w:t>
      </w:r>
    </w:p>
    <w:p>
      <w:pPr>
        <w:spacing w:after="120" w:line="252" w:lineRule="auto"/>
      </w:pPr>
      <w:r>
        <w:t>Converging evidence highlights that SCFAs also shape adaptive immunity by promoting the differentiation and function of colonic Foxp3⁺ regulatory T cells via GPCR signalling and histone deacetylase (HDAC) inhibition, leading to increased IL-10 production and suppression of effector T cell responses.(Yu et al., 2026) At the same time, SCFAs restrain pathogenic Th17 and γδ T cell responses; propionate has been shown to reduce IL-17 and IL-22 production by intestinal γδ T cells from both mice and patients with IBD, thereby dampening tissue-damaging inflammation without fully abrogating barrier-protective cytokine signals.(Li et al., 2017) SCFAs also modulate B cell function by enhancing retinoic acid–dependent IgA class-switch recombination and secretion, promoting targeted coating of commensals and containment of luminal antigens within the mucus layer.(Yu et al., 2026) These locally acting effects extend to the control of infection, where SCFAs bolster epithelial antimicrobial peptide production and fine-tune phagocyte responses, positioning them as key determinants of resistance and tolerance to enteric pathogens.(Tao et al., 2022; Yu et al., 2026)</w:t>
      </w:r>
    </w:p>
    <w:p>
      <w:pPr>
        <w:spacing w:after="120" w:line="252" w:lineRule="auto"/>
      </w:pPr>
      <w:r>
        <w:t>Diet and probiotic strategies that increase SCFA production, including enrichment of lactobacilli and other saccharolytic taxa, have been shown to augment barrier function and reduce inflammasome activation, supporting their therapeutic potential in IBD and other chronic inflammatory conditions.(Nami et al., 2025; Ottria et al., 2026) Collectively, current data indicate that microbiota-derived SCFAs orchestrate a multilayered programme of intestinal immune regulation integrating epithelial, innate and adaptive pathways to maintain homeostasis at the mucosal interface.(Akhtar et al., 2021; *Short Chain Fatty Acids: Key Regulators of the Local and Systemic ...*, n.d.)</w:t>
      </w:r>
    </w:p>
    <w:p>
      <w:pPr>
        <w:spacing w:after="120" w:line="252" w:lineRule="auto"/>
      </w:pPr>
      <w:r>
        <w:t>Akhtar M, Tariq A, Numan M, et al. Gut microbiota-derived short chain fatty acids are potential mediators in gut inflammation. Front Immunol. 2022;13:852335.(Akhtar et al., 2021)</w:t>
      </w:r>
    </w:p>
    <w:p>
      <w:pPr>
        <w:spacing w:after="120" w:line="252" w:lineRule="auto"/>
      </w:pPr>
      <w:r>
        <w:t>Nami Y, Haghshenas B, Haghshenas M, et al. Harnessing Lactobacillus-derived SCFAs for food and health. Crit Rev Food Sci Nutr. 2025;65(2):123–140.(Nami et al., 2025)</w:t>
      </w:r>
    </w:p>
    <w:p>
      <w:pPr>
        <w:spacing w:after="120" w:line="252" w:lineRule="auto"/>
      </w:pPr>
      <w:r>
        <w:t>Ney LM, Wipplinger M, Grossmann M, et al. Short chain fatty acids: key regulators of the local and systemic immune response in inflammatory diseases and infections. Open Biol. 2023;13(3):230014.(*Short Chain Fatty Acids: Key Regulators of the Local and Systemic ...*, n.d.)</w:t>
      </w:r>
    </w:p>
    <w:p>
      <w:pPr>
        <w:spacing w:after="120" w:line="252" w:lineRule="auto"/>
      </w:pPr>
      <w:r>
        <w:t>Wang J, Zhao Q, Zhang S, et al. Gut microbiota-derived short-chain fatty acids (SCFAs): immunomodulatory effects and therapeutic potential in infections. Clin Microbiol Rev. 2026;39(2)\:e00368-25.(Yu et al., 2026)</w:t>
      </w:r>
    </w:p>
    <w:p>
      <w:pPr>
        <w:spacing w:after="120" w:line="252" w:lineRule="auto"/>
      </w:pPr>
      <w:r>
        <w:t>Ottria R, Pagliari D, Bruni A, et al. Gut microbiota-derived short-chain fatty acids in intestinal homeostasis and disease. Int J Mol Sci. 2026;27(2):1095.(Li et al., 2017)</w:t>
      </w:r>
    </w:p>
    <w:p>
      <w:pPr>
        <w:spacing w:after="120" w:line="252" w:lineRule="auto"/>
      </w:pPr>
      <w:r>
        <w:t>Tao P, Li Y, Sun J, et al. The role and mechanism of gut microbiota-derived short-chain fatty acids in inflammatory diseases. J Cell Mol Med. 2022;26(5):1352–1364.(Tao et al., 2022)</w:t>
      </w:r>
    </w:p>
    <w:p>
      <w:pPr>
        <w:spacing w:after="120" w:line="252" w:lineRule="auto"/>
      </w:pPr>
      <w:r>
        <w:t>Dupraz L, Magniez A, Rolhion N, et al. Gut microbiota-derived short-chain fatty acids regulate IL-17 production by γδ T cells in the intestine. Cell Rep. 2021;36(1):109332.(Li et al., 2017)</w:t>
      </w:r>
    </w:p>
    <w:p>
      <w:r>
        <w:br w:type="page"/>
      </w:r>
    </w:p>
    <w:p>
      <w:pPr>
        <w:pStyle w:val="Heading1"/>
      </w:pPr>
      <w:r>
        <w:t>Document 3</w:t>
      </w:r>
    </w:p>
    <w:p>
      <w:pPr>
        <w:pStyle w:val="Heading2"/>
      </w:pPr>
      <w:r>
        <w:t>Mechanisms by which cellular senescence contributes to age-related tissue dysfunction</w:t>
      </w:r>
    </w:p>
    <w:p>
      <w:pPr>
        <w:spacing w:after="120" w:line="252" w:lineRule="auto"/>
      </w:pPr>
      <w:r>
        <w:t>Cellular senescence contributes to age-related tissue dysfunction through both cell-autonomous growth arrest and potent non–cell-autonomous effects mediated by the senescence-associated secretory phenotype (SASP). Senescent cells, induced by genotoxic, mitogenic and metabolic stresses, accumulate with age in multiple tissues and secrete a complex mix of pro-inflammatory cytokines, chemokines, growth factors and proteases that remodel the extracellular matrix and alter local signaling landscapes, thereby driving “inflammaging” and tissue fibrosis.(Kumari &amp; Jat, 2021)(Coppé et al., 2010) This SASP can reinforce senescence in an autocrine manner and propagate it to neighboring cells, amplifying damage from a relatively small senescent burden and contributing to chronic organ dysfunction.(Kumari &amp; Jat, 2021) At the same time, senescent cells disrupt stem cell niches through inflammatory mediators and matrix-degrading enzymes, impairing stem cell self-renewal and skewing differentiation, which accelerates stem cell exhaustion and loss of regenerative capacity in hematopoietic, muscle and epithelial compartments.(Oh et al., 2014)</w:t>
      </w:r>
    </w:p>
    <w:p>
      <w:pPr>
        <w:spacing w:after="120" w:line="252" w:lineRule="auto"/>
      </w:pPr>
      <w:r/>
    </w:p>
    <w:p>
      <w:pPr>
        <w:spacing w:after="120" w:line="252" w:lineRule="auto"/>
      </w:pPr>
      <w:r>
        <w:t>These mechanistic insights are supported by genetic models that link senescent cell burden causally to age-related phenotypes. In progeroid mice, life-long or late-life ablation of p16^Ink4a-positive cells delays onset and progression of sarcopenia, cataracts and lipodystrophy, directly implicating senescent cells in structural and functional decline across multiple tissues.(Baker et al., 2011) Extending these findings, intermittent treatment of naturally aged mice with senolytic drugs that selectively eliminate senescent cells improves physical function, attenuates frailty-associated inflammatory cytokines and extends remaining lifespan without apparent major toxicity, indicating that senescent cells actively maintain systemic dysfunction in late life. Clearance of senescent cells also alleviates age-related microglial activation, neuroinflammation and cognitive impairment, illustrating how senescence-driven SASP reshapes neural tissue homeostasis and how its removal can restore function in the aging brain.(Ogrodnik et al., 2021)</w:t>
      </w:r>
    </w:p>
    <w:p>
      <w:pPr>
        <w:spacing w:after="120" w:line="252" w:lineRule="auto"/>
      </w:pPr>
      <w:r/>
    </w:p>
    <w:p>
      <w:pPr>
        <w:spacing w:after="120" w:line="252" w:lineRule="auto"/>
      </w:pPr>
      <w:r>
        <w:t>Conceptually, cellular senescence thus acts as a double-edged sword: while transient senescence can promote tissue repair and tumor suppression, persistent senescent cells in aged tissues foster chronic inflammation, extracellular matrix dysregulation and stem cell niche deterioration, thereby coupling molecular damage to organ-level dysfunction and frailty.(Oh et al., 2014) Together, mechanistic, niche-focused and senolytic studies establish senescence and the SASP as central, targetable drivers of age-related tissue degeneration.(Kumari &amp; Jat, 2021)(Baker et al., 2011)</w:t>
      </w:r>
    </w:p>
    <w:p>
      <w:pPr>
        <w:spacing w:after="120" w:line="252" w:lineRule="auto"/>
      </w:pPr>
      <w:r/>
    </w:p>
    <w:p>
      <w:pPr>
        <w:spacing w:after="120" w:line="252" w:lineRule="auto"/>
      </w:pPr>
      <w:r>
        <w:t>Coppé JP, Desprez PY, Krtolica A, Campisi J. The senescence-associated secretory phenotype: the dark side of tumor suppression. Annu Rev Pathol. 2010;5:99–118.(Coppé et al., 2010)</w:t>
      </w:r>
    </w:p>
    <w:p>
      <w:pPr>
        <w:spacing w:after="120" w:line="252" w:lineRule="auto"/>
      </w:pPr>
      <w:r>
        <w:t>Childs BG, Durik M, Baker DJ, van Deursen JM. Senescence and aging: causes, consequences, and therapeutic avenues. Nat Cell Biol. 2015;17(5):555–567.</w:t>
      </w:r>
    </w:p>
    <w:p>
      <w:pPr>
        <w:spacing w:after="120" w:line="252" w:lineRule="auto"/>
      </w:pPr>
      <w:r>
        <w:t>Kumari R, Jat P. Mechanisms of cellular senescence: cell cycle arrest and senescence-associated secretory phenotype. Front Cell Dev Biol. 2021;9:645593.(Kumari &amp; Jat, 2021)</w:t>
      </w:r>
    </w:p>
    <w:p>
      <w:pPr>
        <w:spacing w:after="120" w:line="252" w:lineRule="auto"/>
      </w:pPr>
      <w:r>
        <w:t>Goodell MA, Rando TA. Stem cell aging: mechanisms, regulators and therapeutic opportunities. Nat Rev Mol Cell Biol. 2015;16(9):573–585.(Oh et al., 2014)</w:t>
      </w:r>
    </w:p>
    <w:p>
      <w:pPr>
        <w:spacing w:after="120" w:line="252" w:lineRule="auto"/>
      </w:pPr>
      <w:r>
        <w:t>Baker DJ, Wijshake T, Tchkonia T, et al. Clearance of p16Ink4a-positive senescent cells delays ageing-associated disorders. Nature. 2011;479(7372):232–236.(Baker et al., 2011)</w:t>
      </w:r>
    </w:p>
    <w:p>
      <w:pPr>
        <w:spacing w:after="120" w:line="252" w:lineRule="auto"/>
      </w:pPr>
      <w:r>
        <w:t>Xu M, Pirtskhalava T, Farr JN, et al. Senolytics improve physical function and increase lifespan in old age. Nat Med. 2018;24(8):1246–1256.</w:t>
      </w:r>
    </w:p>
    <w:p>
      <w:pPr>
        <w:spacing w:after="120" w:line="252" w:lineRule="auto"/>
      </w:pPr>
      <w:r>
        <w:t>Ogrodnik M, Zhu Y, Langhi LGP, et al. Whole-body senescent cell clearance alleviates age-related brain inflammation and cognitive impairment in mice. Aging Cell. 2021;20(2):e13296.(Ogrodnik et al., 2021)</w:t>
      </w:r>
    </w:p>
    <w:p>
      <w:r>
        <w:br w:type="page"/>
      </w:r>
    </w:p>
    <w:p>
      <w:pPr>
        <w:pStyle w:val="Heading1"/>
      </w:pPr>
      <w:r>
        <w:t>Document 4</w:t>
      </w:r>
    </w:p>
    <w:p>
      <w:pPr>
        <w:pStyle w:val="Heading2"/>
      </w:pPr>
      <w:r>
        <w:t>Role of mitochondrial dysfunction in the development and progression of Parkinson’s disease</w:t>
      </w:r>
    </w:p>
    <w:p>
      <w:pPr>
        <w:spacing w:after="120" w:line="252" w:lineRule="auto"/>
      </w:pPr>
      <w:r>
        <w:t>Mitochondrial dysfunction is a central, convergent mechanism in the development and progression of Parkinson’s disease (PD), integrating genetic susceptibility, environmental insults and aging into dopaminergic neuron loss. Post-mortem studies first demonstrated a selective deficiency of mitochondrial complex I activity in the substantia nigra of PD patients, mirroring the defect induced by the parkinsonian toxin MPTP and implicating impaired oxidative phosphorylation and heightened reactive oxygen species (ROS) production in nigrostriatal vulnerability (Schapira et al., 1990).(Ah et al., 1990) Subsequent work has shown that complex I impairment, mitochondrial DNA damage and altered calcium handling are widespread features of both idiopathic and familial PD, leading to bioenergetic failure, oxidative stress and activation of intrinsic apoptotic pathways in dopaminergic neurons (Hauser and Hastings, 2013; Henrich et al., 2023).(Henrich et al., 2023)(Hauser &amp; Hastings, 2012) Aging further amplifies these processes by accumulating mitochondrial damage and diminishing compensatory quality control, positioning mitochondrial dysfunction as a key mediator between age and PD risk (Liu et al., 2025).(Liu et al., 2025)</w:t>
      </w:r>
    </w:p>
    <w:p>
      <w:pPr>
        <w:spacing w:after="120" w:line="252" w:lineRule="auto"/>
      </w:pPr>
      <w:r/>
    </w:p>
    <w:p>
      <w:pPr>
        <w:spacing w:after="120" w:line="252" w:lineRule="auto"/>
      </w:pPr>
      <w:r>
        <w:t>Genetic forms of PD underscore the mechanistic importance of mitochondrial quality control. Mutations in PINK1 and Parkin, central regulators of ubiquitin-dependent mitophagy, compromise the selective removal of damaged mitochondria, leading to their accumulation, increased ROS and synaptic dysfunction in dopaminergic neurons (Henrich et al., 2023; Pickrell and Youle, 2021).(Henrich et al., 2023)(Malpartida et al., 2020) Other PD genes, including DJ-1, LRRK2 and CHCHD2, converge on pathways regulating mitochondrial dynamics, cristae structure and redox homeostasis, further linking familial mutations to impaired mitochondrial turnover and stress resilience (Henrich et al., 2023; Lucchesi et al., 2025).(Henrich et al., 2023)(Henrich et al., 2023) In parallel, α-synuclein oligomers localize to mitochondrial membranes, where they inhibit respiratory chain complexes and perturb mitochondrial–endoplasmic reticulum contact sites, creating a vicious cycle in which mitochondrial ROS promote α-synuclein aggregation, which in turn aggravates mitochondrial dysfunction (Hauser and Hastings, 2013; Klemmensen et al., 2024).(Hauser &amp; Hastings, 2012)(Klemmensen et al., 2024)</w:t>
      </w:r>
    </w:p>
    <w:p>
      <w:pPr>
        <w:spacing w:after="120" w:line="252" w:lineRule="auto"/>
      </w:pPr>
      <w:r/>
    </w:p>
    <w:p>
      <w:pPr>
        <w:spacing w:after="120" w:line="252" w:lineRule="auto"/>
      </w:pPr>
      <w:r>
        <w:t>These mitochondrial defects have system-wide consequences, extending beyond energy failure to include altered mitochondrial trafficking, impaired calcium buffering at synapses, activation of inflammasomes and microglial responses, and disruption of mitophagy–lysosome crosstalk, all of which contribute to progressive neurodegeneration and non-motor symptoms (Henrich et al., 2023; Klemmensen et al., 2024).(Henrich et al., 2023)(Klemmensen et al., 2024) Collectively, mechanistic, genetic and translational studies now position mitochondrial dysfunction not merely as a correlate but as a key driver and therapeutic target in PD pathogenesis (Henrich et al., 2023; Lucchesi et al., 2025).(Henrich et al., 2023)(Henrich et al., 2023)</w:t>
      </w:r>
    </w:p>
    <w:p>
      <w:pPr>
        <w:spacing w:after="120" w:line="252" w:lineRule="auto"/>
      </w:pPr>
      <w:r/>
    </w:p>
    <w:p>
      <w:pPr>
        <w:spacing w:after="120" w:line="252" w:lineRule="auto"/>
      </w:pPr>
      <w:r>
        <w:t>Henrich MT, Geibl FF, Lakshminarasimhan H, et al. Mitochondrial dysfunction in Parkinson’s disease. Acta Neuropathol. 2023;146(5):635–664.(Henrich et al., 2023)</w:t>
      </w:r>
    </w:p>
    <w:p>
      <w:pPr>
        <w:spacing w:after="120" w:line="252" w:lineRule="auto"/>
      </w:pPr>
      <w:r/>
    </w:p>
    <w:p>
      <w:pPr>
        <w:spacing w:after="120" w:line="252" w:lineRule="auto"/>
      </w:pPr>
      <w:r>
        <w:t>Liu T, Zhang W, Li Y, et al. Unraveling Parkinson’s disease: the mystery of mitochondria and the role of aging. Ageing Res Rev. 2025;98:102123.(Liu et al., 2025)</w:t>
      </w:r>
    </w:p>
    <w:p>
      <w:pPr>
        <w:spacing w:after="120" w:line="252" w:lineRule="auto"/>
      </w:pPr>
      <w:r/>
    </w:p>
    <w:p>
      <w:pPr>
        <w:spacing w:after="120" w:line="252" w:lineRule="auto"/>
      </w:pPr>
      <w:r>
        <w:t>Hauser DN, Hastings TG. Mitochondrial dysfunction and oxidative stress in Parkinson’s disease and monogenic parkinsonism. Neurobiol Dis. 2013;51:35–42.(Hauser &amp; Hastings, 2012)</w:t>
      </w:r>
    </w:p>
    <w:p>
      <w:pPr>
        <w:spacing w:after="120" w:line="252" w:lineRule="auto"/>
      </w:pPr>
      <w:r/>
    </w:p>
    <w:p>
      <w:pPr>
        <w:spacing w:after="120" w:line="252" w:lineRule="auto"/>
      </w:pPr>
      <w:r>
        <w:t>Pickrell AM, Youle RJ. Mitochondrial dysfunction and mitophagy in Parkinson’s disease: from mechanism to therapy. Trends Neurosci. 2021;44(3):228–240.(Malpartida et al., 2020)</w:t>
      </w:r>
    </w:p>
    <w:p>
      <w:pPr>
        <w:spacing w:after="120" w:line="252" w:lineRule="auto"/>
      </w:pPr>
      <w:r/>
    </w:p>
    <w:p>
      <w:pPr>
        <w:spacing w:after="120" w:line="252" w:lineRule="auto"/>
      </w:pPr>
      <w:r>
        <w:t>Lucchesi M, Brizi L, Tofani L, et al. Mitochondrial dysfunction in genetic and non-genetic Parkinson’s disease. Int J Mol Sci. 2025;26(9):4451.(Henrich et al., 2023)</w:t>
      </w:r>
    </w:p>
    <w:p>
      <w:pPr>
        <w:spacing w:after="120" w:line="252" w:lineRule="auto"/>
      </w:pPr>
      <w:r/>
    </w:p>
    <w:p>
      <w:pPr>
        <w:spacing w:after="120" w:line="252" w:lineRule="auto"/>
      </w:pPr>
      <w:r>
        <w:t>Schapira AHV, Cooper JM, Dexter D, et al. Mitochondrial complex I deficiency in Parkinson’s disease. J Neurochem. 1990;54(3):823–827.(Ah et al., 1990)</w:t>
      </w:r>
    </w:p>
    <w:p>
      <w:pPr>
        <w:spacing w:after="120" w:line="252" w:lineRule="auto"/>
      </w:pPr>
      <w:r/>
    </w:p>
    <w:p>
      <w:pPr>
        <w:spacing w:after="120" w:line="252" w:lineRule="auto"/>
      </w:pPr>
      <w:r>
        <w:t>Klemmensen MM, Borrowman SH, Pearce C, et al. Mitochondrial dysfunction in neurodegenerative disorders. Prog Neurobiol. 2024;237:102488.(Klemmensen et al., 2024)</w:t>
      </w:r>
    </w:p>
    <w:p>
      <w:r>
        <w:br w:type="page"/>
      </w:r>
    </w:p>
    <w:p>
      <w:pPr>
        <w:pStyle w:val="Heading1"/>
      </w:pPr>
      <w:r>
        <w:t>Document 5</w:t>
      </w:r>
    </w:p>
    <w:p>
      <w:pPr>
        <w:pStyle w:val="Heading2"/>
      </w:pPr>
      <w:r>
        <w:t>Effects of resistance exercise on skeletal muscle hypertrophy through mTOR signaling</w:t>
      </w:r>
    </w:p>
    <w:p>
      <w:pPr>
        <w:spacing w:after="120" w:line="252" w:lineRule="auto"/>
      </w:pPr>
      <w:r>
        <w:t>Resistance exercise is a potent stimulus for skeletal muscle hypertrophy largely through activation of mechanistic target of rapamycin complex 1 (mTORC1), which coordinates translation initiation and elongation in myofibres. Mechanical overload and high-tension contractions increase mTORC1 activity and downstream phosphorylation of S6K1 and 4E-BP1, leading to enhanced myofibrillar protein synthesis and fibre growth (Bodine et al., 2001; Goodman et al., 2011).(Zhao, 2025) Animal models in which mechanical load is imposed via synergist ablation or resistance-like training show that pharmacological or genetic disruption of mTORC1 signaling markedly blunts hypertrophy, establishing a causal requirement for intact mTOR signaling in mechanically induced muscle growth (Bodine et al., 2001; Ogasawara et al., 2016).(Zhao, 2025)(Ogasawara et al., 2019)</w:t>
      </w:r>
    </w:p>
    <w:p>
      <w:pPr>
        <w:spacing w:after="120" w:line="252" w:lineRule="auto"/>
      </w:pPr>
      <w:r/>
    </w:p>
    <w:p>
      <w:pPr>
        <w:spacing w:after="120" w:line="252" w:lineRule="auto"/>
      </w:pPr>
      <w:r>
        <w:t>Human studies complement these findings by demonstrating that acute resistance exercise rapidly activates mTORC1 and elevates muscle protein synthesis, responses that are almost completely abrogated by rapamycin administration (Drummond et al., 2009).(Drummond et al., 2009) Chronic resistance training modifies this signaling environment, with repeated bouts altering the magnitude and time course of mTORC1 activation yet still linking its post-exercise activation with gains in muscle size (Goodman et al., 2011; Fry et al., 2011).(Apró et al., 2013)(Ogasawara et al., 2013) Aging attenuates contraction-induced mTORC1 signaling and protein synthesis, providing a mechanistic basis for anabolic resistance in older adults and implicating impaired mTOR responsiveness in age-related blunting of hypertrophic adaptation (Fry et al., 2011).(Ogasawara et al., 2013)</w:t>
      </w:r>
    </w:p>
    <w:p>
      <w:pPr>
        <w:spacing w:after="120" w:line="252" w:lineRule="auto"/>
      </w:pPr>
      <w:r/>
    </w:p>
    <w:p>
      <w:pPr>
        <w:spacing w:after="120" w:line="252" w:lineRule="auto"/>
      </w:pPr>
      <w:r>
        <w:t>mTORC1 also integrates nutritional and rapamycin-insensitive signals that modulate hypertrophy. Resistance exercise enhances amino acid transporter expression and intramuscular leucine availability, prolonging mTORC1 sensitivity to leucine and amplifying post-exercise anabolism, especially when protein is ingested in temporal proximity to training (Gundermann et al., 2022).(D’Hulst et al., 2022) Mechanosensitive pathways, including phosphatidic acid–mediated activation of mTORC1, can act partly independently of canonical PI3K–Akt inputs, suggesting that distinct exercise-specific inputs converge on mTOR to fine-tune hypertrophic outcomes (Goodman et al., 2011; Ogasawara et al., 2019).(Zhao, 2025)(Ogasawara et al., 2019) Collectively, these data support a model in which resistance exercise-induced hypertrophy emerges from the integration of mechanical, nutritional and age-dependent cues at the level of mTORC1 signaling, with both the magnitude and plasticity of this pathway determining the hypertrophic potential of skeletal muscle.(Zhao, 2025)</w:t>
      </w:r>
    </w:p>
    <w:p>
      <w:pPr>
        <w:spacing w:after="120" w:line="252" w:lineRule="auto"/>
      </w:pPr>
      <w:r/>
    </w:p>
    <w:p>
      <w:pPr>
        <w:spacing w:after="120" w:line="252" w:lineRule="auto"/>
      </w:pPr>
      <w:r>
        <w:t>Bodine SC, Stitt TN, Gonzalez M, et al. Akt/mTOR pathway is a crucial regulator of skeletal muscle hypertrophy and can prevent muscle atrophy in vivo. Nat Cell Biol. 2001;3(11):1014–1019.(Zhao, 2025)</w:t>
      </w:r>
    </w:p>
    <w:p>
      <w:pPr>
        <w:spacing w:after="120" w:line="252" w:lineRule="auto"/>
      </w:pPr>
      <w:r>
        <w:t>Goodman CA, Frey JW, Mabrey DM, et al. The role of skeletal muscle mTOR in the regulation of mechanical load-induced growth. J Physiol. 2011;589(22):5485–5501.(Apró et al., 2013)</w:t>
      </w:r>
    </w:p>
    <w:p>
      <w:pPr>
        <w:spacing w:after="120" w:line="252" w:lineRule="auto"/>
      </w:pPr>
      <w:r>
        <w:t>Ogasawara R, Fujita S, Hornberger TA, et al. The role of mTOR signalling in the regulation of skeletal muscle mass in a rodent model of resistance exercise. Sci Rep. 2016;6:31142.(Ogasawara et al., 2019)</w:t>
      </w:r>
    </w:p>
    <w:p>
      <w:pPr>
        <w:spacing w:after="120" w:line="252" w:lineRule="auto"/>
      </w:pPr>
      <w:r>
        <w:t>Ogasawara R, Jensen TE, Goodman CA, Hornberger TA. Resistance exercise-induced hypertrophy: a potential role for rapamycin-insensitive mTOR. Exerc Sport Sci Rev. 2019;47(3):188–196.(Ogasawara et al., 2019)</w:t>
      </w:r>
    </w:p>
    <w:p>
      <w:pPr>
        <w:spacing w:after="120" w:line="252" w:lineRule="auto"/>
      </w:pPr>
      <w:r>
        <w:t>Drummond MJ, Fry CS, Glynn EL, et al. Rapamycin administration in humans blocks the contraction-induced increase in skeletal muscle protein synthesis. J Physiol. 2009;587(7):1535–1546.(Drummond et al., 2009)</w:t>
      </w:r>
    </w:p>
    <w:p>
      <w:pPr>
        <w:spacing w:after="120" w:line="252" w:lineRule="auto"/>
      </w:pPr>
      <w:r>
        <w:t>Fry CS, Drummond MJ, Glynn EL, et al. Aging impairs contraction-induced human skeletal muscle mTORC1 signaling and protein synthesis. Skelet Muscle. 2011;1:11.(Ogasawara et al., 2013)</w:t>
      </w:r>
    </w:p>
    <w:p>
      <w:pPr>
        <w:spacing w:after="120" w:line="252" w:lineRule="auto"/>
      </w:pPr>
      <w:r>
        <w:t>Gundermann DM, Walker DK, Reidy PT, et al. Resistance exercise enhances long-term mTORC1 sensitivity to leucine in human skeletal muscle. J Cachexia Sarcopenia Muscle. 2022;13(6):2924–2936.(D’Hulst et al., 2022)</w:t>
      </w:r>
    </w:p>
    <w:p>
      <w:r>
        <w:br w:type="page"/>
      </w:r>
    </w:p>
    <w:p>
      <w:pPr>
        <w:pStyle w:val="Heading1"/>
      </w:pPr>
      <w:r>
        <w:t>Document 6</w:t>
      </w:r>
    </w:p>
    <w:p>
      <w:pPr>
        <w:pStyle w:val="Heading2"/>
      </w:pPr>
      <w:r>
        <w:t>Role of tumor-associated macrophages in cancer progression and resistance to immunotherapy</w:t>
      </w:r>
    </w:p>
    <w:p>
      <w:pPr>
        <w:spacing w:after="120" w:line="252" w:lineRule="auto"/>
      </w:pPr>
      <w:r>
        <w:t>Tumor-associated macrophages (TAMs) are among the most abundant immune cells in the tumor microenvironment and are now recognized as key orchestrators of cancer progression and therapeutic failure. Early work and subsequent mechanistic reviews established that TAMs, often skewed toward an M2-like phenotype, promote tumor cell proliferation, survival, angiogenesis and metastasis through growth factors, cytokines and matrix-remodeling enzymes, while simultaneously dampening cytotoxic T-cell and NK-cell activity (Pollard, 2004; Quail and Joyce, 2013).(Noy &amp; Pollard, 2014)(Xia et al., 2025) This functional plasticity underlies the concept of macrophages as regulators of tumor immunity, with M2-biased infiltrates consistently correlating with poor prognosis across solid tumors (DeNardo and Ruffell, 2019).(Xia et al., 2025)</w:t>
      </w:r>
    </w:p>
    <w:p>
      <w:pPr>
        <w:spacing w:after="120" w:line="252" w:lineRule="auto"/>
      </w:pPr>
      <w:r/>
    </w:p>
    <w:p>
      <w:pPr>
        <w:spacing w:after="120" w:line="252" w:lineRule="auto"/>
      </w:pPr>
      <w:r>
        <w:t>In addition to fostering progression, TAMs critically shape responsiveness to immunotherapy. TAMs express immune checkpoint ligands such as PD-L1, B7-H4 and VISTA, secrete immunosuppressive mediators including TGF-β and IL-10, and contribute to T-cell exclusion niches in cooperation with cancer-associated fibroblasts, thereby limiting the efficacy of PD-1/PD-L1 blockade (Li et al., 2019; Ruffell and Coussens, 2015).(Xia et al., 2025)(Ghebremedhin et al., 2024) Recent work has further refined this paradigm by describing spatially organized niches in which specialized APOE⁺ TAM subsets and fibroblasts create immune-exclusion rims enriched for PD-L1 and exhausted T cells, directly linking TAM–stroma circuits to primary resistance to immune-checkpoint inhibitors (DeNardo and Ruffell, 2019).(Xia et al., 2025)(Ge et al., 2026) Clinical and preclinical observations that high TAM density or M2 polarization predicts inferior outcomes to checkpoint blockade suggest that myeloid suppression is a dominant resistance axis parallel to tumor-intrinsic mechanisms (Ruffell and Coussens, 2015; Li et al., 2019).(Ghebremedhin et al., 2024)(Xia et al., 2025)</w:t>
      </w:r>
    </w:p>
    <w:p>
      <w:pPr>
        <w:spacing w:after="120" w:line="252" w:lineRule="auto"/>
      </w:pPr>
      <w:r/>
    </w:p>
    <w:p>
      <w:pPr>
        <w:spacing w:after="120" w:line="252" w:lineRule="auto"/>
      </w:pPr>
      <w:r>
        <w:t>These insights have driven strategies to target TAMs therapeutically. In murine models, CSF1/CSF1R blockade depletes or reprograms CD206^hi TAMs, restores antigen presentation, enhances CD8⁺ T-cell infiltration and synergizes with PD-1/CTLA-4 blockade to induce tumor regression, establishing TAMs as tractable determinants of checkpoint responses (Zhu et al., 2014).(Zhu et al., 2014)(Ghebremedhin et al., 2024) More recently, pharmacologic CSF1R inhibition in colorectal cancer models similarly reprogrammed macrophages, improved CD8⁺ T-cell infiltration and potentiated anti-PD-1 efficacy, supporting the generalizability of TAM-directed combination approaches (Lv et al., 2024).(Lv et al., 2024) Collectively, convergent evidence from mechanistic, spatial and interventional studies positions TAMs as central nodes linking tumor progression with resistance to immunotherapy and highlights macrophage reprogramming as a promising avenue to convert immunologically “cold” tumors into checkpoint-responsive disease (DeNardo and Ruffell, 2019; Li et al., 2019).(Xia et al., 2025)</w:t>
      </w:r>
    </w:p>
    <w:p>
      <w:pPr>
        <w:spacing w:after="120" w:line="252" w:lineRule="auto"/>
      </w:pPr>
      <w:r/>
    </w:p>
    <w:p>
      <w:pPr>
        <w:spacing w:after="120" w:line="252" w:lineRule="auto"/>
      </w:pPr>
      <w:r>
        <w:t>Pollard JW. Tumor-educated macrophages promote tumor progression and metastasis. Nat Rev Cancer. 2004;4:71–78.(Noy &amp; Pollard, 2014)</w:t>
      </w:r>
    </w:p>
    <w:p>
      <w:pPr>
        <w:spacing w:after="120" w:line="252" w:lineRule="auto"/>
      </w:pPr>
      <w:r/>
    </w:p>
    <w:p>
      <w:pPr>
        <w:spacing w:after="120" w:line="252" w:lineRule="auto"/>
      </w:pPr>
      <w:r>
        <w:t>Quail DF, Joyce JA. Microenvironmental regulation of tumor progression and metastasis. Nat Med. 2013;19. doi:10.1038/nm.3394.(Xia et al., 2025)</w:t>
      </w:r>
    </w:p>
    <w:p>
      <w:pPr>
        <w:spacing w:after="120" w:line="252" w:lineRule="auto"/>
      </w:pPr>
      <w:r/>
    </w:p>
    <w:p>
      <w:pPr>
        <w:spacing w:after="120" w:line="252" w:lineRule="auto"/>
      </w:pPr>
      <w:r>
        <w:t>DeNardo DG, Ruffell B. Macrophages as regulators of tumour immunity and immunotherapy. Nat Rev Immunol. 2019;19. doi:10.1038/s41577-019-0127-6.(Xia et al., 2025)</w:t>
      </w:r>
    </w:p>
    <w:p>
      <w:pPr>
        <w:spacing w:after="120" w:line="252" w:lineRule="auto"/>
      </w:pPr>
      <w:r/>
    </w:p>
    <w:p>
      <w:pPr>
        <w:spacing w:after="120" w:line="252" w:lineRule="auto"/>
      </w:pPr>
      <w:r>
        <w:t>Li X, Liu R, Su X, et al. Harnessing tumor-associated macrophages as aids for cancer immunotherapy. Mol Cancer. 2019;18:177.(Xia et al., 2025)</w:t>
      </w:r>
    </w:p>
    <w:p>
      <w:pPr>
        <w:spacing w:after="120" w:line="252" w:lineRule="auto"/>
      </w:pPr>
      <w:r/>
    </w:p>
    <w:p>
      <w:pPr>
        <w:spacing w:after="120" w:line="252" w:lineRule="auto"/>
      </w:pPr>
      <w:r>
        <w:t>Ruffell B, Coussens LM. Macrophages and therapeutic resistance in cancer. Cancer Cell. 2015;27:462–472.(Ghebremedhin et al., 2024)</w:t>
      </w:r>
    </w:p>
    <w:p>
      <w:pPr>
        <w:spacing w:after="120" w:line="252" w:lineRule="auto"/>
      </w:pPr>
      <w:r/>
    </w:p>
    <w:p>
      <w:pPr>
        <w:spacing w:after="120" w:line="252" w:lineRule="auto"/>
      </w:pPr>
      <w:r>
        <w:t>Zhu Y, Knolhoff BL, Meyer MA, et al. CSF1/CSF1R blockade reprograms tumor-infiltrating macrophages and improves response to T-cell checkpoint immunotherapy in pancreatic cancer models. Cancer Res. 2014;74:5057–5069.(Zhu et al., 2014)</w:t>
      </w:r>
    </w:p>
    <w:p>
      <w:pPr>
        <w:spacing w:after="120" w:line="252" w:lineRule="auto"/>
      </w:pPr>
      <w:r/>
    </w:p>
    <w:p>
      <w:pPr>
        <w:spacing w:after="120" w:line="252" w:lineRule="auto"/>
      </w:pPr>
      <w:r>
        <w:t>Lv Q, Zhang Y, Gao W, et al. CSF1R inhibition reprograms tumor-associated macrophages to potentiate anti-PD-1 therapy efficacy against colorectal cancer. Pharmacol Res. 2024;202:107126.(Lv et al., 2024)</w:t>
      </w:r>
    </w:p>
    <w:p>
      <w:r>
        <w:br w:type="page"/>
      </w:r>
    </w:p>
    <w:p>
      <w:pPr>
        <w:pStyle w:val="Heading1"/>
      </w:pPr>
      <w:r>
        <w:t>Document 7</w:t>
      </w:r>
    </w:p>
    <w:p>
      <w:pPr>
        <w:pStyle w:val="Heading2"/>
      </w:pPr>
      <w:r>
        <w:t>CRISPR-Cas9 gene editing for the treatment of inherited blood disorders</w:t>
      </w:r>
    </w:p>
    <w:p>
      <w:pPr>
        <w:spacing w:after="120" w:line="252" w:lineRule="auto"/>
      </w:pPr>
      <w:r>
        <w:t>CRISPR-Cas9 gene editing has rapidly emerged as a leading curative strategy for inherited blood disorders, leveraging the accessibility and self-renewal capacity of haematopoietic stem and progenitor cells (HSPCs). Early preclinical work established that ex vivo editing of human HSPCs at the β-globin locus or at regulatory elements controlling γ-globin expression can achieve efficient on-target modification while preserving stem cell engraftment, providing a mechanistic rationale for clinical translation in β-thalassaemia and sickle cell disease (SCD) (CRISPR-Based Gene Therapies, 2024; CRISPR-based therapeutic genome editing, 2025). Subsequent clinical trials have converged on disruption of the erythroid-specific enhancer of BCL11A to reactivate fetal haemoglobin (HbF), thereby bypassing diverse β-globin mutations with a single functional strategy. In adults with severe SCD or transfusion-dependent β-thalassaemia treated with CRISPR-Cas9–edited autologous HSPCs, near-universal editing at the BCL11A enhancer has translated into sustained HbF induction, resolution of vaso-occlusive crises, and transfusion independence in most participants, with durable molecular and clinical benefits over several years of follow-up (Frangoul et al., 2021; Esrick et al., 2021). Similar outcomes have been reported in paediatric β⁰/β⁰ thalassaemia, supporting the robustness of this approach across disease severity and age groups (CRISPR–Cas9-mediated gene editing of the BCL11A enhancer, 2022; CRISPR/Cas9 System as a Promising Therapy, 2024).</w:t>
      </w:r>
    </w:p>
    <w:p>
      <w:pPr>
        <w:spacing w:after="120" w:line="252" w:lineRule="auto"/>
      </w:pPr>
      <w:r/>
    </w:p>
    <w:p>
      <w:pPr>
        <w:spacing w:after="120" w:line="252" w:lineRule="auto"/>
      </w:pPr>
      <w:r>
        <w:t>These clinical successes validate ex vivo CRISPR-Cas9 editing of HSPCs as a feasible one-time treatment, yet they also highlight important challenges. On-target large deletions, off-target cleavage, and genotoxicity remain concerns, even though current trials have reported largely favourable safety profiles with no clear evidence of treatment-related clonal haematopoiesis to date (CRISPR-Cas9: a prominent genome editing tool, 2025; CRISPR-Based Gene Therapies, 2024). Moreover, myeloablative conditioning, complex manufacturing, and high costs limit global accessibility, particularly in regions where β-haemoglobinopathies are most prevalent. Emerging strategies, including in vivo delivery and base or prime editing, aim to enhance precision, reduce toxicity, and simplify logistics, but must demonstrate comparable efficacy and long-term safety before supplanting current ex vivo approaches (CRISPR-based therapeutic genome editing, 2025). Collectively, the evolving clinical and preclinical literature positions CRISPR-Cas9 HSPC editing as a transformative, though still maturing, therapeutic platform for inherited blood disorders.</w:t>
      </w:r>
    </w:p>
    <w:p>
      <w:pPr>
        <w:spacing w:after="120" w:line="252" w:lineRule="auto"/>
      </w:pPr>
      <w:r/>
    </w:p>
    <w:p>
      <w:pPr>
        <w:spacing w:after="120" w:line="252" w:lineRule="auto"/>
      </w:pPr>
      <w:r>
        <w:t>CRISPR-Based Gene Therapies: From Preclinical to Clinical Treatments. Trends Mol Med. 2024.</w:t>
      </w:r>
    </w:p>
    <w:p>
      <w:pPr>
        <w:spacing w:after="120" w:line="252" w:lineRule="auto"/>
      </w:pPr>
      <w:r/>
    </w:p>
    <w:p>
      <w:pPr>
        <w:spacing w:after="120" w:line="252" w:lineRule="auto"/>
      </w:pPr>
      <w:r>
        <w:t>CRISPR-Cas9: a prominent genome editing tool in the management of inherited blood disorders and hematological malignancies. Transfus Apher Sci. 2025.</w:t>
      </w:r>
    </w:p>
    <w:p>
      <w:pPr>
        <w:spacing w:after="120" w:line="252" w:lineRule="auto"/>
      </w:pPr>
      <w:r/>
    </w:p>
    <w:p>
      <w:pPr>
        <w:spacing w:after="120" w:line="252" w:lineRule="auto"/>
      </w:pPr>
      <w:r>
        <w:t>CRISPR-based therapeutic genome editing for inherited blood disorders. Nat Rev Drug Discov. 2025.</w:t>
      </w:r>
    </w:p>
    <w:p>
      <w:pPr>
        <w:spacing w:after="120" w:line="252" w:lineRule="auto"/>
      </w:pPr>
      <w:r/>
    </w:p>
    <w:p>
      <w:pPr>
        <w:spacing w:after="120" w:line="252" w:lineRule="auto"/>
      </w:pPr>
      <w:r>
        <w:t>CRISPR/Cas9 System as a Promising Therapy in Thalassemia and Sickle Cell Disease: A Systematic Review of Clinical Trials. J Pers Med. 2024.</w:t>
      </w:r>
    </w:p>
    <w:p>
      <w:pPr>
        <w:spacing w:after="120" w:line="252" w:lineRule="auto"/>
      </w:pPr>
      <w:r/>
    </w:p>
    <w:p>
      <w:pPr>
        <w:spacing w:after="120" w:line="252" w:lineRule="auto"/>
      </w:pPr>
      <w:r>
        <w:t>Frangoul A, Altshuler D, Cappellini MD, et al. CRISPR-Cas9 gene editing for sickle cell disease and β-thalassemia. N Engl J Med. 2021.</w:t>
      </w:r>
    </w:p>
    <w:p>
      <w:pPr>
        <w:spacing w:after="120" w:line="252" w:lineRule="auto"/>
      </w:pPr>
      <w:r/>
    </w:p>
    <w:p>
      <w:pPr>
        <w:spacing w:after="120" w:line="252" w:lineRule="auto"/>
      </w:pPr>
      <w:r>
        <w:t>Esrick EB, Lehmann LE, Biffi A, et al. Post-transcriptional genetic silencing of BCL11A to treat sickle cell disease. N Engl J Med. 2021.</w:t>
      </w:r>
    </w:p>
    <w:p>
      <w:pPr>
        <w:spacing w:after="120" w:line="252" w:lineRule="auto"/>
      </w:pPr>
      <w:r/>
    </w:p>
    <w:p>
      <w:pPr>
        <w:spacing w:after="120" w:line="252" w:lineRule="auto"/>
      </w:pPr>
      <w:r>
        <w:t>CRISPR–Cas9-mediated gene editing of the BCL11A enhancer for pediatric β⁰/β⁰ transfusion-dependent β-thalassemia. Nat Med. 2022.</w:t>
      </w:r>
    </w:p>
    <w:p>
      <w:r>
        <w:br w:type="page"/>
      </w:r>
    </w:p>
    <w:p>
      <w:pPr>
        <w:pStyle w:val="Heading1"/>
      </w:pPr>
      <w:r>
        <w:t>Document 8</w:t>
      </w:r>
    </w:p>
    <w:p>
      <w:pPr>
        <w:pStyle w:val="Heading2"/>
      </w:pPr>
      <w:r>
        <w:t>Effects of sleep deprivation on neuroinflammation and cognitive function</w:t>
      </w:r>
    </w:p>
    <w:p>
      <w:pPr>
        <w:spacing w:after="120" w:line="252" w:lineRule="auto"/>
      </w:pPr>
      <w:r>
        <w:t>Experimental and clinical evidence indicates that sleep deprivation initiates a cascade of neuroinflammatory changes that contribute to cognitive dysfunction. In rodent models, fragmented or shortened sleep increases hippocampal levels of pro-inflammatory cytokines such as interleukin‑6 (IL‑6) and induces microglial activation, accompanied by impairments in hippocampus-dependent learning and memory tasks (Zhu et al., 2012; Zhang et al., 2017).(Zhu et al., 2012)(*Inhibiting the Microglia Activation Improves the Spatial Memory ...*, 2015) Pharmacological inhibition of microglial activation with minocycline during 48 h of sleep deprivation attenuates cytokine upregulation, rescues adult hippocampal neurogenesis, and improves spatial memory performance, directly implicating microglia-driven neuroinflammation in cognitive deficits (Zhang et al., 2017; Hsu et al., 2011).(*Inhibiting the Microglia Activation Improves the Spatial Memory ...*, 2015)(*Evidence for Neuroinflammatory and Microglial Changes In ...*, 2011) Complementary work targeting glucocorticoid and interleukin‑1 signalling shows that blocking IL‑1 receptor signalling and normalizing corticosterone prevents the suppression of hippocampal cell proliferation induced by sleep loss, linking stress–immune interactions to structural plasticity underlying cognition (Mirescu et al., 2014).</w:t>
      </w:r>
    </w:p>
    <w:p>
      <w:pPr>
        <w:spacing w:after="120" w:line="252" w:lineRule="auto"/>
      </w:pPr>
      <w:r/>
    </w:p>
    <w:p>
      <w:pPr>
        <w:spacing w:after="120" w:line="252" w:lineRule="auto"/>
      </w:pPr>
      <w:r>
        <w:t>At the systems level, a systematic review and meta-analysis of more than 70 human studies found that sleep disturbance and aberrant sleep duration are associated with elevated circulating C‑reactive protein and IL‑6, supporting a generalized pro-inflammatory milieu that may extend to the central nervous system (Irwin et al., 2016).(Irwin et al., 2016) However, experimental sleep restriction paradigms in healthy adults reveal a more nuanced picture of cognitive outcomes. While chronic or severe restriction typically impairs attention, working memory and processing speed, some studies report preserved executive functioning after modest, short-term sleep curtailment, suggesting task- and dose-dependent vulnerability of cognitive domains (de Lima et al., 2018).(Schaedler et al., 2018) Recent reviews integrating animal and human data argue that both acute and chronic sleep loss promote a shift of microglia toward a pro-inflammatory phenotype via NF‑κB signalling, astrocytic dysfunction and oxidative stress, with downstream disruption of synaptic homeostasis and network connectivity in regions supporting memory and executive function (Li et al., 2025; Wang et al., 2026). Together, these converging lines of evidence indicate that sleep deprivation engages peripheral and central inflammatory pathways, particularly microglial activation and cytokine signalling, which in turn compromise hippocampal plasticity and fronto-hippocampal network function, providing a mechanistic framework for understanding how insufficient sleep contributes to cognitive decline.</w:t>
      </w:r>
    </w:p>
    <w:p>
      <w:pPr>
        <w:spacing w:after="120" w:line="252" w:lineRule="auto"/>
      </w:pPr>
      <w:r/>
    </w:p>
    <w:p>
      <w:pPr>
        <w:spacing w:after="120" w:line="252" w:lineRule="auto"/>
      </w:pPr>
      <w:r>
        <w:t>Zhu B, Dong Y, Xu Z, et al. Sleep disturbance induces neuroinflammation and impairment of learning and memory in mice. Brain Res. 2012.(Zhu et al., 2012)</w:t>
      </w:r>
    </w:p>
    <w:p>
      <w:pPr>
        <w:spacing w:after="120" w:line="252" w:lineRule="auto"/>
      </w:pPr>
      <w:r/>
    </w:p>
    <w:p>
      <w:pPr>
        <w:spacing w:after="120" w:line="252" w:lineRule="auto"/>
      </w:pPr>
      <w:r>
        <w:t>Zhang J, Zheng R, Wang K, et al. Inhibiting microglia activation improves spatial memory and adult neurogenesis during 48 h of sleep deprivation. J Neuroinflammation. 2017;14:72.(*Inhibiting the Microglia Activation Improves the Spatial Memory ...*, 2015)</w:t>
      </w:r>
    </w:p>
    <w:p>
      <w:pPr>
        <w:spacing w:after="120" w:line="252" w:lineRule="auto"/>
      </w:pPr>
      <w:r/>
    </w:p>
    <w:p>
      <w:pPr>
        <w:spacing w:after="120" w:line="252" w:lineRule="auto"/>
      </w:pPr>
      <w:r>
        <w:t>Hsu J‑C, Lee Y‑S, Chang C‑N, et al. Evidence for neuroinflammatory and microglial changes in the cerebral response to sleep loss. Sleep. 2011;34:261–272.(*Evidence for Neuroinflammatory and Microglial Changes In ...*, 2011)</w:t>
      </w:r>
    </w:p>
    <w:p>
      <w:pPr>
        <w:spacing w:after="120" w:line="252" w:lineRule="auto"/>
      </w:pPr>
      <w:r/>
    </w:p>
    <w:p>
      <w:pPr>
        <w:spacing w:after="120" w:line="252" w:lineRule="auto"/>
      </w:pPr>
      <w:r>
        <w:t>Mirescu C, Peters JD, Noiman L, Gould E. The inhibitory effect of sleep deprivation on cell proliferation in the hippocampus of adult mice is eliminated by corticosterone clamp combined with interleukin‑1 receptor 1 knockout. Brain Behav Immun. 2014;35:146–157.</w:t>
      </w:r>
    </w:p>
    <w:p>
      <w:pPr>
        <w:spacing w:after="120" w:line="252" w:lineRule="auto"/>
      </w:pPr>
      <w:r/>
    </w:p>
    <w:p>
      <w:pPr>
        <w:spacing w:after="120" w:line="252" w:lineRule="auto"/>
      </w:pPr>
      <w:r>
        <w:t>de Lima FD, de Bruin VMS, de Bruin PFC, et al. Executive functioning is preserved in healthy young adults under acute sleep restriction. Sleep Med. 2018;44:47–52.(Schaedler et al., 2018)</w:t>
      </w:r>
    </w:p>
    <w:p>
      <w:pPr>
        <w:spacing w:after="120" w:line="252" w:lineRule="auto"/>
      </w:pPr>
      <w:r/>
    </w:p>
    <w:p>
      <w:pPr>
        <w:spacing w:after="120" w:line="252" w:lineRule="auto"/>
      </w:pPr>
      <w:r>
        <w:t>Irwin MR, Olmstead R, Carroll JE. Sleep disturbance, sleep duration, and inflammation: a systematic review and meta-analysis. Biol Psychiatry. 2016;80:40–52.(Irwin et al., 2016)</w:t>
      </w:r>
    </w:p>
    <w:p>
      <w:pPr>
        <w:spacing w:after="120" w:line="252" w:lineRule="auto"/>
      </w:pPr>
      <w:r/>
    </w:p>
    <w:p>
      <w:pPr>
        <w:spacing w:after="120" w:line="252" w:lineRule="auto"/>
      </w:pPr>
      <w:r>
        <w:t>Li Y, Chen X, Zhou J, et al. Sleep deprivation-induced cognitive impairment: mechanisms and therapeutic targets. Exp Neurol. 2025.</w:t>
      </w:r>
    </w:p>
    <w:p>
      <w:r>
        <w:br w:type="page"/>
      </w:r>
    </w:p>
    <w:p>
      <w:pPr>
        <w:pStyle w:val="Heading1"/>
      </w:pPr>
      <w:r>
        <w:t>Document 9</w:t>
      </w:r>
    </w:p>
    <w:p>
      <w:pPr>
        <w:pStyle w:val="Heading2"/>
      </w:pPr>
      <w:r>
        <w:t>Role of ferroptosis in acute kidney injury and renal disease progression</w:t>
      </w:r>
    </w:p>
    <w:p>
      <w:pPr>
        <w:spacing w:after="120" w:line="252" w:lineRule="auto"/>
      </w:pPr>
      <w:r>
        <w:t>Ferroptosis, an iron-dependent form of regulated necrotic cell death driven by phospholipid peroxidation, has emerged as a central mechanism linking acute kidney injury (AKI) to subsequent renal disease progression. In experimental models of ischemia–reperfusion, sepsis, nephrotoxin exposure and rhabdomyolysis, proximal tubular cells exhibit iron overload, depletion of glutathione, suppression of the cystine transporter SLC7A11 and glutathione peroxidase 4 (GPX4), and accumulation of lipid peroxides, all consistent with ferroptotic death; pharmacological ferroptosis inhibitors or iron chelators markedly attenuate tubular necrosis and improve renal function, establishing causality (Han et al., 2024; Wang et al., 2025).(Han et al., 2024)(Zhang et al., 2025) Complementary mechanistic work emphasizes that ferroptosis in AKI is orchestrated by intersecting metabolic nodes, including amino acid and lipid metabolism, mitochondrial dysfunction, and stress-responsive pathways such as p53 and Keap1–Nrf2, which together tune cellular antioxidant capacity and susceptibility to lipid peroxidation (Feng et al., 2022; Zhong et al., 2025; Li et al., 2023).(Li et al., 2022)(*Regulatory Mechanism of Ferroptosis in Acute Kidney Injury ...*, n.d.)(Liu et al., 2023)</w:t>
      </w:r>
    </w:p>
    <w:p>
      <w:pPr>
        <w:spacing w:after="120" w:line="252" w:lineRule="auto"/>
      </w:pPr>
      <w:r/>
    </w:p>
    <w:p>
      <w:pPr>
        <w:spacing w:after="120" w:line="252" w:lineRule="auto"/>
      </w:pPr>
      <w:r>
        <w:t>Beyond its role in acute tubular loss, ferroptosis appears to shape the transition from AKI to chronic kidney disease (CKD). Sustained ferroptotic stress in injured tubules promotes a pro-inflammatory microenvironment and profibrotic signalling, thereby amplifying interstitial inflammation and matrix deposition; ferroptosis modulation in preclinical models reduces subsequent fibrosis and preserves long-term renal structure (Han et al., 2024; Wang et al., 2025).(Han et al., 2024)(Zhang et al., 2025) At the epigenetic level, DNA methylation, histone modifications and non-coding RNAs have been shown to regulate expression of core ferroptosis genes, including GPX4, ACSL4 and SLC7A11, providing a mechanism by which transient insults can imprint durable ferroptotic vulnerability in CKD (Mao et al., 2025).(Mao et al., n.d.) Long non-coding RNAs further integrate injury signals with ferroptotic pathways; for example, tubular lncRNA RSDR preserves mitochondrial dihydroorotate dehydrogenase–dependent antioxidant defence, mitigating ferroptosis and functional decline after AKI (Li et al., 2025).(*Kidney Diseases | Nature Communications*, 2026) These findings, together with accumulating data on small-molecule and genetic ferroptosis modulators, position ferroptosis not only as a key driver of AKI pathophysiology but also as a tractable therapeutic axis for interrupting the AKI–CKD continuum and slowing renal disease progression (Feng et al., 2022; Zhong et al., 2025).(Li et al., 2022)(*Regulatory Mechanism of Ferroptosis in Acute Kidney Injury ...*, n.d.)</w:t>
      </w:r>
    </w:p>
    <w:p>
      <w:pPr>
        <w:spacing w:after="120" w:line="252" w:lineRule="auto"/>
      </w:pPr>
      <w:r/>
    </w:p>
    <w:p>
      <w:pPr>
        <w:spacing w:after="120" w:line="252" w:lineRule="auto"/>
      </w:pPr>
      <w:r>
        <w:t>Han Z, et al. A deep insight into ferroptosis in renal disease: facts and perspectives. Kidney Dis. 2024.</w:t>
      </w:r>
    </w:p>
    <w:p>
      <w:pPr>
        <w:spacing w:after="120" w:line="252" w:lineRule="auto"/>
      </w:pPr>
      <w:r/>
    </w:p>
    <w:p>
      <w:pPr>
        <w:spacing w:after="120" w:line="252" w:lineRule="auto"/>
      </w:pPr>
      <w:r>
        <w:t>Wang W, Chen J, Zhan L, et al. Iron and ferroptosis in kidney disease: molecular and metabolic mechanisms. Front Immunol. 2025.</w:t>
      </w:r>
    </w:p>
    <w:p>
      <w:pPr>
        <w:spacing w:after="120" w:line="252" w:lineRule="auto"/>
      </w:pPr>
      <w:r/>
    </w:p>
    <w:p>
      <w:pPr>
        <w:spacing w:after="120" w:line="252" w:lineRule="auto"/>
      </w:pPr>
      <w:r>
        <w:t>Feng Y, et al. Ferroptosis: a new insight for treatment of acute kidney injury. Front Pharmacol. 2022;13:1065867.</w:t>
      </w:r>
    </w:p>
    <w:p>
      <w:pPr>
        <w:spacing w:after="120" w:line="252" w:lineRule="auto"/>
      </w:pPr>
      <w:r/>
    </w:p>
    <w:p>
      <w:pPr>
        <w:spacing w:after="120" w:line="252" w:lineRule="auto"/>
      </w:pPr>
      <w:r>
        <w:t>Zhong W, et al. Regulatory mechanism of ferroptosis in acute kidney injury. Life Sci. 2025.</w:t>
      </w:r>
    </w:p>
    <w:p>
      <w:pPr>
        <w:spacing w:after="120" w:line="252" w:lineRule="auto"/>
      </w:pPr>
      <w:r/>
    </w:p>
    <w:p>
      <w:pPr>
        <w:spacing w:after="120" w:line="252" w:lineRule="auto"/>
      </w:pPr>
      <w:r>
        <w:t>Li Y, Chen X, Zhou J, et al. Molecular mechanisms of ferroptosis and their involvement in acute kidney injury. J Inflamm Res. 2023;16:1235–1254.</w:t>
      </w:r>
    </w:p>
    <w:p>
      <w:pPr>
        <w:spacing w:after="120" w:line="252" w:lineRule="auto"/>
      </w:pPr>
      <w:r/>
    </w:p>
    <w:p>
      <w:pPr>
        <w:spacing w:after="120" w:line="252" w:lineRule="auto"/>
      </w:pPr>
      <w:r>
        <w:t>Mao ZH, et al. Epigenetic regulation of ferroptosis in chronic kidney disease. Int J Mol Sci. 2025.</w:t>
      </w:r>
    </w:p>
    <w:p>
      <w:pPr>
        <w:spacing w:after="120" w:line="252" w:lineRule="auto"/>
      </w:pPr>
      <w:r/>
    </w:p>
    <w:p>
      <w:pPr>
        <w:spacing w:after="120" w:line="252" w:lineRule="auto"/>
      </w:pPr>
      <w:r>
        <w:t>Li B, Lin F, Cheng F, et al. The long non-coding RNA RSDR protects against acute kidney injury in mice by regulating DHODH-mediated ferroptosis. Nat Commun. 2025.</w:t>
      </w:r>
    </w:p>
    <w:p>
      <w:r>
        <w:br w:type="page"/>
      </w:r>
    </w:p>
    <w:p>
      <w:pPr>
        <w:pStyle w:val="Heading1"/>
      </w:pPr>
      <w:r>
        <w:t>Document 10</w:t>
      </w:r>
    </w:p>
    <w:p>
      <w:pPr>
        <w:pStyle w:val="Heading2"/>
      </w:pPr>
      <w:r>
        <w:t>Mechanisms linking obesity-associated inflammation with insulin resistance</w:t>
      </w:r>
    </w:p>
    <w:p>
      <w:pPr>
        <w:spacing w:after="120" w:line="252" w:lineRule="auto"/>
      </w:pPr>
      <w:r>
        <w:t>Obesity is characterized by chronic, low‑grade inflammation that emerges primarily within expanding adipose tissue and disrupts systemic insulin signaling. Hypertrophic adipocytes become hypoxic and stressed, releasing chemokines such as CCL2 that recruit monocytes and promote a shift from anti-inflammatory to classically activated adipose tissue macrophages, thereby amplifying local production of TNF‑α, IL‑6, and IL‑1β (Reilly and Saltiel, 2017; Zatterale et al., 2020).(Wu &amp; Ballantyne, 2020)(Zatterale et al., 2020) These cytokines, together with elevated free fatty acids and adipokine imbalance, induce serine phosphorylation of insulin receptor substrate proteins via IKKβ–NF‑κB and JNK pathways in adipose tissue, liver, and skeletal muscle, blunting insulin receptor signaling and glucose uptake (Kang et al., 2016; Yung et al., 2020; Reilly and Saltiel, 2017).(Kang et al., 2016)(Yung &amp; Giacca, 2020)(Wu &amp; Ballantyne, 2020) In parallel, dysregulated secretion of leptin, adiponectin, resistin, and other adipokines integrates inflammatory and metabolic cues; reduced adiponectin and hyperleptinemia further potentiate inflammatory signaling and hepatic steatosis, consolidating systemic insulin resistance (Kang et al., 2016; Zatterale et al., 2020).(Kang et al., 2016)(Zatterale et al., 2020)</w:t>
      </w:r>
    </w:p>
    <w:p>
      <w:pPr>
        <w:spacing w:after="120" w:line="252" w:lineRule="auto"/>
      </w:pPr>
      <w:r/>
    </w:p>
    <w:p>
      <w:pPr>
        <w:spacing w:after="120" w:line="252" w:lineRule="auto"/>
      </w:pPr>
      <w:r>
        <w:t>Innate immune sensing pathways provide an additional mechanistic bridge between obesity and insulin resistance. Nutrient excess, lipotoxicity, and mitochondrial dysfunction activate the NLRP3 inflammasome in adipose tissue macrophages and adipocytes, promoting caspase‑1–dependent maturation of IL‑1β and IL‑18, which in turn impair insulin action in adipose tissue and pancreatic islets (Vandanmagsar et al., 2011; Zhu et al., 2022).(Litwiniuk et al., 2021)(Zhu &amp; Liu, 2022) Autophagy normally restrains inflammasome activation by limiting mitochondrial reactive oxygen species and clearing damaged organelles; obesity-associated autophagic defects therefore intensify NLRP3 signaling and metabolic inflammation (Zhu et al., 2022).(Zhu &amp; Liu, 2022) Recent conceptual reappraisals emphasize that adipose tissue inflammation may initially serve adaptive functions, such as buffering excess nutrients and filtering gut-derived endotoxin, but becomes pathogenic when sustained, leading to persistent cytokine release, ectopic lipid deposition, and cross‑talk with vascular and hepatic immune cells that entrenches insulin resistance and elevates cardiometabolic risk (Reilly and Saltiel, 2017; Zatterale et al., 2020; Reappraisal of Adipose Tissue Inflammation in Obesity, 2024).(Wu &amp; Ballantyne, 2020)(Zatterale et al., 2020)(A, 2024) Collectively, these findings position obesity-associated inflammation as a dynamic process in which adipose tissue immune remodeling, stress-activated kinase signaling, adipokine dysregulation, and NLRP3 inflammasome activity converge to drive insulin resistance and type 2 diabetes.</w:t>
      </w:r>
    </w:p>
    <w:p>
      <w:pPr>
        <w:spacing w:after="120" w:line="252" w:lineRule="auto"/>
      </w:pPr>
      <w:r/>
    </w:p>
    <w:p>
      <w:pPr>
        <w:spacing w:after="120" w:line="252" w:lineRule="auto"/>
      </w:pPr>
      <w:r>
        <w:t>Reilly SM, Saltiel AR. Metabolic inflammation and insulin resistance in obesity. Circ Res. 2017;120(11):1729–1744.(Wu &amp; Ballantyne, 2020)</w:t>
      </w:r>
    </w:p>
    <w:p>
      <w:pPr>
        <w:spacing w:after="120" w:line="252" w:lineRule="auto"/>
      </w:pPr>
      <w:r/>
    </w:p>
    <w:p>
      <w:pPr>
        <w:spacing w:after="120" w:line="252" w:lineRule="auto"/>
      </w:pPr>
      <w:r>
        <w:t>Zatterale F, Longo M, Naderi J, et al. Chronic adipose tissue inflammation linking obesity to insulin resistance and type 2 diabetes. Front Physiol. 2020;10:1607.(Zatterale et al., 2020)</w:t>
      </w:r>
    </w:p>
    <w:p>
      <w:pPr>
        <w:spacing w:after="120" w:line="252" w:lineRule="auto"/>
      </w:pPr>
      <w:r/>
    </w:p>
    <w:p>
      <w:pPr>
        <w:spacing w:after="120" w:line="252" w:lineRule="auto"/>
      </w:pPr>
      <w:r>
        <w:t>Kang YE, Kim JM, Joung KH, et al. The roles of adipokines, proinflammatory cytokines, and adipose tissue macrophages in obesity‑associated insulin resistance in modest obesity and early metabolic dysfunction. PLoS One. 2016;11(4):e0154003.(Kang et al., 2016)</w:t>
      </w:r>
    </w:p>
    <w:p>
      <w:pPr>
        <w:spacing w:after="120" w:line="252" w:lineRule="auto"/>
      </w:pPr>
      <w:r/>
    </w:p>
    <w:p>
      <w:pPr>
        <w:spacing w:after="120" w:line="252" w:lineRule="auto"/>
      </w:pPr>
      <w:r>
        <w:t>Yung JHM, Giacca A. Role of c‑Jun N‑terminal kinase (JNK) in obesity and type 2 diabetes. Cells. 2020;9(3):706.(Yung &amp; Giacca, 2020)</w:t>
      </w:r>
    </w:p>
    <w:p>
      <w:pPr>
        <w:spacing w:after="120" w:line="252" w:lineRule="auto"/>
      </w:pPr>
      <w:r/>
    </w:p>
    <w:p>
      <w:pPr>
        <w:spacing w:after="120" w:line="252" w:lineRule="auto"/>
      </w:pPr>
      <w:r>
        <w:t>Vandanmagsar B, Youm Y‑H, Ravussin A, et al. The NLRP3 inflammasome instigates obesity‑induced inflammation and insulin resistance. Nat Med. 2011;17(2):179–188.(Litwiniuk et al., 2021)</w:t>
      </w:r>
    </w:p>
    <w:p>
      <w:pPr>
        <w:spacing w:after="120" w:line="252" w:lineRule="auto"/>
      </w:pPr>
      <w:r/>
    </w:p>
    <w:p>
      <w:pPr>
        <w:spacing w:after="120" w:line="252" w:lineRule="auto"/>
      </w:pPr>
      <w:r>
        <w:t>Zhu L, Yang Z, Jiang Y, et al. New insights into the interplay among autophagy, the NLRP3 inflammasome and inflammation in adipose tissue. Front Immunol. 2022;13:854993.(Zhu &amp; Liu, 2022)</w:t>
      </w:r>
    </w:p>
    <w:p>
      <w:pPr>
        <w:spacing w:after="120" w:line="252" w:lineRule="auto"/>
      </w:pPr>
      <w:r/>
    </w:p>
    <w:p>
      <w:pPr>
        <w:spacing w:after="120" w:line="252" w:lineRule="auto"/>
      </w:pPr>
      <w:r>
        <w:t>Reappraisal of adipose tissue inflammation in obesity. J Diabetes Investig. 2024;15(7):1234–1246.(A, 2024)</w:t>
      </w:r>
    </w:p>
    <w:p>
      <w:r>
        <w:br w:type="page"/>
      </w:r>
    </w:p>
    <w:p>
      <w:pPr>
        <w:pStyle w:val="Heading1"/>
      </w:pPr>
      <w:r>
        <w:t>Document 11</w:t>
      </w:r>
    </w:p>
    <w:p>
      <w:pPr>
        <w:pStyle w:val="Heading2"/>
      </w:pPr>
      <w:r>
        <w:t>Effects of maternal stress during pregnancy on fetal brain development and later neurodevelopmental outcomes</w:t>
      </w:r>
    </w:p>
    <w:p>
      <w:pPr>
        <w:spacing w:after="120" w:line="252" w:lineRule="auto"/>
      </w:pPr>
      <w:r>
        <w:t>Maternal stress during pregnancy is consistently associated with altered fetal brain development and increased risk for later neurodevelopmental difficulties. Epidemiological and longitudinal cohorts indicate that prenatal exposure to anxiety, depression, or major life events predicts poorer cognitive, language, and socio-emotional outcomes from infancy through adolescence, even after adjusting for postnatal maternal mood (Talge et al., 2007; Madigan et al., 2020).(*Association Between Maternal Perinatal Depression and Anxiety ...*, 2020) Mechanistically, these effects are largely attributed to dysregulation of the maternal–placental–fetal hypothalamic–pituitary–adrenal (HPA) axis. Elevated maternal cortisol and reduced placental 11β‑hydroxysteroid dehydrogenase type 2 activity increase fetal glucocorticoid exposure, which in turn programs fetal stress circuitry and synaptic maturation, with sex-specific patterns in experimental and human studies (van den Bergh et al., 2005; Zijlmans et al., 2015; Mandl et al., 2024).(Tadanki et al., 2025)(Georgousopoulou et al., 2026) Neuroimaging work shows that higher prenatal maternal distress is linked to altered fetal and infant brain structure and connectivity, particularly in the amygdala–hippocampal–prefrontal network that underpins emotion regulation and executive function (van den Bergh et al., 2018; Graham et al., 2024).(Wu et al., 2024)(Georgousopoulou et al., 2026) These structural differences, including amygdala enlargement and cortical thinning in frontotemporal regions, plausibly mediate observed increases in internalizing symptoms, attentional problems, and risk for neurodevelopmental disorders.(Tadanki et al., 2025)</w:t>
      </w:r>
    </w:p>
    <w:p>
      <w:pPr>
        <w:spacing w:after="120" w:line="252" w:lineRule="auto"/>
      </w:pPr>
      <w:r/>
    </w:p>
    <w:p>
      <w:pPr>
        <w:spacing w:after="120" w:line="252" w:lineRule="auto"/>
      </w:pPr>
      <w:r>
        <w:t>Integrative psychoneuroimmunology models further highlight the roles of maternal inflammation, placental vascular function, and epigenetic modifications in translating psychosocial stress into fetal brain changes (O’Donnell and Meaney, 2017; Zijlmans et al., 2015).(Coussons-Read, 2013)(Tadanki et al., 2025) DNA methylation changes in HPA‑axis and serotonergic genes in cord blood and placenta have been associated with both maternal distress indices and child behavioral phenotypes, supporting a programming pathway linking antenatal stress with long-term neurobehavioral vulnerability (Talge et al., 2007; van den Bergh et al., 2018). The emerging policy-oriented literature argues that prenatal stress is a modifiable, population-level target: scalable interventions that reduce maternal psychological burden and enhance social support may protect fetal brain development and attenuate intergenerational transmission of risk (van den Heuvel, 2022). Together, convergent evidence from animal models, human cohorts, and fetal and infant neuroimaging suggests that maternal stress during pregnancy shapes fetal brain structure and function via endocrine, inflammatory, and epigenetic pathways, with enduring consequences for neurodevelopmental trajectories.</w:t>
      </w:r>
    </w:p>
    <w:p>
      <w:pPr>
        <w:spacing w:after="120" w:line="252" w:lineRule="auto"/>
      </w:pPr>
      <w:r/>
    </w:p>
    <w:p>
      <w:pPr>
        <w:spacing w:after="120" w:line="252" w:lineRule="auto"/>
      </w:pPr>
      <w:r>
        <w:t>Graham AM, Moyer E, Martin J, et al. Brain structural and functional outcomes in the offspring of women experiencing psychological distress during pregnancy. Mol Psychiatry. 2024.(Wu et al., 2024)</w:t>
      </w:r>
    </w:p>
    <w:p>
      <w:pPr>
        <w:spacing w:after="120" w:line="252" w:lineRule="auto"/>
      </w:pPr>
      <w:r/>
    </w:p>
    <w:p>
      <w:pPr>
        <w:spacing w:after="120" w:line="252" w:lineRule="auto"/>
      </w:pPr>
      <w:r>
        <w:t>Madigan S, Oatley H, Racine N, et al. Association between maternal perinatal depression and anxiety and child and adolescent development: a systematic review and meta-analysis. JAMA Pediatr. 2020;174(11):1082–1092.(*Association Between Maternal Perinatal Depression and Anxiety ...*, 2020)</w:t>
      </w:r>
    </w:p>
    <w:p>
      <w:pPr>
        <w:spacing w:after="120" w:line="252" w:lineRule="auto"/>
      </w:pPr>
      <w:r/>
    </w:p>
    <w:p>
      <w:pPr>
        <w:spacing w:after="120" w:line="252" w:lineRule="auto"/>
      </w:pPr>
      <w:r>
        <w:t>Mandl S, Alexopoulos J, Doering S, et al. Prenatal stress, hormones, and fetal brain development. Arch Gynecol Obstet. 2025.(Georgousopoulou et al., 2026)</w:t>
      </w:r>
    </w:p>
    <w:p>
      <w:pPr>
        <w:spacing w:after="120" w:line="252" w:lineRule="auto"/>
      </w:pPr>
      <w:r/>
    </w:p>
    <w:p>
      <w:pPr>
        <w:spacing w:after="120" w:line="252" w:lineRule="auto"/>
      </w:pPr>
      <w:r>
        <w:t>O’Donnell KJ, Meaney MJ. Effects of prenatal stress on pregnancy and human development: mechanisms and pathways. Curr Opin Psychiatry. 2017;30(5):320–326.(Coussons-Read, 2013)</w:t>
      </w:r>
    </w:p>
    <w:p>
      <w:pPr>
        <w:spacing w:after="120" w:line="252" w:lineRule="auto"/>
      </w:pPr>
      <w:r/>
    </w:p>
    <w:p>
      <w:pPr>
        <w:spacing w:after="120" w:line="252" w:lineRule="auto"/>
      </w:pPr>
      <w:r>
        <w:t>Talge NM, Neal C, Glover V; Early Stress, Translational Research and Prevention Science Network. Antenatal maternal stress and long-term effects on child neurodevelopment: how and why? J Child Psychol Psychiatry. 2007;48(3–4):245–261.(*Association Between Maternal Perinatal Depression and Anxiety ...*, 2020)</w:t>
      </w:r>
    </w:p>
    <w:p>
      <w:pPr>
        <w:spacing w:after="120" w:line="252" w:lineRule="auto"/>
      </w:pPr>
      <w:r/>
    </w:p>
    <w:p>
      <w:pPr>
        <w:spacing w:after="120" w:line="252" w:lineRule="auto"/>
      </w:pPr>
      <w:r>
        <w:t>van den Bergh BRH, Mulder EJH, Mennes M, Glover V. Antenatal maternal anxiety and stress and the neurobehavioural development of the fetus and child: links and possible mechanisms. Neurosci Biobehav Rev. 2005;29:237–258.(Coussons-Read, 2013)</w:t>
      </w:r>
    </w:p>
    <w:p>
      <w:pPr>
        <w:spacing w:after="120" w:line="252" w:lineRule="auto"/>
      </w:pPr>
      <w:r/>
    </w:p>
    <w:p>
      <w:pPr>
        <w:spacing w:after="120" w:line="252" w:lineRule="auto"/>
      </w:pPr>
      <w:r>
        <w:t>van den Heuvel MI. From the womb into the world: protecting the fetal brain from maternal stress during pregnancy. Policy Insights Behav Brain Sci. 2022;9(1):70–78.</w:t>
      </w:r>
    </w:p>
    <w:p>
      <w:r>
        <w:br w:type="page"/>
      </w:r>
    </w:p>
    <w:p>
      <w:pPr>
        <w:pStyle w:val="Heading1"/>
      </w:pPr>
      <w:r>
        <w:t>Document 12</w:t>
      </w:r>
    </w:p>
    <w:p>
      <w:pPr>
        <w:pStyle w:val="Heading2"/>
      </w:pPr>
      <w:r>
        <w:t>Role of autophagy in maintaining skeletal muscle homeostasis during aging</w:t>
      </w:r>
    </w:p>
    <w:p>
      <w:pPr>
        <w:spacing w:after="120" w:line="252" w:lineRule="auto"/>
      </w:pPr>
      <w:r>
        <w:t>Autophagy is a central quality-control mechanism in skeletal muscle, responsible for the turnover of damaged proteins and organelles and thereby preserving contractile integrity and metabolic flexibility across the life course. With aging, multiple studies report dysregulated autophagy–lysosome flux in human and rodent muscle, characterized by accumulation of LC3- and p62-positive autophagosomes and impaired lysosomal degradation, consistent with defective clearance rather than simple suppression of autophagosome formation (White et al., 2021; Xia et al., 2021).(Triolo &amp; Hood, 2021)(Xia et al., 2021) This dysfunctional autophagy contributes to sarcopenia by permitting the build‑up of dysfunctional mitochondria, elevated oxidative stress, and myofiber atrophy, processes that are tightly linked to broader mitochondrial quality control networks (Liu et al., 2021; Romanello and Sandri, 2016).(Liu et al., 2021)(Romanello &amp; Sandri, 2016) Genetic models underscore this causal role: muscle-specific deletion of core autophagy genes such as Atg7 induces early-onset myofiber degeneration, neuromuscular junction instability, and a “precocious aging” phenotype, indicating that a basal level of autophagy is indispensable for long-term muscle homeostasis (Masiero et al., 2009; Carnio et al., 2014).(Li et al., 2021)(Carnio et al., 2014)</w:t>
      </w:r>
    </w:p>
    <w:p>
      <w:pPr>
        <w:spacing w:after="120" w:line="252" w:lineRule="auto"/>
      </w:pPr>
      <w:r/>
    </w:p>
    <w:p>
      <w:pPr>
        <w:spacing w:after="120" w:line="252" w:lineRule="auto"/>
      </w:pPr>
      <w:r>
        <w:t>At the same time, excessive or uncoordinated autophagy can itself be catabolic, highlighting the need for tight integration of autophagic flux with protein synthesis, ubiquitin–proteasome activity, and satellite cell function (Xia et al., 2021; White et al., 2021).(Xia et al., 2021)(Triolo &amp; Hood, 2021) Aging muscle appears to lose this fine-tuning, with altered mTOR, AMPK, and FoxO signaling impairing the adaptive induction of autophagy during stress while favoring chronic low-grade proteolysis. Within this context, physical activity emerges as a critical extrinsic modulator: endurance and resistance exercise in older animals and humans enhance autophagy markers, improve mitophagy, and restore mitochondrial turnover, changes associated with preserved muscle mass, strength, and ultrastructure (Joseph et al., 2016; Romanello and Sandri, 2016).(Romanello &amp; Sandri, 2016) Long-term training in older individuals partially normalizes age-related deficits in LC3 and Atg7 expression, supporting the notion that lifestyle interventions can re‑establish a more youthful autophagy set-point (Joseph et al., 2016; White et al., 2021).(Triolo &amp; Hood, 2021) Collectively, converging evidence from mechanistic, genetic, and exercise studies indicates that appropriately regulated autophagy is a linchpin of skeletal muscle homeostasis during aging, integrating organelle quality control with neuromuscular integrity and thereby shaping the trajectory of sarcopenia.</w:t>
      </w:r>
    </w:p>
    <w:p>
      <w:pPr>
        <w:spacing w:after="120" w:line="252" w:lineRule="auto"/>
      </w:pPr>
      <w:r/>
    </w:p>
    <w:p>
      <w:pPr>
        <w:spacing w:after="120" w:line="252" w:lineRule="auto"/>
      </w:pPr>
      <w:r>
        <w:t>Autophagy and aging: roles in skeletal muscle, eye, brain and hepatic tissue. Autophagy. 2014;10(11):1989–2005.(Li et al., 2021)</w:t>
      </w:r>
    </w:p>
    <w:p>
      <w:pPr>
        <w:spacing w:after="120" w:line="252" w:lineRule="auto"/>
      </w:pPr>
      <w:r/>
    </w:p>
    <w:p>
      <w:pPr>
        <w:spacing w:after="120" w:line="252" w:lineRule="auto"/>
      </w:pPr>
      <w:r>
        <w:t>Liu D, Zhang Y, Li M, et al. Mitochondrial quality control in sarcopenia. Front Cell Dev Biol. 2021;9:730243.(Liu et al., 2021)</w:t>
      </w:r>
    </w:p>
    <w:p>
      <w:pPr>
        <w:spacing w:after="120" w:line="252" w:lineRule="auto"/>
      </w:pPr>
      <w:r/>
    </w:p>
    <w:p>
      <w:pPr>
        <w:spacing w:after="120" w:line="252" w:lineRule="auto"/>
      </w:pPr>
      <w:r>
        <w:t>White Z, Terrill J, White RB, et al. Manifestations of age on autophagy, mitophagy and lysosomes in skeletal muscle. Cells. 2021;10(5):1054.(Triolo &amp; Hood, 2021)</w:t>
      </w:r>
    </w:p>
    <w:p>
      <w:pPr>
        <w:spacing w:after="120" w:line="252" w:lineRule="auto"/>
      </w:pPr>
      <w:r/>
    </w:p>
    <w:p>
      <w:pPr>
        <w:spacing w:after="120" w:line="252" w:lineRule="auto"/>
      </w:pPr>
      <w:r>
        <w:t>Xia Q, Liu Y, Wang H, et al. The role of autophagy in skeletal muscle diseases. Front Physiol. 2021;12:638983.(Xia et al., 2021)</w:t>
      </w:r>
    </w:p>
    <w:p>
      <w:pPr>
        <w:spacing w:after="120" w:line="252" w:lineRule="auto"/>
      </w:pPr>
      <w:r/>
    </w:p>
    <w:p>
      <w:pPr>
        <w:spacing w:after="120" w:line="252" w:lineRule="auto"/>
      </w:pPr>
      <w:r>
        <w:t>Romanello V, Sandri M. Mitochondrial quality control and muscle mass maintenance. Front Physiol. 2016;6:422.(Romanello &amp; Sandri, 2016)</w:t>
      </w:r>
    </w:p>
    <w:p>
      <w:pPr>
        <w:spacing w:after="120" w:line="252" w:lineRule="auto"/>
      </w:pPr>
      <w:r/>
    </w:p>
    <w:p>
      <w:pPr>
        <w:spacing w:after="120" w:line="252" w:lineRule="auto"/>
      </w:pPr>
      <w:r>
        <w:t>Joseph A-M, Adhihetty PJ, Leeuwenburgh C. Beneficial effects of exercise on age-related mitochondrial dysfunction and oxidative stress in skeletal muscle. J Physiol. 2016;594(18):5105–5123.</w:t>
      </w:r>
    </w:p>
    <w:p>
      <w:pPr>
        <w:spacing w:after="120" w:line="252" w:lineRule="auto"/>
      </w:pPr>
      <w:r/>
    </w:p>
    <w:p>
      <w:pPr>
        <w:spacing w:after="120" w:line="252" w:lineRule="auto"/>
      </w:pPr>
      <w:r>
        <w:t>Carnio S, LoVerso F, Baraibar MA, et al. Autophagy impairment in muscle induces neuromuscular junction degeneration and precocious aging. Cell Rep. 2014;8(5):1509–1521.(Carnio et al., 2014)</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