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29F29349" w14:textId="74A17DD5" w:rsidR="006912AB" w:rsidRDefault="006912AB" w:rsidP="006912AB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编写相应的微程序</w:t>
      </w:r>
      <w:r w:rsidR="004952E6">
        <w:rPr>
          <w:rFonts w:hint="eastAsia"/>
        </w:rPr>
        <w:t>控制硬件，以支持指令集的功能。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5F87C46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，</w:t>
      </w:r>
      <w:r w:rsidR="0077799C">
        <w:rPr>
          <w:rFonts w:hint="eastAsia"/>
        </w:rPr>
        <w:t>双操作数，</w:t>
      </w:r>
      <w:r w:rsidR="003846AF">
        <w:rPr>
          <w:rFonts w:hint="eastAsia"/>
        </w:rPr>
        <w:t>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的和存入寄存器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4F57E2AB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5EE5F94" w14:textId="15E1556A" w:rsidR="007F207E" w:rsidRDefault="00A976BD" w:rsidP="007F207E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</w:t>
      </w:r>
      <w:proofErr w:type="gramStart"/>
      <w:r w:rsidR="0051405C">
        <w:rPr>
          <w:rFonts w:hint="eastAsia"/>
        </w:rPr>
        <w:t>间数据</w:t>
      </w:r>
      <w:proofErr w:type="gramEnd"/>
      <w:r w:rsidR="0051405C">
        <w:rPr>
          <w:rFonts w:hint="eastAsia"/>
        </w:rPr>
        <w:t>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1D5F0BEF" w14:textId="50C504B4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7BC3ECAE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</w:t>
      </w:r>
      <w:r w:rsidR="004E6EB5">
        <w:rPr>
          <w:rFonts w:hint="eastAsia"/>
        </w:rPr>
        <w:t>；</w:t>
      </w:r>
    </w:p>
    <w:p w14:paraId="34290D92" w14:textId="4220DBB3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</w:t>
      </w:r>
      <w:proofErr w:type="gramStart"/>
      <w:r w:rsidR="00C8125A">
        <w:rPr>
          <w:rFonts w:hint="eastAsia"/>
        </w:rPr>
        <w:t>端数据</w:t>
      </w:r>
      <w:proofErr w:type="gramEnd"/>
      <w:r w:rsidR="00C8125A">
        <w:rPr>
          <w:rFonts w:hint="eastAsia"/>
        </w:rPr>
        <w:t>来源。</w:t>
      </w:r>
    </w:p>
    <w:p w14:paraId="28CB30DE" w14:textId="161E8580" w:rsidR="004E6EB5" w:rsidRDefault="004E6EB5" w:rsidP="007F207E"/>
    <w:p w14:paraId="2BF4329A" w14:textId="78D9481D" w:rsidR="004E6EB5" w:rsidRPr="009C3F53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，实现了CPU与内存数据的隔离。</w:t>
      </w:r>
    </w:p>
    <w:sectPr w:rsidR="004E6EB5" w:rsidRPr="009C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7132744">
    <w:abstractNumId w:val="0"/>
  </w:num>
  <w:num w:numId="2" w16cid:durableId="846214712">
    <w:abstractNumId w:val="1"/>
  </w:num>
  <w:num w:numId="3" w16cid:durableId="82008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658EA"/>
    <w:rsid w:val="000F31B8"/>
    <w:rsid w:val="00103FFA"/>
    <w:rsid w:val="001761A8"/>
    <w:rsid w:val="0022536B"/>
    <w:rsid w:val="00251F83"/>
    <w:rsid w:val="00313CBC"/>
    <w:rsid w:val="00347CA8"/>
    <w:rsid w:val="003846AF"/>
    <w:rsid w:val="003E0FF3"/>
    <w:rsid w:val="00404786"/>
    <w:rsid w:val="00442177"/>
    <w:rsid w:val="004952E6"/>
    <w:rsid w:val="004E6EB5"/>
    <w:rsid w:val="0051405C"/>
    <w:rsid w:val="0055266A"/>
    <w:rsid w:val="00613416"/>
    <w:rsid w:val="006845EF"/>
    <w:rsid w:val="006912AB"/>
    <w:rsid w:val="007469BF"/>
    <w:rsid w:val="0077799C"/>
    <w:rsid w:val="007A6DA2"/>
    <w:rsid w:val="007B4C88"/>
    <w:rsid w:val="007F207E"/>
    <w:rsid w:val="0084492E"/>
    <w:rsid w:val="00921A19"/>
    <w:rsid w:val="0095468A"/>
    <w:rsid w:val="009C3F53"/>
    <w:rsid w:val="00A612F5"/>
    <w:rsid w:val="00A976BD"/>
    <w:rsid w:val="00B46C64"/>
    <w:rsid w:val="00C50C0E"/>
    <w:rsid w:val="00C67242"/>
    <w:rsid w:val="00C8125A"/>
    <w:rsid w:val="00D27180"/>
    <w:rsid w:val="00E77ABD"/>
    <w:rsid w:val="00EB43ED"/>
    <w:rsid w:val="00EF6254"/>
    <w:rsid w:val="00FD3F03"/>
    <w:rsid w:val="00F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20</cp:revision>
  <dcterms:created xsi:type="dcterms:W3CDTF">2022-05-31T09:14:00Z</dcterms:created>
  <dcterms:modified xsi:type="dcterms:W3CDTF">2022-06-01T09:58:00Z</dcterms:modified>
</cp:coreProperties>
</file>