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Оплата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 часом буде LiqPay, або інша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Треба для неї зробити можливість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Зараз оплата на рахунок ФОП(Оплата на реквізити,але місце для платіжної системи треба зробити)</w:t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Треба прописати це, щоб можна було копіювати</w:t>
        <w:br w:type="textWrapping"/>
        <w:br w:type="textWrapping"/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2.Доставка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Інтеграція з Новою Поштою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3. GC skin , Great care, Proactive skin</w:t>
        <w:br w:type="textWrapping"/>
        <w:br w:type="textWrapping"/>
        <w:t xml:space="preserve">4. Excel файл</w:t>
        <w:br w:type="textWrapping"/>
        <w:t xml:space="preserve">5. 095 35 13 037, всі месенжери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Інстаграм - svbeauty.od</w:t>
        <w:br w:type="textWrapping"/>
        <w:t xml:space="preserve"> 6. А</w:t>
        <w:br w:type="textWrapping"/>
        <w:t xml:space="preserve"> 7. Б</w:t>
        <w:br w:type="textWrapping"/>
        <w:t xml:space="preserve"> 8. Напишить вимогу, замовлю</w:t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Я гадала, що банери теж входять до інтернет-маг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9. Потрібні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Кабінет покупця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Програма лояльності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Друга мова( українська, російська)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