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E78"/>
          <w:sz w:val="15"/>
        </w:rPr>
        <w:t>CALIBO AI ACADEMY  |  PHASE 1 — MINI USE CASE 01</w:t>
      </w:r>
    </w:p>
    <w:p>
      <w:pPr>
        <w:spacing w:after="20"/>
      </w:pPr>
      <w:r>
        <w:rPr>
          <w:b/>
          <w:color w:val="142337"/>
          <w:sz w:val="44"/>
        </w:rPr>
        <w:t>CATEGORY INTELLIGENCE</w:t>
      </w:r>
    </w:p>
    <w:p>
      <w:pPr>
        <w:spacing w:after="60"/>
      </w:pPr>
      <w:r>
        <w:rPr>
          <w:b/>
          <w:color w:val="46505A"/>
          <w:sz w:val="28"/>
        </w:rPr>
        <w:t>Project Summary — Retail Product Performance</w:t>
      </w:r>
    </w:p>
    <w:p>
      <w:pPr>
        <w:spacing w:after="100"/>
      </w:pPr>
      <w:r>
        <w:rPr>
          <w:b/>
          <w:color w:val="1F5B87"/>
          <w:sz w:val="18"/>
        </w:rPr>
        <w:t>Jan–Jun 2026  |  107,836 Transactions  |  12 Stores  |  5 Categories  |  25 Products</w:t>
      </w:r>
    </w:p>
    <w:p>
      <w:pPr>
        <w:spacing w:after="40"/>
        <w:pBdr>
          <w:bottom w:val="single" w:sz="6" w:color="D9DEE5"/>
        </w:pBdr>
      </w:pPr>
    </w:p>
    <w:p>
      <w:pPr>
        <w:spacing w:before="120" w:after="40"/>
      </w:pPr>
      <w:r>
        <w:rPr>
          <w:b/>
          <w:color w:val="142337"/>
          <w:sz w:val="26"/>
        </w:rPr>
        <w:t>PROJECT SUMMARY</w:t>
      </w:r>
    </w:p>
    <w:p>
      <w:pPr>
        <w:spacing w:after="60" w:line="247" w:lineRule="auto"/>
      </w:pPr>
      <w:r>
        <w:rPr>
          <w:sz w:val="18"/>
        </w:rPr>
        <w:t xml:space="preserve">This project analyzes six months of retail transaction data to understand </w:t>
      </w:r>
      <w:r>
        <w:rPr>
          <w:b/>
          <w:sz w:val="18"/>
        </w:rPr>
        <w:t>category performance, product contribution, discount effectiveness, and sales timing</w:t>
      </w:r>
      <w:r>
        <w:rPr>
          <w:sz w:val="18"/>
        </w:rPr>
        <w:t xml:space="preserve">. The analysis converts transaction-level data into business insights that can support the </w:t>
      </w:r>
      <w:r>
        <w:rPr>
          <w:b/>
          <w:sz w:val="18"/>
        </w:rPr>
        <w:t>Category Manager during the quarterly supplier review</w:t>
      </w:r>
      <w:r>
        <w:rPr>
          <w:sz w:val="18"/>
        </w:rPr>
        <w:t>.</w:t>
      </w:r>
    </w:p>
    <w:p>
      <w:pPr>
        <w:spacing w:after="40"/>
        <w:pBdr>
          <w:bottom w:val="single" w:sz="6" w:color="D9DEE5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5F7FA"/>
          </w:tcPr>
          <w:p>
            <w:pPr>
              <w:spacing w:after="40"/>
            </w:pPr>
            <w:r>
              <w:rPr>
                <w:b/>
                <w:color w:val="142337"/>
                <w:sz w:val="18"/>
              </w:rPr>
              <w:t>01 — CATEGORY PERFORMANCE</w:t>
            </w:r>
          </w:p>
          <w:p>
            <w:pPr>
              <w:spacing w:after="0"/>
            </w:pPr>
            <w:r>
              <w:rPr>
                <w:b/>
                <w:color w:val="1F5B87"/>
                <w:sz w:val="34"/>
              </w:rPr>
              <w:t>₹226.53M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>Six-month Electronics revenue</w:t>
            </w:r>
          </w:p>
          <w:p>
            <w:pPr>
              <w:spacing w:after="40"/>
            </w:pPr>
            <w:r>
              <w:rPr>
                <w:sz w:val="16"/>
              </w:rPr>
              <w:t xml:space="preserve">Electronics generated the </w:t>
            </w:r>
            <w:r>
              <w:rPr>
                <w:b/>
                <w:sz w:val="16"/>
              </w:rPr>
              <w:t>highest total revenue</w:t>
            </w:r>
            <w:r>
              <w:rPr>
                <w:sz w:val="16"/>
              </w:rPr>
              <w:t xml:space="preserve"> among the five categories, but it also recorded the </w:t>
            </w:r>
            <w:r>
              <w:rPr>
                <w:b/>
                <w:sz w:val="16"/>
              </w:rPr>
              <w:t>steepest decline of 35.0%</w:t>
            </w:r>
            <w:r>
              <w:rPr>
                <w:sz w:val="16"/>
              </w:rPr>
              <w:t xml:space="preserve">, falling from </w:t>
            </w:r>
            <w:r>
              <w:rPr>
                <w:b/>
                <w:sz w:val="16"/>
              </w:rPr>
              <w:t>₹45.69M in January to ₹29.69M in June</w:t>
            </w:r>
            <w:r>
              <w:rPr>
                <w:sz w:val="16"/>
              </w:rPr>
              <w:t>.</w:t>
            </w:r>
          </w:p>
          <w:p>
            <w:r>
              <w:rPr>
                <w:b/>
                <w:color w:val="2D465A"/>
                <w:sz w:val="16"/>
              </w:rPr>
              <w:t>Key Finding: Electronics is the largest revenue contributor but is showing a significant decline in momentum.</w:t>
            </w:r>
          </w:p>
        </w:tc>
        <w:tc>
          <w:tcPr>
            <w:tcW w:type="dxa" w:w="5184"/>
            <w:vAlign w:val="top"/>
            <w:shd w:fill="F5F7FA"/>
          </w:tcPr>
          <w:p>
            <w:pPr>
              <w:spacing w:after="40"/>
            </w:pPr>
            <w:r>
              <w:rPr>
                <w:b/>
                <w:color w:val="142337"/>
                <w:sz w:val="18"/>
              </w:rPr>
              <w:t>02 — PRODUCT PERFORMANCE</w:t>
            </w:r>
          </w:p>
          <w:p>
            <w:pPr>
              <w:spacing w:after="0"/>
            </w:pPr>
            <w:r>
              <w:rPr>
                <w:b/>
                <w:color w:val="1F5B87"/>
                <w:sz w:val="34"/>
              </w:rPr>
              <w:t>₹47.70M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>Headphones — highest Electronics product revenue</w:t>
            </w:r>
          </w:p>
          <w:p>
            <w:pPr>
              <w:spacing w:after="40"/>
            </w:pPr>
            <w:r>
              <w:rPr>
                <w:sz w:val="16"/>
              </w:rPr>
              <w:t xml:space="preserve">Within Electronics, </w:t>
            </w:r>
            <w:r>
              <w:rPr>
                <w:b/>
                <w:sz w:val="16"/>
              </w:rPr>
              <w:t>Headphones generated ₹47.70M</w:t>
            </w:r>
            <w:r>
              <w:rPr>
                <w:sz w:val="16"/>
              </w:rPr>
              <w:t xml:space="preserve">, followed by </w:t>
            </w:r>
            <w:r>
              <w:rPr>
                <w:b/>
                <w:sz w:val="16"/>
              </w:rPr>
              <w:t>Laptop at ₹46.55M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Tablet at ₹44.74M</w:t>
            </w:r>
            <w:r>
              <w:rPr>
                <w:sz w:val="16"/>
              </w:rPr>
              <w:t xml:space="preserve">, and </w:t>
            </w:r>
            <w:r>
              <w:rPr>
                <w:b/>
                <w:sz w:val="16"/>
              </w:rPr>
              <w:t>Smart TV at ₹41.88M</w:t>
            </w:r>
            <w:r>
              <w:rPr>
                <w:sz w:val="16"/>
              </w:rPr>
              <w:t>.</w:t>
            </w:r>
          </w:p>
          <w:p>
            <w:r>
              <w:rPr>
                <w:b/>
                <w:color w:val="2D465A"/>
                <w:sz w:val="16"/>
              </w:rPr>
              <w:t>Key Finding: Electronics continues to contain high-value products, making the category decline important to investigate rather than treating it as a lack of product contribution.</w:t>
            </w:r>
          </w:p>
        </w:tc>
      </w:tr>
      <w:tr>
        <w:tc>
          <w:tcPr>
            <w:tcW w:type="dxa" w:w="5184"/>
            <w:vAlign w:val="top"/>
            <w:shd w:fill="F5F7FA"/>
          </w:tcPr>
          <w:p>
            <w:pPr>
              <w:spacing w:after="40"/>
            </w:pPr>
            <w:r>
              <w:rPr>
                <w:b/>
                <w:color w:val="142337"/>
                <w:sz w:val="18"/>
              </w:rPr>
              <w:t>03 — DISCOUNT EFFECTIVENESS</w:t>
            </w:r>
          </w:p>
          <w:p>
            <w:pPr>
              <w:spacing w:after="0"/>
            </w:pPr>
            <w:r>
              <w:rPr>
                <w:b/>
                <w:color w:val="1F5B87"/>
                <w:sz w:val="34"/>
              </w:rPr>
              <w:t>−22.5%</w:t>
            </w:r>
          </w:p>
          <w:p>
            <w:pPr>
              <w:spacing w:after="40"/>
            </w:pPr>
            <w:r>
              <w:rPr>
                <w:b/>
                <w:sz w:val="16"/>
              </w:rPr>
              <w:t>Change in average revenue per transaction: 0% → 20% discount</w:t>
            </w:r>
          </w:p>
          <w:p>
            <w:pPr>
              <w:spacing w:after="40"/>
            </w:pPr>
            <w:r>
              <w:rPr>
                <w:sz w:val="16"/>
              </w:rPr>
              <w:t xml:space="preserve">Average revenue per transaction decreased from </w:t>
            </w:r>
            <w:r>
              <w:rPr>
                <w:b/>
                <w:sz w:val="16"/>
              </w:rPr>
              <w:t>₹4,685.65 at 0% discount to ₹3,631.73 at 20% discount</w:t>
            </w:r>
            <w:r>
              <w:rPr>
                <w:sz w:val="16"/>
              </w:rPr>
              <w:t xml:space="preserve">, while average units sold remained almost unchanged at </w:t>
            </w:r>
            <w:r>
              <w:rPr>
                <w:b/>
                <w:sz w:val="16"/>
              </w:rPr>
              <w:t>2.59 vs 2.58 units</w:t>
            </w:r>
            <w:r>
              <w:rPr>
                <w:sz w:val="16"/>
              </w:rPr>
              <w:t>.</w:t>
            </w:r>
          </w:p>
          <w:p>
            <w:r>
              <w:rPr>
                <w:b/>
                <w:color w:val="2D465A"/>
                <w:sz w:val="16"/>
              </w:rPr>
              <w:t>Key Finding: The available data does not show a clear revenue or volume benefit from deeper discounts. Profitability cannot be assessed because cost and margin data are not available.</w:t>
            </w:r>
          </w:p>
        </w:tc>
        <w:tc>
          <w:tcPr>
            <w:tcW w:type="dxa" w:w="5184"/>
            <w:vAlign w:val="top"/>
            <w:shd w:fill="F5F7FA"/>
          </w:tcPr>
          <w:p>
            <w:pPr>
              <w:spacing w:after="40"/>
            </w:pPr>
            <w:r>
              <w:rPr>
                <w:b/>
                <w:color w:val="142337"/>
                <w:sz w:val="18"/>
              </w:rPr>
              <w:t>04 — SALES TIMING</w:t>
            </w:r>
          </w:p>
          <w:p>
            <w:pPr>
              <w:spacing w:after="0"/>
            </w:pPr>
            <w:r>
              <w:rPr>
                <w:b/>
                <w:color w:val="1F5B87"/>
                <w:sz w:val="34"/>
              </w:rPr>
              <w:t>Saturday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>₹3.52M average daily chain revenue</w:t>
            </w:r>
          </w:p>
          <w:p>
            <w:pPr>
              <w:spacing w:after="40"/>
            </w:pPr>
            <w:r>
              <w:rPr>
                <w:sz w:val="16"/>
              </w:rPr>
              <w:t xml:space="preserve">Saturday recorded the highest average daily revenue, while Monday recorded the lowest at </w:t>
            </w:r>
            <w:r>
              <w:rPr>
                <w:b/>
                <w:sz w:val="16"/>
              </w:rPr>
              <w:t>₹2.01M</w:t>
            </w:r>
            <w:r>
              <w:rPr>
                <w:sz w:val="16"/>
              </w:rPr>
              <w:t xml:space="preserve">. The weekend-to-weekday average revenue ratio was approximately </w:t>
            </w:r>
            <w:r>
              <w:rPr>
                <w:b/>
                <w:sz w:val="16"/>
              </w:rPr>
              <w:t>1.48×</w:t>
            </w:r>
            <w:r>
              <w:rPr>
                <w:sz w:val="16"/>
              </w:rPr>
              <w:t>.</w:t>
            </w:r>
          </w:p>
          <w:p>
            <w:r>
              <w:rPr>
                <w:b/>
                <w:color w:val="2D465A"/>
                <w:sz w:val="16"/>
              </w:rPr>
              <w:t>Key Finding: Weekend periods, particularly Saturday, provide a useful timing signal for evaluating promotional activity.</w:t>
            </w:r>
          </w:p>
        </w:tc>
      </w:tr>
    </w:tbl>
    <w:p>
      <w:pPr>
        <w:spacing w:after="40"/>
        <w:pBdr>
          <w:bottom w:val="single" w:sz="6" w:color="D9DEE5"/>
        </w:pBdr>
      </w:pPr>
    </w:p>
    <w:p>
      <w:pPr>
        <w:spacing w:before="120" w:after="40"/>
      </w:pPr>
      <w:r>
        <w:rPr>
          <w:b/>
          <w:color w:val="142337"/>
          <w:sz w:val="26"/>
        </w:rPr>
        <w:t>CATEGORY RECOMMENDATION</w:t>
      </w:r>
    </w:p>
    <w:p>
      <w:pPr>
        <w:spacing w:after="40"/>
      </w:pPr>
      <w:r>
        <w:rPr>
          <w:b/>
          <w:color w:val="142337"/>
          <w:sz w:val="23"/>
        </w:rPr>
        <w:t>FOCUS THE SUPPLIER REVIEW ON ELECTRONICS</w:t>
      </w:r>
    </w:p>
    <w:p>
      <w:pPr>
        <w:spacing w:after="60" w:line="247" w:lineRule="auto"/>
      </w:pPr>
      <w:r>
        <w:rPr>
          <w:sz w:val="18"/>
        </w:rPr>
        <w:t xml:space="preserve">Electronics combines the </w:t>
      </w:r>
      <w:r>
        <w:rPr>
          <w:b/>
          <w:sz w:val="18"/>
        </w:rPr>
        <w:t>highest six-month revenue of ₹226.53M</w:t>
      </w:r>
      <w:r>
        <w:rPr>
          <w:sz w:val="18"/>
        </w:rPr>
        <w:t xml:space="preserve"> with the </w:t>
      </w:r>
      <w:r>
        <w:rPr>
          <w:b/>
          <w:sz w:val="18"/>
        </w:rPr>
        <w:t>steepest decline of 35.0%</w:t>
      </w:r>
      <w:r>
        <w:rPr>
          <w:sz w:val="18"/>
        </w:rPr>
        <w:t xml:space="preserve">. The supplier discussion should investigate the reasons behind the decline while considering the continued contribution of major products such as </w:t>
      </w:r>
      <w:r>
        <w:rPr>
          <w:b/>
          <w:sz w:val="18"/>
        </w:rPr>
        <w:t>Headphones and Laptop</w:t>
      </w:r>
      <w:r>
        <w:rPr>
          <w:sz w:val="18"/>
        </w:rPr>
        <w:t>.</w:t>
      </w:r>
    </w:p>
    <w:p>
      <w:pPr>
        <w:spacing w:before="120" w:after="40"/>
      </w:pPr>
      <w:r>
        <w:rPr>
          <w:b/>
          <w:color w:val="142337"/>
          <w:sz w:val="26"/>
        </w:rPr>
        <w:t>LIMITATION &amp; DATA NEEDED</w:t>
      </w:r>
    </w:p>
    <w:p>
      <w:pPr>
        <w:spacing w:after="60" w:line="247" w:lineRule="auto"/>
      </w:pPr>
      <w:r>
        <w:rPr>
          <w:sz w:val="18"/>
        </w:rPr>
        <w:t xml:space="preserve">The dataset shows </w:t>
      </w:r>
      <w:r>
        <w:rPr>
          <w:b/>
          <w:sz w:val="18"/>
        </w:rPr>
        <w:t>what was sold, but not whether products were available to sell</w:t>
      </w:r>
      <w:r>
        <w:rPr>
          <w:sz w:val="18"/>
        </w:rPr>
        <w:t xml:space="preserve">. </w:t>
      </w:r>
      <w:r>
        <w:rPr>
          <w:b/>
          <w:sz w:val="18"/>
        </w:rPr>
        <w:t>Inventory and stockout data</w:t>
      </w:r>
      <w:r>
        <w:rPr>
          <w:sz w:val="18"/>
        </w:rPr>
        <w:t xml:space="preserve"> would help distinguish between weak customer demand and lost sales caused by product unavailability. </w:t>
      </w:r>
      <w:r>
        <w:rPr>
          <w:b/>
          <w:sz w:val="18"/>
        </w:rPr>
        <w:t>Cost and gross-margin data</w:t>
      </w:r>
      <w:r>
        <w:rPr>
          <w:sz w:val="18"/>
        </w:rPr>
        <w:t xml:space="preserve"> would also be required to evaluate the profitability of discount strategies.</w:t>
      </w:r>
    </w:p>
    <w:p>
      <w:pPr>
        <w:spacing w:before="120" w:after="40"/>
      </w:pPr>
      <w:r>
        <w:rPr>
          <w:b/>
          <w:color w:val="142337"/>
          <w:sz w:val="26"/>
        </w:rPr>
        <w:t>FINAL BUSINESS TAKEAWAY</w:t>
      </w:r>
    </w:p>
    <w:p>
      <w:pPr>
        <w:spacing w:after="40"/>
        <w:ind w:left="216"/>
      </w:pPr>
      <w:r>
        <w:rPr>
          <w:b/>
          <w:i/>
          <w:color w:val="2D4155"/>
          <w:sz w:val="18"/>
        </w:rPr>
        <w:t>Electronics is the key area requiring supplier attention: it contributes the most revenue but has experienced the sharpest decline. Product-level revenue remains substantial, while deeper discounts have not produced a clear increase in transaction value or units sold. Sales activity is strongest on weekends, particularly Saturday, providing a potential timing signal for future promotional testing.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Calibo AI Academy | Phase 1 — Mini Use Case 01 | Category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