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240"/>
        <w:jc w:val="center"/>
      </w:pPr>
      <w:r>
        <w:rPr>
          <w:rFonts w:ascii="Arial" w:hAnsi="Arial"/>
          <w:b/>
          <w:i w:val="0"/>
          <w:color w:val="1F3A5F"/>
          <w:sz w:val="56"/>
        </w:rPr>
        <w:t>QAScope — QA Test Report</w:t>
      </w:r>
    </w:p>
    <w:p>
      <w:pPr>
        <w:spacing w:after="240"/>
        <w:jc w:val="center"/>
      </w:pPr>
      <w:r>
        <w:rPr>
          <w:rFonts w:ascii="Arial" w:hAnsi="Arial"/>
          <w:b w:val="0"/>
          <w:i w:val="0"/>
          <w:color w:val="555555"/>
          <w:sz w:val="28"/>
        </w:rPr>
        <w:t>End-to-end functional and LLM-relevance assessment</w:t>
      </w:r>
    </w:p>
    <w:p>
      <w:pPr>
        <w:spacing w:after="120"/>
        <w:jc w:val="center"/>
      </w:pPr>
      <w:r>
        <w:rPr>
          <w:rFonts w:ascii="Arial" w:hAnsi="Arial"/>
          <w:b w:val="0"/>
          <w:i w:val="0"/>
          <w:sz w:val="22"/>
        </w:rPr>
        <w:t>Workspace: HCL Technologies</w:t>
      </w:r>
    </w:p>
    <w:p>
      <w:pPr>
        <w:spacing w:after="120"/>
        <w:jc w:val="center"/>
      </w:pPr>
      <w:r>
        <w:rPr>
          <w:rFonts w:ascii="Arial" w:hAnsi="Arial"/>
          <w:b w:val="0"/>
          <w:i w:val="0"/>
          <w:sz w:val="22"/>
        </w:rPr>
        <w:t>Test environment: localhost:3000 (dev)</w:t>
      </w:r>
    </w:p>
    <w:p>
      <w:pPr>
        <w:spacing w:after="120"/>
        <w:jc w:val="center"/>
      </w:pPr>
      <w:r>
        <w:rPr>
          <w:rFonts w:ascii="Arial" w:hAnsi="Arial"/>
          <w:b w:val="0"/>
          <w:i w:val="0"/>
          <w:sz w:val="22"/>
        </w:rPr>
        <w:t>Date: 8 May 2026</w:t>
      </w:r>
    </w:p>
    <w:p>
      <w:pPr>
        <w:spacing w:after="120"/>
        <w:jc w:val="center"/>
      </w:pPr>
      <w:r>
        <w:rPr>
          <w:rFonts w:ascii="Arial" w:hAnsi="Arial"/>
          <w:b w:val="0"/>
          <w:i w:val="0"/>
          <w:sz w:val="22"/>
        </w:rPr>
        <w:t>LLM provider under test: AWS Bedrock — Amazon Nova Pro</w:t>
      </w:r>
    </w:p>
    <w:p>
      <w:r>
        <w:br w:type="page"/>
      </w:r>
    </w:p>
    <w:p>
      <w:pPr>
        <w:pStyle w:val="Heading1"/>
        <w:spacing w:before="280" w:after="160"/>
      </w:pPr>
      <w:r>
        <w:rPr>
          <w:rFonts w:ascii="Arial" w:hAnsi="Arial"/>
          <w:b/>
          <w:i w:val="0"/>
          <w:color w:val="1F3A5F"/>
          <w:sz w:val="36"/>
        </w:rPr>
        <w:t>1. Executive Summary</w:t>
      </w:r>
    </w:p>
    <w:p>
      <w:pPr>
        <w:spacing w:before="0" w:after="80" w:line="300" w:lineRule="auto"/>
      </w:pPr>
      <w:r>
        <w:rPr>
          <w:rFonts w:ascii="Arial" w:hAnsi="Arial"/>
          <w:b w:val="0"/>
          <w:i w:val="0"/>
        </w:rPr>
        <w:t>QAScope was tested end-to-end against the production-style fixture dataset (100 conversations across chat, voice transcript, and email channels, 12 agents, 4 teams). All nine application surfaces — Dashboard, Upload, Rubrics, Knowledge, Results, Review queue, Reports, Billing, and Settings — were exercised. LLM-output relevance was spot-checked across multiple result detail pages.</w:t>
      </w:r>
    </w:p>
    <w:p>
      <w:pPr>
        <w:spacing w:before="0" w:after="80" w:line="300" w:lineRule="auto"/>
      </w:pPr>
      <w:r>
        <w:rPr>
          <w:rFonts w:ascii="Arial" w:hAnsi="Arial"/>
          <w:b w:val="0"/>
          <w:i w:val="0"/>
        </w:rPr>
        <w:t>The application is functional and the LLM output, where it succeeds, is high quality — coaching notes are specific, cite actual transcript phrases, and offer concrete improvement suggestions. The per-criterion explanations are well-grounded in the source conversation.</w:t>
      </w:r>
    </w:p>
    <w:p>
      <w:pPr>
        <w:spacing w:before="0" w:after="80" w:line="300" w:lineRule="auto"/>
      </w:pPr>
      <w:r>
        <w:rPr>
          <w:rFonts w:ascii="Arial" w:hAnsi="Arial"/>
          <w:b w:val="0"/>
          <w:i w:val="0"/>
        </w:rPr>
        <w:t>Two issues, however, materially distort the headline numbers and require attention before this can be considered production-ready:</w:t>
      </w:r>
    </w:p>
    <w:p>
      <w:pPr>
        <w:pStyle w:val="ListBullet"/>
        <w:spacing w:after="40"/>
        <w:ind w:left="432"/>
      </w:pPr>
      <w:r>
        <w:rPr>
          <w:rFonts w:ascii="Arial" w:hAnsi="Arial"/>
          <w:b/>
          <w:i w:val="0"/>
          <w:color w:val="C0392B"/>
        </w:rPr>
        <w:t xml:space="preserve">CRITICAL — </w:t>
      </w:r>
      <w:r>
        <w:rPr>
          <w:rFonts w:ascii="Arial" w:hAnsi="Arial"/>
          <w:b w:val="0"/>
          <w:i w:val="0"/>
        </w:rPr>
        <w:t>Bedrock 429 (rate-limit) errors are silently recorded as 0/2 "Failed" criterion scores. This inflates the compliance-fail rate, drags average scores down, and is the primary cause of the alarming "79% compliance fail" headline on the dashboard.</w:t>
      </w:r>
    </w:p>
    <w:p>
      <w:pPr>
        <w:pStyle w:val="ListBullet"/>
        <w:spacing w:after="40"/>
        <w:ind w:left="432"/>
      </w:pPr>
      <w:r>
        <w:rPr>
          <w:rFonts w:ascii="Arial" w:hAnsi="Arial"/>
          <w:b/>
          <w:i w:val="0"/>
          <w:color w:val="E67E22"/>
        </w:rPr>
        <w:t xml:space="preserve">HIGH — </w:t>
      </w:r>
      <w:r>
        <w:rPr>
          <w:rFonts w:ascii="Arial" w:hAnsi="Arial"/>
          <w:b w:val="0"/>
          <w:i w:val="0"/>
        </w:rPr>
        <w:t>Unicode escape sequences (\u2190, \u2192, \u00b7, \u201c, \u201d) render as raw text instead of as the arrow, middle-dot, and curly-quote glyphs they encode. Visible on every page that uses these characters.</w:t>
      </w:r>
    </w:p>
    <w:p>
      <w:pPr>
        <w:spacing w:before="0" w:after="80" w:line="300" w:lineRule="auto"/>
      </w:pPr>
      <w:r>
        <w:rPr>
          <w:rFonts w:ascii="Arial" w:hAnsi="Arial"/>
          <w:b w:val="0"/>
          <w:i w:val="0"/>
        </w:rPr>
        <w:t>Beyond those two, a small set of medium- and low-severity bugs and copy issues are documented in §6 with reproduction notes and severity grading.</w:t>
      </w:r>
    </w:p>
    <w:p>
      <w:pPr>
        <w:pStyle w:val="Heading1"/>
        <w:spacing w:before="280" w:after="160"/>
      </w:pPr>
      <w:r>
        <w:rPr>
          <w:rFonts w:ascii="Arial" w:hAnsi="Arial"/>
          <w:b/>
          <w:i w:val="0"/>
          <w:color w:val="1F3A5F"/>
          <w:sz w:val="36"/>
        </w:rPr>
        <w:t>2. Feature Inventory</w:t>
      </w:r>
    </w:p>
    <w:p>
      <w:pPr>
        <w:spacing w:before="0" w:after="80" w:line="300" w:lineRule="auto"/>
      </w:pPr>
      <w:r>
        <w:rPr>
          <w:rFonts w:ascii="Arial" w:hAnsi="Arial"/>
          <w:b w:val="0"/>
          <w:i w:val="0"/>
        </w:rPr>
        <w:t>Nine top-level surfaces are reachable from the left navigation. Each is summarized below with its purpose and the controls/options it exposes.</w:t>
      </w:r>
    </w:p>
    <w:tbl>
      <w:tblPr>
        <w:tblStyle w:val="TableGrid"/>
        <w:tblW w:type="auto" w:w="0"/>
        <w:tblLayout w:type="fixed"/>
        <w:tblLook w:firstColumn="1" w:firstRow="1" w:lastColumn="0" w:lastRow="0" w:noHBand="0" w:noVBand="1" w:val="04A0"/>
      </w:tblPr>
      <w:tblGrid>
        <w:gridCol w:w="3360"/>
        <w:gridCol w:w="3360"/>
        <w:gridCol w:w="3360"/>
      </w:tblGrid>
      <w:tr>
        <w:tc>
          <w:tcPr>
            <w:tcW w:type="dxa" w:w="1872"/>
            <w:vAlign w:val="top"/>
            <w:shd w:val="clear" w:color="auto" w:fill="F0EDEB"/>
          </w:tcPr>
          <w:p>
            <w:pPr>
              <w:spacing w:before="40" w:after="40"/>
            </w:pPr>
            <w:r>
              <w:rPr>
                <w:rFonts w:ascii="Arial" w:hAnsi="Arial"/>
                <w:b/>
                <w:i w:val="0"/>
                <w:sz w:val="20"/>
              </w:rPr>
              <w:t>Surface</w:t>
            </w:r>
          </w:p>
        </w:tc>
        <w:tc>
          <w:tcPr>
            <w:tcW w:type="dxa" w:w="3168"/>
            <w:vAlign w:val="top"/>
            <w:shd w:val="clear" w:color="auto" w:fill="F0EDEB"/>
          </w:tcPr>
          <w:p>
            <w:pPr>
              <w:spacing w:before="40" w:after="40"/>
            </w:pPr>
            <w:r>
              <w:rPr>
                <w:rFonts w:ascii="Arial" w:hAnsi="Arial"/>
                <w:b/>
                <w:i w:val="0"/>
                <w:sz w:val="20"/>
              </w:rPr>
              <w:t>Purpose</w:t>
            </w:r>
          </w:p>
        </w:tc>
        <w:tc>
          <w:tcPr>
            <w:tcW w:type="dxa" w:w="5040"/>
            <w:vAlign w:val="top"/>
            <w:shd w:val="clear" w:color="auto" w:fill="F0EDEB"/>
          </w:tcPr>
          <w:p>
            <w:pPr>
              <w:spacing w:before="40" w:after="40"/>
            </w:pPr>
            <w:r>
              <w:rPr>
                <w:rFonts w:ascii="Arial" w:hAnsi="Arial"/>
                <w:b/>
                <w:i w:val="0"/>
                <w:sz w:val="20"/>
              </w:rPr>
              <w:t>Controls / Options</w:t>
            </w:r>
          </w:p>
        </w:tc>
      </w:tr>
      <w:tr>
        <w:tc>
          <w:tcPr>
            <w:tcW w:type="dxa" w:w="1872"/>
            <w:vAlign w:val="top"/>
          </w:tcPr>
          <w:p>
            <w:pPr>
              <w:spacing w:before="40" w:after="40"/>
            </w:pPr>
            <w:r>
              <w:rPr>
                <w:rFonts w:ascii="Arial" w:hAnsi="Arial"/>
                <w:b/>
                <w:i w:val="0"/>
                <w:sz w:val="20"/>
              </w:rPr>
              <w:t>Dashboard</w:t>
            </w:r>
          </w:p>
        </w:tc>
        <w:tc>
          <w:tcPr>
            <w:tcW w:type="dxa" w:w="3168"/>
            <w:vAlign w:val="top"/>
          </w:tcPr>
          <w:p>
            <w:pPr>
              <w:spacing w:before="40" w:after="40"/>
            </w:pPr>
            <w:r>
              <w:rPr>
                <w:rFonts w:ascii="Arial" w:hAnsi="Arial"/>
                <w:b w:val="0"/>
                <w:i w:val="0"/>
                <w:sz w:val="20"/>
              </w:rPr>
              <w:t>Workspace KPIs over the last 30 days.</w:t>
            </w:r>
          </w:p>
        </w:tc>
        <w:tc>
          <w:tcPr>
            <w:tcW w:type="dxa" w:w="5040"/>
            <w:vAlign w:val="top"/>
          </w:tcPr>
          <w:p>
            <w:pPr>
              <w:spacing w:before="40" w:after="40"/>
            </w:pPr>
            <w:r>
              <w:rPr>
                <w:rFonts w:ascii="Arial" w:hAnsi="Arial"/>
                <w:b w:val="0"/>
                <w:i w:val="0"/>
                <w:sz w:val="20"/>
              </w:rPr>
              <w:t>Conversations Scored, Average Score, Compliance Fails, Appealed; Pending First Review, Pending Second Review, Status Mix; By Team, By Channel, Top Performers (min 3 scored), Needs Coaching (min 3 scored), Quick Links.</w:t>
            </w:r>
          </w:p>
        </w:tc>
      </w:tr>
      <w:tr>
        <w:tc>
          <w:tcPr>
            <w:tcW w:type="dxa" w:w="1872"/>
            <w:vAlign w:val="top"/>
          </w:tcPr>
          <w:p>
            <w:pPr>
              <w:spacing w:before="40" w:after="40"/>
            </w:pPr>
            <w:r>
              <w:rPr>
                <w:rFonts w:ascii="Arial" w:hAnsi="Arial"/>
                <w:b/>
                <w:i w:val="0"/>
                <w:sz w:val="20"/>
              </w:rPr>
              <w:t>Upload</w:t>
            </w:r>
          </w:p>
        </w:tc>
        <w:tc>
          <w:tcPr>
            <w:tcW w:type="dxa" w:w="3168"/>
            <w:vAlign w:val="top"/>
          </w:tcPr>
          <w:p>
            <w:pPr>
              <w:spacing w:before="40" w:after="40"/>
            </w:pPr>
            <w:r>
              <w:rPr>
                <w:rFonts w:ascii="Arial" w:hAnsi="Arial"/>
                <w:b w:val="0"/>
                <w:i w:val="0"/>
                <w:sz w:val="20"/>
              </w:rPr>
              <w:t>Bulk-load conversations from any CSV.</w:t>
            </w:r>
          </w:p>
        </w:tc>
        <w:tc>
          <w:tcPr>
            <w:tcW w:type="dxa" w:w="5040"/>
            <w:vAlign w:val="top"/>
          </w:tcPr>
          <w:p>
            <w:pPr>
              <w:spacing w:before="40" w:after="40"/>
            </w:pPr>
            <w:r>
              <w:rPr>
                <w:rFonts w:ascii="Arial" w:hAnsi="Arial"/>
                <w:b w:val="0"/>
                <w:i w:val="0"/>
                <w:sz w:val="20"/>
              </w:rPr>
              <w:t>Drag-and-drop / click to choose CSV; max 10 MB / 5,000 rows; column-mapping in step 2 (per the page copy, not exercised in this run); Upload action.</w:t>
            </w:r>
          </w:p>
        </w:tc>
      </w:tr>
      <w:tr>
        <w:tc>
          <w:tcPr>
            <w:tcW w:type="dxa" w:w="1872"/>
            <w:vAlign w:val="top"/>
          </w:tcPr>
          <w:p>
            <w:pPr>
              <w:spacing w:before="40" w:after="40"/>
            </w:pPr>
            <w:r>
              <w:rPr>
                <w:rFonts w:ascii="Arial" w:hAnsi="Arial"/>
                <w:b/>
                <w:i w:val="0"/>
                <w:sz w:val="20"/>
              </w:rPr>
              <w:t>Rubrics</w:t>
            </w:r>
          </w:p>
        </w:tc>
        <w:tc>
          <w:tcPr>
            <w:tcW w:type="dxa" w:w="3168"/>
            <w:vAlign w:val="top"/>
          </w:tcPr>
          <w:p>
            <w:pPr>
              <w:spacing w:before="40" w:after="40"/>
            </w:pPr>
            <w:r>
              <w:rPr>
                <w:rFonts w:ascii="Arial" w:hAnsi="Arial"/>
                <w:b w:val="0"/>
                <w:i w:val="0"/>
                <w:sz w:val="20"/>
              </w:rPr>
              <w:t>Define the weighted criteria each conversation is scored against.</w:t>
            </w:r>
          </w:p>
        </w:tc>
        <w:tc>
          <w:tcPr>
            <w:tcW w:type="dxa" w:w="5040"/>
            <w:vAlign w:val="top"/>
          </w:tcPr>
          <w:p>
            <w:pPr>
              <w:spacing w:before="40" w:after="40"/>
            </w:pPr>
            <w:r>
              <w:rPr>
                <w:rFonts w:ascii="Arial" w:hAnsi="Arial"/>
                <w:b w:val="0"/>
                <w:i w:val="0"/>
                <w:sz w:val="20"/>
              </w:rPr>
              <w:t>Active rubric named and versioned; 7 default criteria (Compliance, Resolution accuracy, Empathy, Clarity, Escalation, Documentation, Proactive next steps); per-criterion description, weight, critical flag; total weight enforced at 100; Save bumps version. Below: 7 active fatal rules, bulk-upload-from-CSV, Add fatal rule.</w:t>
            </w:r>
          </w:p>
        </w:tc>
      </w:tr>
      <w:tr>
        <w:tc>
          <w:tcPr>
            <w:tcW w:type="dxa" w:w="1872"/>
            <w:vAlign w:val="top"/>
          </w:tcPr>
          <w:p>
            <w:pPr>
              <w:spacing w:before="40" w:after="40"/>
            </w:pPr>
            <w:r>
              <w:rPr>
                <w:rFonts w:ascii="Arial" w:hAnsi="Arial"/>
                <w:b/>
                <w:i w:val="0"/>
                <w:sz w:val="20"/>
              </w:rPr>
              <w:t>Knowledge</w:t>
            </w:r>
          </w:p>
        </w:tc>
        <w:tc>
          <w:tcPr>
            <w:tcW w:type="dxa" w:w="3168"/>
            <w:vAlign w:val="top"/>
          </w:tcPr>
          <w:p>
            <w:pPr>
              <w:spacing w:before="40" w:after="40"/>
            </w:pPr>
            <w:r>
              <w:rPr>
                <w:rFonts w:ascii="Arial" w:hAnsi="Arial"/>
                <w:b w:val="0"/>
                <w:i w:val="0"/>
                <w:sz w:val="20"/>
              </w:rPr>
              <w:t>Upload SOPs / docs that ground scoring via RAG.</w:t>
            </w:r>
          </w:p>
        </w:tc>
        <w:tc>
          <w:tcPr>
            <w:tcW w:type="dxa" w:w="5040"/>
            <w:vAlign w:val="top"/>
          </w:tcPr>
          <w:p>
            <w:pPr>
              <w:spacing w:before="40" w:after="40"/>
            </w:pPr>
            <w:r>
              <w:rPr>
                <w:rFonts w:ascii="Arial" w:hAnsi="Arial"/>
                <w:b w:val="0"/>
                <w:i w:val="0"/>
                <w:sz w:val="20"/>
              </w:rPr>
              <w:t>Knowledge table (title, type, status, uploaded date, chunk count, delete); upload .md / .txt only, max 10 MB; optional title field. Status "Ready" indicates Bedrock Titan embedding succeeded.</w:t>
            </w:r>
          </w:p>
        </w:tc>
      </w:tr>
      <w:tr>
        <w:tc>
          <w:tcPr>
            <w:tcW w:type="dxa" w:w="1872"/>
            <w:vAlign w:val="top"/>
          </w:tcPr>
          <w:p>
            <w:pPr>
              <w:spacing w:before="40" w:after="40"/>
            </w:pPr>
            <w:r>
              <w:rPr>
                <w:rFonts w:ascii="Arial" w:hAnsi="Arial"/>
                <w:b/>
                <w:i w:val="0"/>
                <w:sz w:val="20"/>
              </w:rPr>
              <w:t>Results</w:t>
            </w:r>
          </w:p>
        </w:tc>
        <w:tc>
          <w:tcPr>
            <w:tcW w:type="dxa" w:w="3168"/>
            <w:vAlign w:val="top"/>
          </w:tcPr>
          <w:p>
            <w:pPr>
              <w:spacing w:before="40" w:after="40"/>
            </w:pPr>
            <w:r>
              <w:rPr>
                <w:rFonts w:ascii="Arial" w:hAnsi="Arial"/>
                <w:b w:val="0"/>
                <w:i w:val="0"/>
                <w:sz w:val="20"/>
              </w:rPr>
              <w:t>Master list of every scored conversation.</w:t>
            </w:r>
          </w:p>
        </w:tc>
        <w:tc>
          <w:tcPr>
            <w:tcW w:type="dxa" w:w="5040"/>
            <w:vAlign w:val="top"/>
          </w:tcPr>
          <w:p>
            <w:pPr>
              <w:spacing w:before="40" w:after="40"/>
            </w:pPr>
            <w:r>
              <w:rPr>
                <w:rFonts w:ascii="Arial" w:hAnsi="Arial"/>
                <w:b w:val="0"/>
                <w:i w:val="0"/>
                <w:sz w:val="20"/>
              </w:rPr>
              <w:t>Columns: Date, Agent, Channel, Score, Confidence %, Status (Final / Needs review / Compliance fail), External ID. Header actions: "Nothing to score" indicator and "Rescore all". Row click opens detail view.</w:t>
            </w:r>
          </w:p>
        </w:tc>
      </w:tr>
      <w:tr>
        <w:tc>
          <w:tcPr>
            <w:tcW w:type="dxa" w:w="1872"/>
            <w:vAlign w:val="top"/>
          </w:tcPr>
          <w:p>
            <w:pPr>
              <w:spacing w:before="40" w:after="40"/>
            </w:pPr>
            <w:r>
              <w:rPr>
                <w:rFonts w:ascii="Arial" w:hAnsi="Arial"/>
                <w:b/>
                <w:i w:val="0"/>
                <w:sz w:val="20"/>
              </w:rPr>
              <w:t>Result detail</w:t>
            </w:r>
          </w:p>
        </w:tc>
        <w:tc>
          <w:tcPr>
            <w:tcW w:type="dxa" w:w="3168"/>
            <w:vAlign w:val="top"/>
          </w:tcPr>
          <w:p>
            <w:pPr>
              <w:spacing w:before="40" w:after="40"/>
            </w:pPr>
            <w:r>
              <w:rPr>
                <w:rFonts w:ascii="Arial" w:hAnsi="Arial"/>
                <w:b w:val="0"/>
                <w:i w:val="0"/>
                <w:sz w:val="20"/>
              </w:rPr>
              <w:t>Per-conversation breakdown.</w:t>
            </w:r>
          </w:p>
        </w:tc>
        <w:tc>
          <w:tcPr>
            <w:tcW w:type="dxa" w:w="5040"/>
            <w:vAlign w:val="top"/>
          </w:tcPr>
          <w:p>
            <w:pPr>
              <w:spacing w:before="40" w:after="40"/>
            </w:pPr>
            <w:r>
              <w:rPr>
                <w:rFonts w:ascii="Arial" w:hAnsi="Arial"/>
                <w:b w:val="0"/>
                <w:i w:val="0"/>
                <w:sz w:val="20"/>
              </w:rPr>
              <w:t>Coaching note (LLM); per-criterion score with weight, met/partial/failed, confidence %, evidence quote; full transcript at the bottom; back-to-results link.</w:t>
            </w:r>
          </w:p>
        </w:tc>
      </w:tr>
      <w:tr>
        <w:tc>
          <w:tcPr>
            <w:tcW w:type="dxa" w:w="1872"/>
            <w:vAlign w:val="top"/>
          </w:tcPr>
          <w:p>
            <w:pPr>
              <w:spacing w:before="40" w:after="40"/>
            </w:pPr>
            <w:r>
              <w:rPr>
                <w:rFonts w:ascii="Arial" w:hAnsi="Arial"/>
                <w:b/>
                <w:i w:val="0"/>
                <w:sz w:val="20"/>
              </w:rPr>
              <w:t>Review queue</w:t>
            </w:r>
          </w:p>
        </w:tc>
        <w:tc>
          <w:tcPr>
            <w:tcW w:type="dxa" w:w="3168"/>
            <w:vAlign w:val="top"/>
          </w:tcPr>
          <w:p>
            <w:pPr>
              <w:spacing w:before="40" w:after="40"/>
            </w:pPr>
            <w:r>
              <w:rPr>
                <w:rFonts w:ascii="Arial" w:hAnsi="Arial"/>
                <w:b w:val="0"/>
                <w:i w:val="0"/>
                <w:sz w:val="20"/>
              </w:rPr>
              <w:t>Two-tier human review of flagged scores.</w:t>
            </w:r>
          </w:p>
        </w:tc>
        <w:tc>
          <w:tcPr>
            <w:tcW w:type="dxa" w:w="5040"/>
            <w:vAlign w:val="top"/>
          </w:tcPr>
          <w:p>
            <w:pPr>
              <w:spacing w:before="40" w:after="40"/>
            </w:pPr>
            <w:r>
              <w:rPr>
                <w:rFonts w:ascii="Arial" w:hAnsi="Arial"/>
                <w:b w:val="0"/>
                <w:i w:val="0"/>
                <w:sz w:val="20"/>
              </w:rPr>
              <w:t>Counts: awaiting first review / awaiting second review / resolved; per-row Agree / Disagree actions; SLA timer (24h per tier, items auto-approve after deadline).</w:t>
            </w:r>
          </w:p>
        </w:tc>
      </w:tr>
      <w:tr>
        <w:tc>
          <w:tcPr>
            <w:tcW w:type="dxa" w:w="1872"/>
            <w:vAlign w:val="top"/>
          </w:tcPr>
          <w:p>
            <w:pPr>
              <w:spacing w:before="40" w:after="40"/>
            </w:pPr>
            <w:r>
              <w:rPr>
                <w:rFonts w:ascii="Arial" w:hAnsi="Arial"/>
                <w:b/>
                <w:i w:val="0"/>
                <w:sz w:val="20"/>
              </w:rPr>
              <w:t>Reports</w:t>
            </w:r>
          </w:p>
        </w:tc>
        <w:tc>
          <w:tcPr>
            <w:tcW w:type="dxa" w:w="3168"/>
            <w:vAlign w:val="top"/>
          </w:tcPr>
          <w:p>
            <w:pPr>
              <w:spacing w:before="40" w:after="40"/>
            </w:pPr>
            <w:r>
              <w:rPr>
                <w:rFonts w:ascii="Arial" w:hAnsi="Arial"/>
                <w:b w:val="0"/>
                <w:i w:val="0"/>
                <w:sz w:val="20"/>
              </w:rPr>
              <w:t>Period reports for sharing externally.</w:t>
            </w:r>
          </w:p>
        </w:tc>
        <w:tc>
          <w:tcPr>
            <w:tcW w:type="dxa" w:w="5040"/>
            <w:vAlign w:val="top"/>
          </w:tcPr>
          <w:p>
            <w:pPr>
              <w:spacing w:before="40" w:after="40"/>
            </w:pPr>
            <w:r>
              <w:rPr>
                <w:rFonts w:ascii="Arial" w:hAnsi="Arial"/>
                <w:b w:val="0"/>
                <w:i w:val="0"/>
                <w:sz w:val="20"/>
              </w:rPr>
              <w:t>Weekly (Current Week) view with previous/next navigation; KPI cards with delta vs AI baseline; status mix; By Channel and Per-Agent breakdowns; Saved templates; Print / save PDF.</w:t>
            </w:r>
          </w:p>
        </w:tc>
      </w:tr>
      <w:tr>
        <w:tc>
          <w:tcPr>
            <w:tcW w:type="dxa" w:w="1872"/>
            <w:vAlign w:val="top"/>
          </w:tcPr>
          <w:p>
            <w:pPr>
              <w:spacing w:before="40" w:after="40"/>
            </w:pPr>
            <w:r>
              <w:rPr>
                <w:rFonts w:ascii="Arial" w:hAnsi="Arial"/>
                <w:b/>
                <w:i w:val="0"/>
                <w:sz w:val="20"/>
              </w:rPr>
              <w:t>Billing</w:t>
            </w:r>
          </w:p>
        </w:tc>
        <w:tc>
          <w:tcPr>
            <w:tcW w:type="dxa" w:w="3168"/>
            <w:vAlign w:val="top"/>
          </w:tcPr>
          <w:p>
            <w:pPr>
              <w:spacing w:before="40" w:after="40"/>
            </w:pPr>
            <w:r>
              <w:rPr>
                <w:rFonts w:ascii="Arial" w:hAnsi="Arial"/>
                <w:b w:val="0"/>
                <w:i w:val="0"/>
                <w:sz w:val="20"/>
              </w:rPr>
              <w:t>Plan, usage, and LLM spend.</w:t>
            </w:r>
          </w:p>
        </w:tc>
        <w:tc>
          <w:tcPr>
            <w:tcW w:type="dxa" w:w="5040"/>
            <w:vAlign w:val="top"/>
          </w:tcPr>
          <w:p>
            <w:pPr>
              <w:spacing w:before="40" w:after="40"/>
            </w:pPr>
            <w:r>
              <w:rPr>
                <w:rFonts w:ascii="Arial" w:hAnsi="Arial"/>
                <w:b w:val="0"/>
                <w:i w:val="0"/>
                <w:sz w:val="20"/>
              </w:rPr>
              <w:t>Current plan card (Pilot — free trial); This Month's Usage (count vs cap); Team Seats; LLM Usage card with estimated cost, API calls, prompt tokens, completion tokens.</w:t>
            </w:r>
          </w:p>
        </w:tc>
      </w:tr>
      <w:tr>
        <w:tc>
          <w:tcPr>
            <w:tcW w:type="dxa" w:w="1872"/>
            <w:vAlign w:val="top"/>
          </w:tcPr>
          <w:p>
            <w:pPr>
              <w:spacing w:before="40" w:after="40"/>
            </w:pPr>
            <w:r>
              <w:rPr>
                <w:rFonts w:ascii="Arial" w:hAnsi="Arial"/>
                <w:b/>
                <w:i w:val="0"/>
                <w:sz w:val="20"/>
              </w:rPr>
              <w:t>Settings</w:t>
            </w:r>
          </w:p>
        </w:tc>
        <w:tc>
          <w:tcPr>
            <w:tcW w:type="dxa" w:w="3168"/>
            <w:vAlign w:val="top"/>
          </w:tcPr>
          <w:p>
            <w:pPr>
              <w:spacing w:before="40" w:after="40"/>
            </w:pPr>
            <w:r>
              <w:rPr>
                <w:rFonts w:ascii="Arial" w:hAnsi="Arial"/>
                <w:b w:val="0"/>
                <w:i w:val="0"/>
                <w:sz w:val="20"/>
              </w:rPr>
              <w:t>Account, team, LLM provider, review workflow.</w:t>
            </w:r>
          </w:p>
        </w:tc>
        <w:tc>
          <w:tcPr>
            <w:tcW w:type="dxa" w:w="5040"/>
            <w:vAlign w:val="top"/>
          </w:tcPr>
          <w:p>
            <w:pPr>
              <w:spacing w:before="40" w:after="40"/>
            </w:pPr>
            <w:r>
              <w:rPr>
                <w:rFonts w:ascii="Arial" w:hAnsi="Arial"/>
                <w:b w:val="0"/>
                <w:i w:val="0"/>
                <w:sz w:val="20"/>
              </w:rPr>
              <w:t>Account info; Manage team members; LLM provider (OpenRouter / OpenAI direct / Together AI / Groq / Azure OpenAI / Custom) with API key, base URL, model; Review workflow: second reviewer, SLA per tier (default 24h), Pass threshold (default 70%).</w:t>
            </w:r>
          </w:p>
        </w:tc>
      </w:tr>
    </w:tbl>
    <w:p>
      <w:pPr>
        <w:pStyle w:val="Heading1"/>
        <w:spacing w:before="280" w:after="160"/>
      </w:pPr>
      <w:r>
        <w:rPr>
          <w:rFonts w:ascii="Arial" w:hAnsi="Arial"/>
          <w:b/>
          <w:i w:val="0"/>
          <w:color w:val="1F3A5F"/>
          <w:sz w:val="36"/>
        </w:rPr>
        <w:t>3. Authentication &amp; Session</w:t>
      </w:r>
    </w:p>
    <w:p>
      <w:pPr>
        <w:pStyle w:val="ListBullet"/>
        <w:spacing w:after="40"/>
        <w:ind w:left="432"/>
      </w:pPr>
      <w:r>
        <w:rPr>
          <w:rFonts w:ascii="Arial" w:hAnsi="Arial"/>
          <w:b/>
          <w:i w:val="0"/>
        </w:rPr>
        <w:t xml:space="preserve">Login persistence: </w:t>
      </w:r>
      <w:r>
        <w:rPr>
          <w:rFonts w:ascii="Arial" w:hAnsi="Arial"/>
          <w:b w:val="0"/>
          <w:i w:val="0"/>
        </w:rPr>
        <w:t>PASS — visiting /login while authenticated redirects to /dashboard. Session stable across navigation.</w:t>
      </w:r>
    </w:p>
    <w:p>
      <w:pPr>
        <w:pStyle w:val="ListBullet"/>
        <w:spacing w:after="40"/>
        <w:ind w:left="432"/>
      </w:pPr>
      <w:r>
        <w:rPr>
          <w:rFonts w:ascii="Arial" w:hAnsi="Arial"/>
          <w:b/>
          <w:i w:val="0"/>
        </w:rPr>
        <w:t xml:space="preserve">Authorization: </w:t>
      </w:r>
      <w:r>
        <w:rPr>
          <w:rFonts w:ascii="Arial" w:hAnsi="Arial"/>
          <w:b w:val="0"/>
          <w:i w:val="0"/>
        </w:rPr>
        <w:t>PASS — user is recognized as ADMIN; admin-only LLM provider config is shown.</w:t>
      </w:r>
    </w:p>
    <w:p>
      <w:pPr>
        <w:pStyle w:val="ListBullet"/>
        <w:spacing w:after="40"/>
        <w:ind w:left="432"/>
      </w:pPr>
      <w:r>
        <w:rPr>
          <w:rFonts w:ascii="Arial" w:hAnsi="Arial"/>
          <w:b/>
          <w:i w:val="0"/>
        </w:rPr>
        <w:t xml:space="preserve">Signup flow: </w:t>
      </w:r>
      <w:r>
        <w:rPr>
          <w:rFonts w:ascii="Arial" w:hAnsi="Arial"/>
          <w:b w:val="0"/>
          <w:i w:val="0"/>
        </w:rPr>
        <w:t>Not exercised in this run (per the test plan we used the existing account). Recommend a separate pass once a stable test account can be created.</w:t>
      </w:r>
    </w:p>
    <w:p>
      <w:pPr>
        <w:pStyle w:val="ListBullet"/>
        <w:spacing w:after="40"/>
        <w:ind w:left="432"/>
      </w:pPr>
      <w:r>
        <w:rPr>
          <w:rFonts w:ascii="Arial" w:hAnsi="Arial"/>
          <w:b/>
          <w:i w:val="0"/>
        </w:rPr>
        <w:t xml:space="preserve">Logout button label: </w:t>
      </w:r>
      <w:r>
        <w:rPr>
          <w:rFonts w:ascii="Arial" w:hAnsi="Arial"/>
          <w:b w:val="0"/>
          <w:i w:val="0"/>
        </w:rPr>
        <w:t>MEDIUM bug — bottom-left logout control shows "out" because the avatar circle overlaps the leading characters of "Logout". See §6.5.</w:t>
      </w:r>
    </w:p>
    <w:p>
      <w:pPr>
        <w:pStyle w:val="Heading1"/>
        <w:spacing w:before="280" w:after="160"/>
      </w:pPr>
      <w:r>
        <w:rPr>
          <w:rFonts w:ascii="Arial" w:hAnsi="Arial"/>
          <w:b/>
          <w:i w:val="0"/>
          <w:color w:val="1F3A5F"/>
          <w:sz w:val="36"/>
        </w:rPr>
        <w:t>4. LLM Output Relevance — Spot Checks</w:t>
      </w:r>
    </w:p>
    <w:p>
      <w:pPr>
        <w:spacing w:before="0" w:after="80" w:line="300" w:lineRule="auto"/>
      </w:pPr>
      <w:r>
        <w:rPr>
          <w:rFonts w:ascii="Arial" w:hAnsi="Arial"/>
          <w:b w:val="0"/>
          <w:i w:val="0"/>
        </w:rPr>
        <w:t>Three result detail pages were sampled to assess the quality of LLM-generated content (coaching notes and per-criterion rationales). Verdicts apply only to criteria that did not error out (see §5 for the rate-limit issue).</w:t>
      </w:r>
    </w:p>
    <w:p>
      <w:pPr>
        <w:pStyle w:val="Heading2"/>
        <w:spacing w:before="200" w:after="160"/>
      </w:pPr>
      <w:r>
        <w:rPr>
          <w:rFonts w:ascii="Arial" w:hAnsi="Arial"/>
          <w:b/>
          <w:i w:val="0"/>
          <w:color w:val="1F3A5F"/>
          <w:sz w:val="28"/>
        </w:rPr>
        <w:t>Sample 1 — TEST-EXCE-0040 (Deepa Nair, email, score 75.0)</w:t>
      </w:r>
    </w:p>
    <w:p>
      <w:pPr>
        <w:spacing w:before="0" w:after="80" w:line="300" w:lineRule="auto"/>
      </w:pPr>
      <w:r>
        <w:rPr>
          <w:rFonts w:ascii="Arial" w:hAnsi="Arial"/>
          <w:b w:val="0"/>
          <w:i w:val="0"/>
        </w:rPr>
        <w:t>Conversation context: Customer asks to update shipping address on a not-yet-dispatched order. Agent acknowledges, confirms update, offers further help.</w:t>
      </w:r>
    </w:p>
    <w:p>
      <w:pPr>
        <w:spacing w:before="0" w:after="80" w:line="300" w:lineRule="auto"/>
      </w:pPr>
      <w:r>
        <w:rPr>
          <w:rFonts w:ascii="Arial" w:hAnsi="Arial"/>
          <w:b w:val="0"/>
          <w:i w:val="0"/>
        </w:rPr>
        <w:t>Coaching note quality:</w:t>
      </w:r>
    </w:p>
    <w:p>
      <w:pPr>
        <w:spacing w:before="80" w:after="160"/>
        <w:ind w:left="432"/>
        <w:pBdr>
          <w:left w:val="single" w:sz="18" w:space="8" w:color="9DB5C9"/>
        </w:pBdr>
      </w:pPr>
      <w:r>
        <w:rPr>
          <w:rFonts w:ascii="Arial" w:hAnsi="Arial"/>
          <w:b w:val="0"/>
          <w:i/>
          <w:color w:val="555555"/>
        </w:rPr>
        <w:t>Deepa, you did a great job with compliance and resolution accuracy by updating the shipping address and confirming the order status. However, your communication could be improved by providing more detailed information about the process and what the customer can expect next…</w:t>
      </w:r>
    </w:p>
    <w:p>
      <w:pPr>
        <w:pStyle w:val="ListBullet"/>
        <w:spacing w:after="40"/>
        <w:ind w:left="432"/>
      </w:pPr>
      <w:r>
        <w:rPr>
          <w:rFonts w:ascii="Arial" w:hAnsi="Arial"/>
          <w:b w:val="0"/>
          <w:i w:val="0"/>
        </w:rPr>
        <w:t>Specific (cites the actual scenario)? Yes.</w:t>
      </w:r>
    </w:p>
    <w:p>
      <w:pPr>
        <w:pStyle w:val="ListBullet"/>
        <w:spacing w:after="40"/>
        <w:ind w:left="432"/>
      </w:pPr>
      <w:r>
        <w:rPr>
          <w:rFonts w:ascii="Arial" w:hAnsi="Arial"/>
          <w:b w:val="0"/>
          <w:i w:val="0"/>
        </w:rPr>
        <w:t>Actionable (gives concrete next-shift improvement)? Yes.</w:t>
      </w:r>
    </w:p>
    <w:p>
      <w:pPr>
        <w:pStyle w:val="ListBullet"/>
        <w:spacing w:after="40"/>
        <w:ind w:left="432"/>
      </w:pPr>
      <w:r>
        <w:rPr>
          <w:rFonts w:ascii="Arial" w:hAnsi="Arial"/>
          <w:b w:val="0"/>
          <w:i w:val="0"/>
        </w:rPr>
        <w:t>Tone-appropriate (constructive, not punitive)? Yes.</w:t>
      </w:r>
    </w:p>
    <w:p>
      <w:pPr>
        <w:pStyle w:val="ListBullet"/>
        <w:spacing w:after="40"/>
        <w:ind w:left="432"/>
      </w:pPr>
      <w:r>
        <w:rPr>
          <w:rFonts w:ascii="Arial" w:hAnsi="Arial"/>
          <w:b/>
          <w:i w:val="0"/>
        </w:rPr>
        <w:t xml:space="preserve">Verdict: </w:t>
      </w:r>
      <w:r>
        <w:rPr>
          <w:rFonts w:ascii="Arial" w:hAnsi="Arial"/>
          <w:b w:val="0"/>
          <w:i w:val="0"/>
        </w:rPr>
        <w:t>HIGH-quality coaching output.</w:t>
      </w:r>
    </w:p>
    <w:p>
      <w:pPr>
        <w:pStyle w:val="Heading2"/>
        <w:spacing w:before="200" w:after="160"/>
      </w:pPr>
      <w:r>
        <w:rPr>
          <w:rFonts w:ascii="Arial" w:hAnsi="Arial"/>
          <w:b/>
          <w:i w:val="0"/>
          <w:color w:val="1F3A5F"/>
          <w:sz w:val="28"/>
        </w:rPr>
        <w:t>Sample 2 — TEST-RUDE-0025 (Meera Gupta, chat, score 5.0)</w:t>
      </w:r>
    </w:p>
    <w:p>
      <w:pPr>
        <w:spacing w:before="0" w:after="80" w:line="300" w:lineRule="auto"/>
      </w:pPr>
      <w:r>
        <w:rPr>
          <w:rFonts w:ascii="Arial" w:hAnsi="Arial"/>
          <w:b w:val="0"/>
          <w:i w:val="0"/>
        </w:rPr>
        <w:t>Conversation context: Customer asks about a 3-week refund delay; agent is dismissive ("Sorry that's just how it is. Nothing I can do.") and fails to escalate properly.</w:t>
      </w:r>
    </w:p>
    <w:p>
      <w:pPr>
        <w:spacing w:before="0" w:after="80" w:line="300" w:lineRule="auto"/>
      </w:pPr>
      <w:r>
        <w:rPr>
          <w:rFonts w:ascii="Arial" w:hAnsi="Arial"/>
          <w:b w:val="0"/>
          <w:i w:val="0"/>
        </w:rPr>
        <w:t>Coaching note quality:</w:t>
      </w:r>
    </w:p>
    <w:p>
      <w:pPr>
        <w:spacing w:before="80" w:after="160"/>
        <w:ind w:left="432"/>
        <w:pBdr>
          <w:left w:val="single" w:sz="18" w:space="8" w:color="9DB5C9"/>
        </w:pBdr>
      </w:pPr>
      <w:r>
        <w:rPr>
          <w:rFonts w:ascii="Arial" w:hAnsi="Arial"/>
          <w:b w:val="0"/>
          <w:i/>
          <w:color w:val="555555"/>
        </w:rPr>
        <w:t>Meera, you correctly identified the customer's request for an escalation, which is a good start. However, your responses lacked empathy and did not adequately address the customer's frustration…</w:t>
      </w:r>
    </w:p>
    <w:p>
      <w:pPr>
        <w:pStyle w:val="ListBullet"/>
        <w:spacing w:after="40"/>
        <w:ind w:left="432"/>
      </w:pPr>
      <w:r>
        <w:rPr>
          <w:rFonts w:ascii="Arial" w:hAnsi="Arial"/>
          <w:b w:val="0"/>
          <w:i w:val="0"/>
        </w:rPr>
        <w:t>Empathy/tone critique correctly cites verbatim phrases from the transcript.</w:t>
      </w:r>
    </w:p>
    <w:p>
      <w:pPr>
        <w:pStyle w:val="ListBullet"/>
        <w:spacing w:after="40"/>
        <w:ind w:left="432"/>
      </w:pPr>
      <w:r>
        <w:rPr>
          <w:rFonts w:ascii="Arial" w:hAnsi="Arial"/>
          <w:b w:val="0"/>
          <w:i w:val="0"/>
        </w:rPr>
        <w:t>Resolution-accuracy critique correctly identifies that the customer was left without a clear path forward.</w:t>
      </w:r>
    </w:p>
    <w:p>
      <w:pPr>
        <w:pStyle w:val="ListBullet"/>
        <w:spacing w:after="40"/>
        <w:ind w:left="432"/>
      </w:pPr>
      <w:r>
        <w:rPr>
          <w:rFonts w:ascii="Arial" w:hAnsi="Arial"/>
          <w:b w:val="0"/>
          <w:i w:val="0"/>
        </w:rPr>
        <w:t>Score (5.0) reflects severity of the failure but is partly distorted by 429-failed criteria scoring 0 (see §5).</w:t>
      </w:r>
    </w:p>
    <w:p>
      <w:pPr>
        <w:pStyle w:val="ListBullet"/>
        <w:spacing w:after="40"/>
        <w:ind w:left="432"/>
      </w:pPr>
      <w:r>
        <w:rPr>
          <w:rFonts w:ascii="Arial" w:hAnsi="Arial"/>
          <w:b/>
          <w:i w:val="0"/>
        </w:rPr>
        <w:t xml:space="preserve">Verdict: </w:t>
      </w:r>
      <w:r>
        <w:rPr>
          <w:rFonts w:ascii="Arial" w:hAnsi="Arial"/>
          <w:b w:val="0"/>
          <w:i w:val="0"/>
        </w:rPr>
        <w:t>HIGH-quality narrative; numeric score should be re-checked once §5 is fixed.</w:t>
      </w:r>
    </w:p>
    <w:p>
      <w:pPr>
        <w:pStyle w:val="Heading2"/>
        <w:spacing w:before="200" w:after="160"/>
      </w:pPr>
      <w:r>
        <w:rPr>
          <w:rFonts w:ascii="Arial" w:hAnsi="Arial"/>
          <w:b/>
          <w:i w:val="0"/>
          <w:color w:val="1F3A5F"/>
          <w:sz w:val="28"/>
        </w:rPr>
        <w:t>Sample 3 — Aggregate signal across 100 results</w:t>
      </w:r>
    </w:p>
    <w:p>
      <w:pPr>
        <w:spacing w:before="0" w:after="80" w:line="300" w:lineRule="auto"/>
      </w:pPr>
      <w:r>
        <w:rPr>
          <w:rFonts w:ascii="Arial" w:hAnsi="Arial"/>
          <w:b w:val="0"/>
          <w:i w:val="0"/>
        </w:rPr>
        <w:t>Test fixtures are tagged in their External IDs by intended quality (TEST-EXCE = excellent, TEST-GOOD = good, TEST-AVER = average, TEST-RUDE = rude, TEST-COMP = compliance-test). Observed score correlation:</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872"/>
            <w:vAlign w:val="top"/>
            <w:shd w:val="clear" w:color="auto" w:fill="F0EDEB"/>
          </w:tcPr>
          <w:p>
            <w:pPr>
              <w:spacing w:before="40" w:after="40"/>
            </w:pPr>
            <w:r>
              <w:rPr>
                <w:rFonts w:ascii="Arial" w:hAnsi="Arial"/>
                <w:b/>
                <w:i w:val="0"/>
                <w:sz w:val="20"/>
              </w:rPr>
              <w:t>Tag</w:t>
            </w:r>
          </w:p>
        </w:tc>
        <w:tc>
          <w:tcPr>
            <w:tcW w:type="dxa" w:w="2448"/>
            <w:vAlign w:val="top"/>
            <w:shd w:val="clear" w:color="auto" w:fill="F0EDEB"/>
          </w:tcPr>
          <w:p>
            <w:pPr>
              <w:spacing w:before="40" w:after="40"/>
            </w:pPr>
            <w:r>
              <w:rPr>
                <w:rFonts w:ascii="Arial" w:hAnsi="Arial"/>
                <w:b/>
                <w:i w:val="0"/>
                <w:sz w:val="20"/>
              </w:rPr>
              <w:t>Expected</w:t>
            </w:r>
          </w:p>
        </w:tc>
        <w:tc>
          <w:tcPr>
            <w:tcW w:type="dxa" w:w="2448"/>
            <w:vAlign w:val="top"/>
            <w:shd w:val="clear" w:color="auto" w:fill="F0EDEB"/>
          </w:tcPr>
          <w:p>
            <w:pPr>
              <w:spacing w:before="40" w:after="40"/>
            </w:pPr>
            <w:r>
              <w:rPr>
                <w:rFonts w:ascii="Arial" w:hAnsi="Arial"/>
                <w:b/>
                <w:i w:val="0"/>
                <w:sz w:val="20"/>
              </w:rPr>
              <w:t>Observed range</w:t>
            </w:r>
          </w:p>
        </w:tc>
        <w:tc>
          <w:tcPr>
            <w:tcW w:type="dxa" w:w="3312"/>
            <w:vAlign w:val="top"/>
            <w:shd w:val="clear" w:color="auto" w:fill="F0EDEB"/>
          </w:tcPr>
          <w:p>
            <w:pPr>
              <w:spacing w:before="40" w:after="40"/>
            </w:pPr>
            <w:r>
              <w:rPr>
                <w:rFonts w:ascii="Arial" w:hAnsi="Arial"/>
                <w:b/>
                <w:i w:val="0"/>
                <w:sz w:val="20"/>
              </w:rPr>
              <w:t>Pattern</w:t>
            </w:r>
          </w:p>
        </w:tc>
      </w:tr>
      <w:tr>
        <w:tc>
          <w:tcPr>
            <w:tcW w:type="dxa" w:w="1872"/>
            <w:vAlign w:val="top"/>
          </w:tcPr>
          <w:p>
            <w:pPr>
              <w:spacing w:before="40" w:after="40"/>
            </w:pPr>
            <w:r>
              <w:rPr>
                <w:rFonts w:ascii="Arial" w:hAnsi="Arial"/>
                <w:b/>
                <w:i w:val="0"/>
                <w:sz w:val="20"/>
              </w:rPr>
              <w:t>TEST-EXCE</w:t>
            </w:r>
          </w:p>
        </w:tc>
        <w:tc>
          <w:tcPr>
            <w:tcW w:type="dxa" w:w="2448"/>
            <w:vAlign w:val="top"/>
          </w:tcPr>
          <w:p>
            <w:pPr>
              <w:spacing w:before="40" w:after="40"/>
            </w:pPr>
            <w:r>
              <w:rPr>
                <w:rFonts w:ascii="Arial" w:hAnsi="Arial"/>
                <w:b w:val="0"/>
                <w:i w:val="0"/>
                <w:sz w:val="20"/>
              </w:rPr>
              <w:t>Score 80+</w:t>
            </w:r>
          </w:p>
        </w:tc>
        <w:tc>
          <w:tcPr>
            <w:tcW w:type="dxa" w:w="2448"/>
            <w:vAlign w:val="top"/>
          </w:tcPr>
          <w:p>
            <w:pPr>
              <w:spacing w:before="40" w:after="40"/>
            </w:pPr>
            <w:r>
              <w:rPr>
                <w:rFonts w:ascii="Arial" w:hAnsi="Arial"/>
                <w:b w:val="0"/>
                <w:i w:val="0"/>
                <w:sz w:val="20"/>
              </w:rPr>
              <w:t>50.0 – 75.0</w:t>
            </w:r>
          </w:p>
        </w:tc>
        <w:tc>
          <w:tcPr>
            <w:tcW w:type="dxa" w:w="3312"/>
            <w:vAlign w:val="top"/>
          </w:tcPr>
          <w:p>
            <w:pPr>
              <w:spacing w:before="40" w:after="40"/>
            </w:pPr>
            <w:r>
              <w:rPr>
                <w:rFonts w:ascii="Arial" w:hAnsi="Arial"/>
                <w:b w:val="0"/>
                <w:i w:val="0"/>
                <w:sz w:val="20"/>
              </w:rPr>
              <w:t>Cap is too low — rate-limit failures dragging EXCE conversations into 'Compliance fail'.</w:t>
            </w:r>
          </w:p>
        </w:tc>
      </w:tr>
      <w:tr>
        <w:tc>
          <w:tcPr>
            <w:tcW w:type="dxa" w:w="1872"/>
            <w:vAlign w:val="top"/>
          </w:tcPr>
          <w:p>
            <w:pPr>
              <w:spacing w:before="40" w:after="40"/>
            </w:pPr>
            <w:r>
              <w:rPr>
                <w:rFonts w:ascii="Arial" w:hAnsi="Arial"/>
                <w:b/>
                <w:i w:val="0"/>
                <w:sz w:val="20"/>
              </w:rPr>
              <w:t>TEST-GOOD</w:t>
            </w:r>
          </w:p>
        </w:tc>
        <w:tc>
          <w:tcPr>
            <w:tcW w:type="dxa" w:w="2448"/>
            <w:vAlign w:val="top"/>
          </w:tcPr>
          <w:p>
            <w:pPr>
              <w:spacing w:before="40" w:after="40"/>
            </w:pPr>
            <w:r>
              <w:rPr>
                <w:rFonts w:ascii="Arial" w:hAnsi="Arial"/>
                <w:b w:val="0"/>
                <w:i w:val="0"/>
                <w:sz w:val="20"/>
              </w:rPr>
              <w:t>Score 70+</w:t>
            </w:r>
          </w:p>
        </w:tc>
        <w:tc>
          <w:tcPr>
            <w:tcW w:type="dxa" w:w="2448"/>
            <w:vAlign w:val="top"/>
          </w:tcPr>
          <w:p>
            <w:pPr>
              <w:spacing w:before="40" w:after="40"/>
            </w:pPr>
            <w:r>
              <w:rPr>
                <w:rFonts w:ascii="Arial" w:hAnsi="Arial"/>
                <w:b w:val="0"/>
                <w:i w:val="0"/>
                <w:sz w:val="20"/>
              </w:rPr>
              <w:t>47.5 – 67.5</w:t>
            </w:r>
          </w:p>
        </w:tc>
        <w:tc>
          <w:tcPr>
            <w:tcW w:type="dxa" w:w="3312"/>
            <w:vAlign w:val="top"/>
          </w:tcPr>
          <w:p>
            <w:pPr>
              <w:spacing w:before="40" w:after="40"/>
            </w:pPr>
            <w:r>
              <w:rPr>
                <w:rFonts w:ascii="Arial" w:hAnsi="Arial"/>
                <w:b w:val="0"/>
                <w:i w:val="0"/>
                <w:sz w:val="20"/>
              </w:rPr>
              <w:t>Same: many GOOD cases flagged as Compliance fail.</w:t>
            </w:r>
          </w:p>
        </w:tc>
      </w:tr>
      <w:tr>
        <w:tc>
          <w:tcPr>
            <w:tcW w:type="dxa" w:w="1872"/>
            <w:vAlign w:val="top"/>
          </w:tcPr>
          <w:p>
            <w:pPr>
              <w:spacing w:before="40" w:after="40"/>
            </w:pPr>
            <w:r>
              <w:rPr>
                <w:rFonts w:ascii="Arial" w:hAnsi="Arial"/>
                <w:b/>
                <w:i w:val="0"/>
                <w:sz w:val="20"/>
              </w:rPr>
              <w:t>TEST-AVER</w:t>
            </w:r>
          </w:p>
        </w:tc>
        <w:tc>
          <w:tcPr>
            <w:tcW w:type="dxa" w:w="2448"/>
            <w:vAlign w:val="top"/>
          </w:tcPr>
          <w:p>
            <w:pPr>
              <w:spacing w:before="40" w:after="40"/>
            </w:pPr>
            <w:r>
              <w:rPr>
                <w:rFonts w:ascii="Arial" w:hAnsi="Arial"/>
                <w:b w:val="0"/>
                <w:i w:val="0"/>
                <w:sz w:val="20"/>
              </w:rPr>
              <w:t>Score 50–70</w:t>
            </w:r>
          </w:p>
        </w:tc>
        <w:tc>
          <w:tcPr>
            <w:tcW w:type="dxa" w:w="2448"/>
            <w:vAlign w:val="top"/>
          </w:tcPr>
          <w:p>
            <w:pPr>
              <w:spacing w:before="40" w:after="40"/>
            </w:pPr>
            <w:r>
              <w:rPr>
                <w:rFonts w:ascii="Arial" w:hAnsi="Arial"/>
                <w:b w:val="0"/>
                <w:i w:val="0"/>
                <w:sz w:val="20"/>
              </w:rPr>
              <w:t>20.0 – 57.5</w:t>
            </w:r>
          </w:p>
        </w:tc>
        <w:tc>
          <w:tcPr>
            <w:tcW w:type="dxa" w:w="3312"/>
            <w:vAlign w:val="top"/>
          </w:tcPr>
          <w:p>
            <w:pPr>
              <w:spacing w:before="40" w:after="40"/>
            </w:pPr>
            <w:r>
              <w:rPr>
                <w:rFonts w:ascii="Arial" w:hAnsi="Arial"/>
                <w:b w:val="0"/>
                <w:i w:val="0"/>
                <w:sz w:val="20"/>
              </w:rPr>
              <w:t>Lower end too low; consistent with rate-limit-induced false fails.</w:t>
            </w:r>
          </w:p>
        </w:tc>
      </w:tr>
      <w:tr>
        <w:tc>
          <w:tcPr>
            <w:tcW w:type="dxa" w:w="1872"/>
            <w:vAlign w:val="top"/>
          </w:tcPr>
          <w:p>
            <w:pPr>
              <w:spacing w:before="40" w:after="40"/>
            </w:pPr>
            <w:r>
              <w:rPr>
                <w:rFonts w:ascii="Arial" w:hAnsi="Arial"/>
                <w:b/>
                <w:i w:val="0"/>
                <w:sz w:val="20"/>
              </w:rPr>
              <w:t>TEST-RUDE</w:t>
            </w:r>
          </w:p>
        </w:tc>
        <w:tc>
          <w:tcPr>
            <w:tcW w:type="dxa" w:w="2448"/>
            <w:vAlign w:val="top"/>
          </w:tcPr>
          <w:p>
            <w:pPr>
              <w:spacing w:before="40" w:after="40"/>
            </w:pPr>
            <w:r>
              <w:rPr>
                <w:rFonts w:ascii="Arial" w:hAnsi="Arial"/>
                <w:b w:val="0"/>
                <w:i w:val="0"/>
                <w:sz w:val="20"/>
              </w:rPr>
              <w:t>Score 5–30</w:t>
            </w:r>
          </w:p>
        </w:tc>
        <w:tc>
          <w:tcPr>
            <w:tcW w:type="dxa" w:w="2448"/>
            <w:vAlign w:val="top"/>
          </w:tcPr>
          <w:p>
            <w:pPr>
              <w:spacing w:before="40" w:after="40"/>
            </w:pPr>
            <w:r>
              <w:rPr>
                <w:rFonts w:ascii="Arial" w:hAnsi="Arial"/>
                <w:b w:val="0"/>
                <w:i w:val="0"/>
                <w:sz w:val="20"/>
              </w:rPr>
              <w:t>5.0 – 37.5</w:t>
            </w:r>
          </w:p>
        </w:tc>
        <w:tc>
          <w:tcPr>
            <w:tcW w:type="dxa" w:w="3312"/>
            <w:vAlign w:val="top"/>
          </w:tcPr>
          <w:p>
            <w:pPr>
              <w:spacing w:before="40" w:after="40"/>
            </w:pPr>
            <w:r>
              <w:rPr>
                <w:rFonts w:ascii="Arial" w:hAnsi="Arial"/>
                <w:b w:val="0"/>
                <w:i w:val="0"/>
                <w:sz w:val="20"/>
              </w:rPr>
              <w:t>Reasonable — RUDE cases land where expected.</w:t>
            </w:r>
          </w:p>
        </w:tc>
      </w:tr>
      <w:tr>
        <w:tc>
          <w:tcPr>
            <w:tcW w:type="dxa" w:w="1872"/>
            <w:vAlign w:val="top"/>
          </w:tcPr>
          <w:p>
            <w:pPr>
              <w:spacing w:before="40" w:after="40"/>
            </w:pPr>
            <w:r>
              <w:rPr>
                <w:rFonts w:ascii="Arial" w:hAnsi="Arial"/>
                <w:b/>
                <w:i w:val="0"/>
                <w:sz w:val="20"/>
              </w:rPr>
              <w:t>TEST-COMP</w:t>
            </w:r>
          </w:p>
        </w:tc>
        <w:tc>
          <w:tcPr>
            <w:tcW w:type="dxa" w:w="2448"/>
            <w:vAlign w:val="top"/>
          </w:tcPr>
          <w:p>
            <w:pPr>
              <w:spacing w:before="40" w:after="40"/>
            </w:pPr>
            <w:r>
              <w:rPr>
                <w:rFonts w:ascii="Arial" w:hAnsi="Arial"/>
                <w:b w:val="0"/>
                <w:i w:val="0"/>
                <w:sz w:val="20"/>
              </w:rPr>
              <w:t>Score 0–30</w:t>
            </w:r>
          </w:p>
        </w:tc>
        <w:tc>
          <w:tcPr>
            <w:tcW w:type="dxa" w:w="2448"/>
            <w:vAlign w:val="top"/>
          </w:tcPr>
          <w:p>
            <w:pPr>
              <w:spacing w:before="40" w:after="40"/>
            </w:pPr>
            <w:r>
              <w:rPr>
                <w:rFonts w:ascii="Arial" w:hAnsi="Arial"/>
                <w:b w:val="0"/>
                <w:i w:val="0"/>
                <w:sz w:val="20"/>
              </w:rPr>
              <w:t>10.0 – 30.0</w:t>
            </w:r>
          </w:p>
        </w:tc>
        <w:tc>
          <w:tcPr>
            <w:tcW w:type="dxa" w:w="3312"/>
            <w:vAlign w:val="top"/>
          </w:tcPr>
          <w:p>
            <w:pPr>
              <w:spacing w:before="40" w:after="40"/>
            </w:pPr>
            <w:r>
              <w:rPr>
                <w:rFonts w:ascii="Arial" w:hAnsi="Arial"/>
                <w:b w:val="0"/>
                <w:i w:val="0"/>
                <w:sz w:val="20"/>
              </w:rPr>
              <w:t>Reasonable — captures compliance failures.</w:t>
            </w:r>
          </w:p>
        </w:tc>
      </w:tr>
    </w:tbl>
    <w:p>
      <w:pPr>
        <w:spacing w:before="0" w:after="80" w:line="300" w:lineRule="auto"/>
      </w:pPr>
      <w:r>
        <w:rPr>
          <w:rFonts w:ascii="Arial" w:hAnsi="Arial"/>
          <w:b w:val="0"/>
          <w:i w:val="0"/>
        </w:rPr>
        <w:t>The directional correlation is correct — RUDE/COMP score lower than EXCE/GOOD — but absolute calibration is off because of §5. Once 429-failed criteria are excluded, scores should recompute closer to expectation.</w:t>
      </w:r>
    </w:p>
    <w:p>
      <w:pPr>
        <w:pStyle w:val="Heading1"/>
        <w:spacing w:before="280" w:after="160"/>
      </w:pPr>
      <w:r>
        <w:rPr>
          <w:rFonts w:ascii="Arial" w:hAnsi="Arial"/>
          <w:b/>
          <w:i w:val="0"/>
          <w:color w:val="1F3A5F"/>
          <w:sz w:val="36"/>
        </w:rPr>
        <w:t>5. Critical Issue — 429 Rate-Limit Recorded as Real Failure</w:t>
      </w:r>
    </w:p>
    <w:p>
      <w:pPr>
        <w:pStyle w:val="ListBullet"/>
        <w:spacing w:after="40"/>
        <w:ind w:left="432"/>
      </w:pPr>
      <w:r>
        <w:rPr>
          <w:rFonts w:ascii="Arial" w:hAnsi="Arial"/>
          <w:b/>
          <w:i w:val="0"/>
        </w:rPr>
        <w:t xml:space="preserve">Severity: </w:t>
      </w:r>
      <w:r>
        <w:rPr>
          <w:rFonts w:ascii="Arial" w:hAnsi="Arial"/>
          <w:b/>
          <w:i w:val="0"/>
          <w:color w:val="C0392B"/>
        </w:rPr>
        <w:t>CRITICAL</w:t>
      </w:r>
    </w:p>
    <w:p>
      <w:pPr>
        <w:spacing w:before="0" w:after="80" w:line="300" w:lineRule="auto"/>
      </w:pPr>
      <w:r>
        <w:rPr>
          <w:rFonts w:ascii="Arial" w:hAnsi="Arial"/>
          <w:b w:val="0"/>
          <w:i w:val="0"/>
        </w:rPr>
        <w:t>Symptom: On result detail pages, multiple criteria show 0/2 "Failed" with confidence 0% and the rationale is the literal text "Scoring error: Bedrock chat call failed (429 Too Many Requests)". The same 3 criteria fail in the same order across different conversations (Compliance / process adherence, Escalation handling, Proactive next steps), suggesting the rate limit is being hit at a consistent point in the per-conversation scoring loop.</w:t>
      </w:r>
    </w:p>
    <w:p>
      <w:pPr>
        <w:spacing w:before="0" w:after="80" w:line="300" w:lineRule="auto"/>
      </w:pPr>
      <w:r>
        <w:rPr>
          <w:rFonts w:ascii="Arial" w:hAnsi="Arial"/>
          <w:b w:val="0"/>
          <w:i w:val="0"/>
        </w:rPr>
        <w:t>Impact:</w:t>
      </w:r>
    </w:p>
    <w:p>
      <w:pPr>
        <w:pStyle w:val="ListBullet"/>
        <w:spacing w:after="40"/>
        <w:ind w:left="432"/>
      </w:pPr>
      <w:r>
        <w:rPr>
          <w:rFonts w:ascii="Arial" w:hAnsi="Arial"/>
          <w:b w:val="0"/>
          <w:i w:val="0"/>
        </w:rPr>
        <w:t>False compliance failures inflate the dashboard "Compliance Fails: 79" headline.</w:t>
      </w:r>
    </w:p>
    <w:p>
      <w:pPr>
        <w:pStyle w:val="ListBullet"/>
        <w:spacing w:after="40"/>
        <w:ind w:left="432"/>
      </w:pPr>
      <w:r>
        <w:rPr>
          <w:rFonts w:ascii="Arial" w:hAnsi="Arial"/>
          <w:b w:val="0"/>
          <w:i w:val="0"/>
        </w:rPr>
        <w:t>Genuinely good conversations (TEST-EXCE) are mis-classified as compliance failures.</w:t>
      </w:r>
    </w:p>
    <w:p>
      <w:pPr>
        <w:pStyle w:val="ListBullet"/>
        <w:spacing w:after="40"/>
        <w:ind w:left="432"/>
      </w:pPr>
      <w:r>
        <w:rPr>
          <w:rFonts w:ascii="Arial" w:hAnsi="Arial"/>
          <w:b w:val="0"/>
          <w:i w:val="0"/>
        </w:rPr>
        <w:t>Per-agent fail counts and "Needs Coaching" rankings are skewed.</w:t>
      </w:r>
    </w:p>
    <w:p>
      <w:pPr>
        <w:pStyle w:val="ListBullet"/>
        <w:spacing w:after="40"/>
        <w:ind w:left="432"/>
      </w:pPr>
      <w:r>
        <w:rPr>
          <w:rFonts w:ascii="Arial" w:hAnsi="Arial"/>
          <w:b w:val="0"/>
          <w:i w:val="0"/>
        </w:rPr>
        <w:t>Critical-flagged criteria (e.g. Compliance / process adherence) score 0 → entire conversation auto-fails compliance per the rubric rule.</w:t>
      </w:r>
    </w:p>
    <w:p>
      <w:pPr>
        <w:spacing w:before="0" w:after="80" w:line="300" w:lineRule="auto"/>
      </w:pPr>
      <w:r>
        <w:rPr>
          <w:rFonts w:ascii="Arial" w:hAnsi="Arial"/>
          <w:b w:val="0"/>
          <w:i w:val="0"/>
        </w:rPr>
        <w:t>Recommended fix path:</w:t>
      </w:r>
    </w:p>
    <w:p>
      <w:pPr>
        <w:pStyle w:val="ListBullet"/>
        <w:spacing w:after="40"/>
        <w:ind w:left="432"/>
      </w:pPr>
      <w:r>
        <w:rPr>
          <w:rFonts w:ascii="Arial" w:hAnsi="Arial"/>
          <w:b w:val="0"/>
          <w:i w:val="0"/>
        </w:rPr>
        <w:t>Treat scoring errors as missing data rather than 0 — record status separately from numeric score, and either retry until success, exclude the criterion from total weight, or flag the conversation for re-scoring.</w:t>
      </w:r>
    </w:p>
    <w:p>
      <w:pPr>
        <w:pStyle w:val="ListBullet"/>
        <w:spacing w:after="40"/>
        <w:ind w:left="432"/>
      </w:pPr>
      <w:r>
        <w:rPr>
          <w:rFonts w:ascii="Arial" w:hAnsi="Arial"/>
          <w:b w:val="0"/>
          <w:i w:val="0"/>
        </w:rPr>
        <w:t>Add real concurrency control + adaptive backoff in the scoring loop (the existing Bedrock client retries on 429 but only for that one call; if the loop runs criteria sequentially without inter-call delay, the second/third criterion still hits the limit).</w:t>
      </w:r>
    </w:p>
    <w:p>
      <w:pPr>
        <w:pStyle w:val="ListBullet"/>
        <w:spacing w:after="40"/>
        <w:ind w:left="432"/>
      </w:pPr>
      <w:r>
        <w:rPr>
          <w:rFonts w:ascii="Arial" w:hAnsi="Arial"/>
          <w:b w:val="0"/>
          <w:i w:val="0"/>
        </w:rPr>
        <w:t>Now that the chat path uses Amazon Nova (Bedrock-native, much higher TPS limits than Claude), this should largely auto-resolve for new uploads. Existing scored data should be re-scored to clear the false fails.</w:t>
      </w:r>
    </w:p>
    <w:p>
      <w:pPr>
        <w:pStyle w:val="Heading1"/>
        <w:spacing w:before="280" w:after="160"/>
      </w:pPr>
      <w:r>
        <w:rPr>
          <w:rFonts w:ascii="Arial" w:hAnsi="Arial"/>
          <w:b/>
          <w:i w:val="0"/>
          <w:color w:val="1F3A5F"/>
          <w:sz w:val="36"/>
        </w:rPr>
        <w:t>6. Bug &amp; Issue Log</w:t>
      </w:r>
    </w:p>
    <w:tbl>
      <w:tblPr>
        <w:tblStyle w:val="TableGrid"/>
        <w:tblW w:type="auto" w:w="0"/>
        <w:tblLayout w:type="fixed"/>
        <w:tblLook w:firstColumn="1" w:firstRow="1" w:lastColumn="0" w:lastRow="0" w:noHBand="0" w:noVBand="1" w:val="04A0"/>
      </w:tblPr>
      <w:tblGrid>
        <w:gridCol w:w="2016"/>
        <w:gridCol w:w="2016"/>
        <w:gridCol w:w="2016"/>
        <w:gridCol w:w="2016"/>
        <w:gridCol w:w="2016"/>
      </w:tblGrid>
      <w:tr>
        <w:tc>
          <w:tcPr>
            <w:tcW w:type="dxa" w:w="720"/>
            <w:vAlign w:val="top"/>
            <w:shd w:val="clear" w:color="auto" w:fill="F0EDEB"/>
          </w:tcPr>
          <w:p>
            <w:pPr>
              <w:spacing w:before="40" w:after="40"/>
            </w:pPr>
            <w:r>
              <w:rPr>
                <w:rFonts w:ascii="Arial" w:hAnsi="Arial"/>
                <w:b/>
                <w:i w:val="0"/>
                <w:sz w:val="20"/>
              </w:rPr>
              <w:t>ID</w:t>
            </w:r>
          </w:p>
        </w:tc>
        <w:tc>
          <w:tcPr>
            <w:tcW w:type="dxa" w:w="1296"/>
            <w:vAlign w:val="top"/>
            <w:shd w:val="clear" w:color="auto" w:fill="F0EDEB"/>
          </w:tcPr>
          <w:p>
            <w:pPr>
              <w:spacing w:before="40" w:after="40"/>
            </w:pPr>
            <w:r>
              <w:rPr>
                <w:rFonts w:ascii="Arial" w:hAnsi="Arial"/>
                <w:b/>
                <w:i w:val="0"/>
                <w:sz w:val="20"/>
              </w:rPr>
              <w:t>Severity</w:t>
            </w:r>
          </w:p>
        </w:tc>
        <w:tc>
          <w:tcPr>
            <w:tcW w:type="dxa" w:w="1584"/>
            <w:vAlign w:val="top"/>
            <w:shd w:val="clear" w:color="auto" w:fill="F0EDEB"/>
          </w:tcPr>
          <w:p>
            <w:pPr>
              <w:spacing w:before="40" w:after="40"/>
            </w:pPr>
            <w:r>
              <w:rPr>
                <w:rFonts w:ascii="Arial" w:hAnsi="Arial"/>
                <w:b/>
                <w:i w:val="0"/>
                <w:sz w:val="20"/>
              </w:rPr>
              <w:t>Area</w:t>
            </w:r>
          </w:p>
        </w:tc>
        <w:tc>
          <w:tcPr>
            <w:tcW w:type="dxa" w:w="4896"/>
            <w:vAlign w:val="top"/>
            <w:shd w:val="clear" w:color="auto" w:fill="F0EDEB"/>
          </w:tcPr>
          <w:p>
            <w:pPr>
              <w:spacing w:before="40" w:after="40"/>
            </w:pPr>
            <w:r>
              <w:rPr>
                <w:rFonts w:ascii="Arial" w:hAnsi="Arial"/>
                <w:b/>
                <w:i w:val="0"/>
                <w:sz w:val="20"/>
              </w:rPr>
              <w:t>Description</w:t>
            </w:r>
          </w:p>
        </w:tc>
        <w:tc>
          <w:tcPr>
            <w:tcW w:type="dxa" w:w="1584"/>
            <w:vAlign w:val="top"/>
            <w:shd w:val="clear" w:color="auto" w:fill="F0EDEB"/>
          </w:tcPr>
          <w:p>
            <w:pPr>
              <w:spacing w:before="40" w:after="40"/>
            </w:pPr>
            <w:r>
              <w:rPr>
                <w:rFonts w:ascii="Arial" w:hAnsi="Arial"/>
                <w:b/>
                <w:i w:val="0"/>
                <w:sz w:val="20"/>
              </w:rPr>
              <w:t>Recommendation</w:t>
            </w:r>
          </w:p>
        </w:tc>
      </w:tr>
      <w:tr>
        <w:tc>
          <w:tcPr>
            <w:tcW w:type="dxa" w:w="720"/>
            <w:vAlign w:val="top"/>
          </w:tcPr>
          <w:p>
            <w:pPr>
              <w:spacing w:before="40" w:after="40"/>
            </w:pPr>
            <w:r>
              <w:rPr>
                <w:rFonts w:ascii="Arial" w:hAnsi="Arial"/>
                <w:b w:val="0"/>
                <w:i w:val="0"/>
                <w:sz w:val="20"/>
              </w:rPr>
              <w:t>6.1</w:t>
            </w:r>
          </w:p>
        </w:tc>
        <w:tc>
          <w:tcPr>
            <w:tcW w:type="dxa" w:w="1296"/>
            <w:vAlign w:val="top"/>
          </w:tcPr>
          <w:p>
            <w:pPr>
              <w:spacing w:before="40" w:after="40"/>
            </w:pPr>
            <w:r>
              <w:rPr>
                <w:rFonts w:ascii="Arial" w:hAnsi="Arial"/>
                <w:b/>
                <w:i w:val="0"/>
                <w:color w:val="C0392B"/>
                <w:sz w:val="20"/>
              </w:rPr>
              <w:t>CRITICAL</w:t>
            </w:r>
          </w:p>
        </w:tc>
        <w:tc>
          <w:tcPr>
            <w:tcW w:type="dxa" w:w="1584"/>
            <w:vAlign w:val="top"/>
          </w:tcPr>
          <w:p>
            <w:pPr>
              <w:spacing w:before="40" w:after="40"/>
            </w:pPr>
            <w:r>
              <w:rPr>
                <w:rFonts w:ascii="Arial" w:hAnsi="Arial"/>
                <w:b w:val="0"/>
                <w:i w:val="0"/>
                <w:sz w:val="20"/>
              </w:rPr>
              <w:t>Scoring</w:t>
            </w:r>
          </w:p>
        </w:tc>
        <w:tc>
          <w:tcPr>
            <w:tcW w:type="dxa" w:w="4896"/>
            <w:vAlign w:val="top"/>
          </w:tcPr>
          <w:p>
            <w:pPr>
              <w:spacing w:before="40" w:after="40"/>
            </w:pPr>
            <w:r>
              <w:rPr>
                <w:rFonts w:ascii="Arial" w:hAnsi="Arial"/>
                <w:b w:val="0"/>
                <w:i w:val="0"/>
                <w:sz w:val="20"/>
              </w:rPr>
              <w:t>Bedrock 429 errors recorded as 0/2 "Failed" criteria with 0% confidence. Inflates compliance-fail rate. Same 3 criteria fail repeatedly across different conversations.</w:t>
            </w:r>
          </w:p>
        </w:tc>
        <w:tc>
          <w:tcPr>
            <w:tcW w:type="dxa" w:w="1584"/>
            <w:vAlign w:val="top"/>
          </w:tcPr>
          <w:p>
            <w:pPr>
              <w:spacing w:before="40" w:after="40"/>
            </w:pPr>
            <w:r>
              <w:rPr>
                <w:rFonts w:ascii="Arial" w:hAnsi="Arial"/>
                <w:b w:val="0"/>
                <w:i w:val="0"/>
                <w:sz w:val="20"/>
              </w:rPr>
              <w:t>Treat scoring errors as missing data, not 0. Re-score historical results.</w:t>
            </w:r>
          </w:p>
        </w:tc>
      </w:tr>
      <w:tr>
        <w:tc>
          <w:tcPr>
            <w:tcW w:type="dxa" w:w="720"/>
            <w:vAlign w:val="top"/>
          </w:tcPr>
          <w:p>
            <w:pPr>
              <w:spacing w:before="40" w:after="40"/>
            </w:pPr>
            <w:r>
              <w:rPr>
                <w:rFonts w:ascii="Arial" w:hAnsi="Arial"/>
                <w:b w:val="0"/>
                <w:i w:val="0"/>
                <w:sz w:val="20"/>
              </w:rPr>
              <w:t>6.2</w:t>
            </w:r>
          </w:p>
        </w:tc>
        <w:tc>
          <w:tcPr>
            <w:tcW w:type="dxa" w:w="1296"/>
            <w:vAlign w:val="top"/>
          </w:tcPr>
          <w:p>
            <w:pPr>
              <w:spacing w:before="40" w:after="40"/>
            </w:pPr>
            <w:r>
              <w:rPr>
                <w:rFonts w:ascii="Arial" w:hAnsi="Arial"/>
                <w:b/>
                <w:i w:val="0"/>
                <w:color w:val="E67E22"/>
                <w:sz w:val="20"/>
              </w:rPr>
              <w:t>HIGH</w:t>
            </w:r>
          </w:p>
        </w:tc>
        <w:tc>
          <w:tcPr>
            <w:tcW w:type="dxa" w:w="1584"/>
            <w:vAlign w:val="top"/>
          </w:tcPr>
          <w:p>
            <w:pPr>
              <w:spacing w:before="40" w:after="40"/>
            </w:pPr>
            <w:r>
              <w:rPr>
                <w:rFonts w:ascii="Arial" w:hAnsi="Arial"/>
                <w:b w:val="0"/>
                <w:i w:val="0"/>
                <w:sz w:val="20"/>
              </w:rPr>
              <w:t>Frontend</w:t>
            </w:r>
          </w:p>
        </w:tc>
        <w:tc>
          <w:tcPr>
            <w:tcW w:type="dxa" w:w="4896"/>
            <w:vAlign w:val="top"/>
          </w:tcPr>
          <w:p>
            <w:pPr>
              <w:spacing w:before="40" w:after="40"/>
            </w:pPr>
            <w:r>
              <w:rPr>
                <w:rFonts w:ascii="Arial" w:hAnsi="Arial"/>
                <w:b w:val="0"/>
                <w:i w:val="0"/>
                <w:sz w:val="20"/>
              </w:rPr>
              <w:t>Unicode escape sequences (\u2190, \u2192, \u00b7, \u201c, \u201d) rendered as literal text on Dashboard, Results list, Result detail, Reports, and inside coaching notes.</w:t>
            </w:r>
          </w:p>
        </w:tc>
        <w:tc>
          <w:tcPr>
            <w:tcW w:type="dxa" w:w="1584"/>
            <w:vAlign w:val="top"/>
          </w:tcPr>
          <w:p>
            <w:pPr>
              <w:spacing w:before="40" w:after="40"/>
            </w:pPr>
            <w:r>
              <w:rPr>
                <w:rFonts w:ascii="Arial" w:hAnsi="Arial"/>
                <w:b w:val="0"/>
                <w:i w:val="0"/>
                <w:sz w:val="20"/>
              </w:rPr>
              <w:t>JSON.stringify output is being assigned to React text nodes raw. Decode at the point of render or fix the API serialization.</w:t>
            </w:r>
          </w:p>
        </w:tc>
      </w:tr>
      <w:tr>
        <w:tc>
          <w:tcPr>
            <w:tcW w:type="dxa" w:w="720"/>
            <w:vAlign w:val="top"/>
          </w:tcPr>
          <w:p>
            <w:pPr>
              <w:spacing w:before="40" w:after="40"/>
            </w:pPr>
            <w:r>
              <w:rPr>
                <w:rFonts w:ascii="Arial" w:hAnsi="Arial"/>
                <w:b w:val="0"/>
                <w:i w:val="0"/>
                <w:sz w:val="20"/>
              </w:rPr>
              <w:t>6.3</w:t>
            </w:r>
          </w:p>
        </w:tc>
        <w:tc>
          <w:tcPr>
            <w:tcW w:type="dxa" w:w="1296"/>
            <w:vAlign w:val="top"/>
          </w:tcPr>
          <w:p>
            <w:pPr>
              <w:spacing w:before="40" w:after="40"/>
            </w:pPr>
            <w:r>
              <w:rPr>
                <w:rFonts w:ascii="Arial" w:hAnsi="Arial"/>
                <w:b/>
                <w:i w:val="0"/>
                <w:color w:val="E67E22"/>
                <w:sz w:val="20"/>
              </w:rPr>
              <w:t>HIGH</w:t>
            </w:r>
          </w:p>
        </w:tc>
        <w:tc>
          <w:tcPr>
            <w:tcW w:type="dxa" w:w="1584"/>
            <w:vAlign w:val="top"/>
          </w:tcPr>
          <w:p>
            <w:pPr>
              <w:spacing w:before="40" w:after="40"/>
            </w:pPr>
            <w:r>
              <w:rPr>
                <w:rFonts w:ascii="Arial" w:hAnsi="Arial"/>
                <w:b w:val="0"/>
                <w:i w:val="0"/>
                <w:sz w:val="20"/>
              </w:rPr>
              <w:t>Scoring fairness</w:t>
            </w:r>
          </w:p>
        </w:tc>
        <w:tc>
          <w:tcPr>
            <w:tcW w:type="dxa" w:w="4896"/>
            <w:vAlign w:val="top"/>
          </w:tcPr>
          <w:p>
            <w:pPr>
              <w:spacing w:before="40" w:after="40"/>
            </w:pPr>
            <w:r>
              <w:rPr>
                <w:rFonts w:ascii="Arial" w:hAnsi="Arial"/>
                <w:b w:val="0"/>
                <w:i w:val="0"/>
                <w:sz w:val="20"/>
              </w:rPr>
              <w:t>Critical-flagged criteria failing because of 6.1 trigger the rubric's "0 score on critical = compliance fail" rule, marking otherwise good conversations as compliance failures.</w:t>
            </w:r>
          </w:p>
        </w:tc>
        <w:tc>
          <w:tcPr>
            <w:tcW w:type="dxa" w:w="1584"/>
            <w:vAlign w:val="top"/>
          </w:tcPr>
          <w:p>
            <w:pPr>
              <w:spacing w:before="40" w:after="40"/>
            </w:pPr>
            <w:r>
              <w:rPr>
                <w:rFonts w:ascii="Arial" w:hAnsi="Arial"/>
                <w:b w:val="0"/>
                <w:i w:val="0"/>
                <w:sz w:val="20"/>
              </w:rPr>
              <w:t>Same fix as 6.1; consider adding a separate 'unscored' state.</w:t>
            </w:r>
          </w:p>
        </w:tc>
      </w:tr>
      <w:tr>
        <w:tc>
          <w:tcPr>
            <w:tcW w:type="dxa" w:w="720"/>
            <w:vAlign w:val="top"/>
          </w:tcPr>
          <w:p>
            <w:pPr>
              <w:spacing w:before="40" w:after="40"/>
            </w:pPr>
            <w:r>
              <w:rPr>
                <w:rFonts w:ascii="Arial" w:hAnsi="Arial"/>
                <w:b w:val="0"/>
                <w:i w:val="0"/>
                <w:sz w:val="20"/>
              </w:rPr>
              <w:t>6.4</w:t>
            </w:r>
          </w:p>
        </w:tc>
        <w:tc>
          <w:tcPr>
            <w:tcW w:type="dxa" w:w="1296"/>
            <w:vAlign w:val="top"/>
          </w:tcPr>
          <w:p>
            <w:pPr>
              <w:spacing w:before="40" w:after="40"/>
            </w:pPr>
            <w:r>
              <w:rPr>
                <w:rFonts w:ascii="Arial" w:hAnsi="Arial"/>
                <w:b/>
                <w:i w:val="0"/>
                <w:color w:val="F39C12"/>
                <w:sz w:val="20"/>
              </w:rPr>
              <w:t>MEDIUM</w:t>
            </w:r>
          </w:p>
        </w:tc>
        <w:tc>
          <w:tcPr>
            <w:tcW w:type="dxa" w:w="1584"/>
            <w:vAlign w:val="top"/>
          </w:tcPr>
          <w:p>
            <w:pPr>
              <w:spacing w:before="40" w:after="40"/>
            </w:pPr>
            <w:r>
              <w:rPr>
                <w:rFonts w:ascii="Arial" w:hAnsi="Arial"/>
                <w:b w:val="0"/>
                <w:i w:val="0"/>
                <w:sz w:val="20"/>
              </w:rPr>
              <w:t>Performance</w:t>
            </w:r>
          </w:p>
        </w:tc>
        <w:tc>
          <w:tcPr>
            <w:tcW w:type="dxa" w:w="4896"/>
            <w:vAlign w:val="top"/>
          </w:tcPr>
          <w:p>
            <w:pPr>
              <w:spacing w:before="40" w:after="40"/>
            </w:pPr>
            <w:r>
              <w:rPr>
                <w:rFonts w:ascii="Arial" w:hAnsi="Arial"/>
                <w:b w:val="0"/>
                <w:i w:val="0"/>
                <w:sz w:val="20"/>
              </w:rPr>
              <w:t>/results and /reports take 30+ seconds to render in dev mode and frequently freeze the renderer.</w:t>
            </w:r>
          </w:p>
        </w:tc>
        <w:tc>
          <w:tcPr>
            <w:tcW w:type="dxa" w:w="1584"/>
            <w:vAlign w:val="top"/>
          </w:tcPr>
          <w:p>
            <w:pPr>
              <w:spacing w:before="40" w:after="40"/>
            </w:pPr>
            <w:r>
              <w:rPr>
                <w:rFonts w:ascii="Arial" w:hAnsi="Arial"/>
                <w:b w:val="0"/>
                <w:i w:val="0"/>
                <w:sz w:val="20"/>
              </w:rPr>
              <w:t>Profile server actions; suspected synchronous N×LLM calls during page load. Move to background job + cache.</w:t>
            </w:r>
          </w:p>
        </w:tc>
      </w:tr>
      <w:tr>
        <w:tc>
          <w:tcPr>
            <w:tcW w:type="dxa" w:w="720"/>
            <w:vAlign w:val="top"/>
          </w:tcPr>
          <w:p>
            <w:pPr>
              <w:spacing w:before="40" w:after="40"/>
            </w:pPr>
            <w:r>
              <w:rPr>
                <w:rFonts w:ascii="Arial" w:hAnsi="Arial"/>
                <w:b w:val="0"/>
                <w:i w:val="0"/>
                <w:sz w:val="20"/>
              </w:rPr>
              <w:t>6.5</w:t>
            </w:r>
          </w:p>
        </w:tc>
        <w:tc>
          <w:tcPr>
            <w:tcW w:type="dxa" w:w="1296"/>
            <w:vAlign w:val="top"/>
          </w:tcPr>
          <w:p>
            <w:pPr>
              <w:spacing w:before="40" w:after="40"/>
            </w:pPr>
            <w:r>
              <w:rPr>
                <w:rFonts w:ascii="Arial" w:hAnsi="Arial"/>
                <w:b/>
                <w:i w:val="0"/>
                <w:color w:val="F39C12"/>
                <w:sz w:val="20"/>
              </w:rPr>
              <w:t>MEDIUM</w:t>
            </w:r>
          </w:p>
        </w:tc>
        <w:tc>
          <w:tcPr>
            <w:tcW w:type="dxa" w:w="1584"/>
            <w:vAlign w:val="top"/>
          </w:tcPr>
          <w:p>
            <w:pPr>
              <w:spacing w:before="40" w:after="40"/>
            </w:pPr>
            <w:r>
              <w:rPr>
                <w:rFonts w:ascii="Arial" w:hAnsi="Arial"/>
                <w:b w:val="0"/>
                <w:i w:val="0"/>
                <w:sz w:val="20"/>
              </w:rPr>
              <w:t>UI</w:t>
            </w:r>
          </w:p>
        </w:tc>
        <w:tc>
          <w:tcPr>
            <w:tcW w:type="dxa" w:w="4896"/>
            <w:vAlign w:val="top"/>
          </w:tcPr>
          <w:p>
            <w:pPr>
              <w:spacing w:before="40" w:after="40"/>
            </w:pPr>
            <w:r>
              <w:rPr>
                <w:rFonts w:ascii="Arial" w:hAnsi="Arial"/>
                <w:b w:val="0"/>
                <w:i w:val="0"/>
                <w:sz w:val="20"/>
              </w:rPr>
              <w:t>Logout button at bottom-left displays "out" because the user-avatar circle overlaps the first characters of "Logout".</w:t>
            </w:r>
          </w:p>
        </w:tc>
        <w:tc>
          <w:tcPr>
            <w:tcW w:type="dxa" w:w="1584"/>
            <w:vAlign w:val="top"/>
          </w:tcPr>
          <w:p>
            <w:pPr>
              <w:spacing w:before="40" w:after="40"/>
            </w:pPr>
            <w:r>
              <w:rPr>
                <w:rFonts w:ascii="Arial" w:hAnsi="Arial"/>
                <w:b w:val="0"/>
                <w:i w:val="0"/>
                <w:sz w:val="20"/>
              </w:rPr>
              <w:t>Increase left padding on the logout label or stack avatar above label.</w:t>
            </w:r>
          </w:p>
        </w:tc>
      </w:tr>
      <w:tr>
        <w:tc>
          <w:tcPr>
            <w:tcW w:type="dxa" w:w="720"/>
            <w:vAlign w:val="top"/>
          </w:tcPr>
          <w:p>
            <w:pPr>
              <w:spacing w:before="40" w:after="40"/>
            </w:pPr>
            <w:r>
              <w:rPr>
                <w:rFonts w:ascii="Arial" w:hAnsi="Arial"/>
                <w:b w:val="0"/>
                <w:i w:val="0"/>
                <w:sz w:val="20"/>
              </w:rPr>
              <w:t>6.6</w:t>
            </w:r>
          </w:p>
        </w:tc>
        <w:tc>
          <w:tcPr>
            <w:tcW w:type="dxa" w:w="1296"/>
            <w:vAlign w:val="top"/>
          </w:tcPr>
          <w:p>
            <w:pPr>
              <w:spacing w:before="40" w:after="40"/>
            </w:pPr>
            <w:r>
              <w:rPr>
                <w:rFonts w:ascii="Arial" w:hAnsi="Arial"/>
                <w:b/>
                <w:i w:val="0"/>
                <w:color w:val="F39C12"/>
                <w:sz w:val="20"/>
              </w:rPr>
              <w:t>MEDIUM</w:t>
            </w:r>
          </w:p>
        </w:tc>
        <w:tc>
          <w:tcPr>
            <w:tcW w:type="dxa" w:w="1584"/>
            <w:vAlign w:val="top"/>
          </w:tcPr>
          <w:p>
            <w:pPr>
              <w:spacing w:before="40" w:after="40"/>
            </w:pPr>
            <w:r>
              <w:rPr>
                <w:rFonts w:ascii="Arial" w:hAnsi="Arial"/>
                <w:b w:val="0"/>
                <w:i w:val="0"/>
                <w:sz w:val="20"/>
              </w:rPr>
              <w:t>Billing copy</w:t>
            </w:r>
          </w:p>
        </w:tc>
        <w:tc>
          <w:tcPr>
            <w:tcW w:type="dxa" w:w="4896"/>
            <w:vAlign w:val="top"/>
          </w:tcPr>
          <w:p>
            <w:pPr>
              <w:spacing w:before="40" w:after="40"/>
            </w:pPr>
            <w:r>
              <w:rPr>
                <w:rFonts w:ascii="Arial" w:hAnsi="Arial"/>
                <w:b w:val="0"/>
                <w:i w:val="0"/>
                <w:sz w:val="20"/>
              </w:rPr>
              <w:t>Billing page copy hard-codes OpenAI: "On the Pilot plan, QAScope covers the OpenAI cost…" even though the chat path is now provider-agnostic.</w:t>
            </w:r>
          </w:p>
        </w:tc>
        <w:tc>
          <w:tcPr>
            <w:tcW w:type="dxa" w:w="1584"/>
            <w:vAlign w:val="top"/>
          </w:tcPr>
          <w:p>
            <w:pPr>
              <w:spacing w:before="40" w:after="40"/>
            </w:pPr>
            <w:r>
              <w:rPr>
                <w:rFonts w:ascii="Arial" w:hAnsi="Arial"/>
                <w:b w:val="0"/>
                <w:i w:val="0"/>
                <w:sz w:val="20"/>
              </w:rPr>
              <w:t>Replace 'OpenAI' with 'LLM' in the Billing UI copy.</w:t>
            </w:r>
          </w:p>
        </w:tc>
      </w:tr>
      <w:tr>
        <w:tc>
          <w:tcPr>
            <w:tcW w:type="dxa" w:w="720"/>
            <w:vAlign w:val="top"/>
          </w:tcPr>
          <w:p>
            <w:pPr>
              <w:spacing w:before="40" w:after="40"/>
            </w:pPr>
            <w:r>
              <w:rPr>
                <w:rFonts w:ascii="Arial" w:hAnsi="Arial"/>
                <w:b w:val="0"/>
                <w:i w:val="0"/>
                <w:sz w:val="20"/>
              </w:rPr>
              <w:t>6.7</w:t>
            </w:r>
          </w:p>
        </w:tc>
        <w:tc>
          <w:tcPr>
            <w:tcW w:type="dxa" w:w="1296"/>
            <w:vAlign w:val="top"/>
          </w:tcPr>
          <w:p>
            <w:pPr>
              <w:spacing w:before="40" w:after="40"/>
            </w:pPr>
            <w:r>
              <w:rPr>
                <w:rFonts w:ascii="Arial" w:hAnsi="Arial"/>
                <w:b/>
                <w:i w:val="0"/>
                <w:color w:val="F39C12"/>
                <w:sz w:val="20"/>
              </w:rPr>
              <w:t>MEDIUM</w:t>
            </w:r>
          </w:p>
        </w:tc>
        <w:tc>
          <w:tcPr>
            <w:tcW w:type="dxa" w:w="1584"/>
            <w:vAlign w:val="top"/>
          </w:tcPr>
          <w:p>
            <w:pPr>
              <w:spacing w:before="40" w:after="40"/>
            </w:pPr>
            <w:r>
              <w:rPr>
                <w:rFonts w:ascii="Arial" w:hAnsi="Arial"/>
                <w:b w:val="0"/>
                <w:i w:val="0"/>
                <w:sz w:val="20"/>
              </w:rPr>
              <w:t>Telemetry</w:t>
            </w:r>
          </w:p>
        </w:tc>
        <w:tc>
          <w:tcPr>
            <w:tcW w:type="dxa" w:w="4896"/>
            <w:vAlign w:val="top"/>
          </w:tcPr>
          <w:p>
            <w:pPr>
              <w:spacing w:before="40" w:after="40"/>
            </w:pPr>
            <w:r>
              <w:rPr>
                <w:rFonts w:ascii="Arial" w:hAnsi="Arial"/>
                <w:b w:val="0"/>
                <w:i w:val="0"/>
                <w:sz w:val="20"/>
              </w:rPr>
              <w:t>Billing page shows 0 API calls and ~₹0.01 cost despite 100 scored conversations. Bedrock usage may not be wired into the openai_usage logging path or cost-rate table.</w:t>
            </w:r>
          </w:p>
        </w:tc>
        <w:tc>
          <w:tcPr>
            <w:tcW w:type="dxa" w:w="1584"/>
            <w:vAlign w:val="top"/>
          </w:tcPr>
          <w:p>
            <w:pPr>
              <w:spacing w:before="40" w:after="40"/>
            </w:pPr>
            <w:r>
              <w:rPr>
                <w:rFonts w:ascii="Arial" w:hAnsi="Arial"/>
                <w:b w:val="0"/>
                <w:i w:val="0"/>
                <w:sz w:val="20"/>
              </w:rPr>
              <w:t>Confirm usage rows are inserted for Bedrock calls; add Nova / Bedrock pricing to estimateCostMicroInr().</w:t>
            </w:r>
          </w:p>
        </w:tc>
      </w:tr>
      <w:tr>
        <w:tc>
          <w:tcPr>
            <w:tcW w:type="dxa" w:w="720"/>
            <w:vAlign w:val="top"/>
          </w:tcPr>
          <w:p>
            <w:pPr>
              <w:spacing w:before="40" w:after="40"/>
            </w:pPr>
            <w:r>
              <w:rPr>
                <w:rFonts w:ascii="Arial" w:hAnsi="Arial"/>
                <w:b w:val="0"/>
                <w:i w:val="0"/>
                <w:sz w:val="20"/>
              </w:rPr>
              <w:t>6.8</w:t>
            </w:r>
          </w:p>
        </w:tc>
        <w:tc>
          <w:tcPr>
            <w:tcW w:type="dxa" w:w="1296"/>
            <w:vAlign w:val="top"/>
          </w:tcPr>
          <w:p>
            <w:pPr>
              <w:spacing w:before="40" w:after="40"/>
            </w:pPr>
            <w:r>
              <w:rPr>
                <w:rFonts w:ascii="Arial" w:hAnsi="Arial"/>
                <w:b/>
                <w:i w:val="0"/>
                <w:color w:val="27AE60"/>
                <w:sz w:val="20"/>
              </w:rPr>
              <w:t>LOW</w:t>
            </w:r>
          </w:p>
        </w:tc>
        <w:tc>
          <w:tcPr>
            <w:tcW w:type="dxa" w:w="1584"/>
            <w:vAlign w:val="top"/>
          </w:tcPr>
          <w:p>
            <w:pPr>
              <w:spacing w:before="40" w:after="40"/>
            </w:pPr>
            <w:r>
              <w:rPr>
                <w:rFonts w:ascii="Arial" w:hAnsi="Arial"/>
                <w:b w:val="0"/>
                <w:i w:val="0"/>
                <w:sz w:val="20"/>
              </w:rPr>
              <w:t>UX</w:t>
            </w:r>
          </w:p>
        </w:tc>
        <w:tc>
          <w:tcPr>
            <w:tcW w:type="dxa" w:w="4896"/>
            <w:vAlign w:val="top"/>
          </w:tcPr>
          <w:p>
            <w:pPr>
              <w:spacing w:before="40" w:after="40"/>
            </w:pPr>
            <w:r>
              <w:rPr>
                <w:rFonts w:ascii="Arial" w:hAnsi="Arial"/>
                <w:b w:val="0"/>
                <w:i w:val="0"/>
                <w:sz w:val="20"/>
              </w:rPr>
              <w:t>Dashboard "By Team" fail rates (96.3%, 80.0%, 70.8%, 66.7%) look alarming because of 6.1.</w:t>
            </w:r>
          </w:p>
        </w:tc>
        <w:tc>
          <w:tcPr>
            <w:tcW w:type="dxa" w:w="1584"/>
            <w:vAlign w:val="top"/>
          </w:tcPr>
          <w:p>
            <w:pPr>
              <w:spacing w:before="40" w:after="40"/>
            </w:pPr>
            <w:r>
              <w:rPr>
                <w:rFonts w:ascii="Arial" w:hAnsi="Arial"/>
                <w:b w:val="0"/>
                <w:i w:val="0"/>
                <w:sz w:val="20"/>
              </w:rPr>
              <w:t>Once 6.1 is fixed, headline numbers will recover. In the interim, surface 'AI confidence' alongside fail rate.</w:t>
            </w:r>
          </w:p>
        </w:tc>
      </w:tr>
    </w:tbl>
    <w:p>
      <w:pPr>
        <w:pStyle w:val="Heading1"/>
        <w:spacing w:before="280" w:after="160"/>
      </w:pPr>
      <w:r>
        <w:rPr>
          <w:rFonts w:ascii="Arial" w:hAnsi="Arial"/>
          <w:b/>
          <w:i w:val="0"/>
          <w:color w:val="1F3A5F"/>
          <w:sz w:val="36"/>
        </w:rPr>
        <w:t>7. Recommendations &amp; Next Steps</w:t>
      </w:r>
    </w:p>
    <w:p>
      <w:pPr>
        <w:pStyle w:val="Heading2"/>
        <w:spacing w:before="200" w:after="160"/>
      </w:pPr>
      <w:r>
        <w:rPr>
          <w:rFonts w:ascii="Arial" w:hAnsi="Arial"/>
          <w:b/>
          <w:i w:val="0"/>
          <w:color w:val="1F3A5F"/>
          <w:sz w:val="28"/>
        </w:rPr>
        <w:t>Do this week</w:t>
      </w:r>
    </w:p>
    <w:p>
      <w:pPr>
        <w:pStyle w:val="ListBullet"/>
        <w:spacing w:after="40"/>
        <w:ind w:left="432"/>
      </w:pPr>
      <w:r>
        <w:rPr>
          <w:rFonts w:ascii="Arial" w:hAnsi="Arial"/>
          <w:b/>
          <w:i w:val="0"/>
        </w:rPr>
        <w:t xml:space="preserve">Fix 6.1 (rate-limit handling). </w:t>
      </w:r>
      <w:r>
        <w:rPr>
          <w:rFonts w:ascii="Arial" w:hAnsi="Arial"/>
          <w:b w:val="0"/>
          <w:i w:val="0"/>
        </w:rPr>
        <w:t>Single highest-impact change. Will recover the headline scores and unlock honest rollout to a real workspace.</w:t>
      </w:r>
    </w:p>
    <w:p>
      <w:pPr>
        <w:pStyle w:val="ListBullet"/>
        <w:spacing w:after="40"/>
        <w:ind w:left="432"/>
      </w:pPr>
      <w:r>
        <w:rPr>
          <w:rFonts w:ascii="Arial" w:hAnsi="Arial"/>
          <w:b/>
          <w:i w:val="0"/>
        </w:rPr>
        <w:t xml:space="preserve">Fix 6.2 (Unicode escapes). </w:t>
      </w:r>
      <w:r>
        <w:rPr>
          <w:rFonts w:ascii="Arial" w:hAnsi="Arial"/>
          <w:b w:val="0"/>
          <w:i w:val="0"/>
        </w:rPr>
        <w:t>Cosmetic but visible on every page; small dev effort, big trust win.</w:t>
      </w:r>
    </w:p>
    <w:p>
      <w:pPr>
        <w:pStyle w:val="ListBullet"/>
        <w:spacing w:after="40"/>
        <w:ind w:left="432"/>
      </w:pPr>
      <w:r>
        <w:rPr>
          <w:rFonts w:ascii="Arial" w:hAnsi="Arial"/>
          <w:b/>
          <w:i w:val="0"/>
        </w:rPr>
        <w:t xml:space="preserve">Re-score the 100-row fixture </w:t>
      </w:r>
      <w:r>
        <w:rPr>
          <w:rFonts w:ascii="Arial" w:hAnsi="Arial"/>
          <w:b w:val="0"/>
          <w:i w:val="0"/>
        </w:rPr>
        <w:t>after 6.1 lands so the dashboard reflects honest numbers.</w:t>
      </w:r>
    </w:p>
    <w:p>
      <w:pPr>
        <w:pStyle w:val="Heading2"/>
        <w:spacing w:before="200" w:after="160"/>
      </w:pPr>
      <w:r>
        <w:rPr>
          <w:rFonts w:ascii="Arial" w:hAnsi="Arial"/>
          <w:b/>
          <w:i w:val="0"/>
          <w:color w:val="1F3A5F"/>
          <w:sz w:val="28"/>
        </w:rPr>
        <w:t>Do this month</w:t>
      </w:r>
    </w:p>
    <w:p>
      <w:pPr>
        <w:pStyle w:val="ListBullet"/>
        <w:spacing w:after="40"/>
        <w:ind w:left="432"/>
      </w:pPr>
      <w:r>
        <w:rPr>
          <w:rFonts w:ascii="Arial" w:hAnsi="Arial"/>
          <w:b/>
          <w:i w:val="0"/>
        </w:rPr>
        <w:t xml:space="preserve">Wire Bedrock cost into Billing (6.7). </w:t>
      </w:r>
      <w:r>
        <w:rPr>
          <w:rFonts w:ascii="Arial" w:hAnsi="Arial"/>
          <w:b w:val="0"/>
          <w:i w:val="0"/>
        </w:rPr>
        <w:t>Today the LLM Usage card under-counts; once paid plans launch this becomes a billing-correctness issue.</w:t>
      </w:r>
    </w:p>
    <w:p>
      <w:pPr>
        <w:pStyle w:val="ListBullet"/>
        <w:spacing w:after="40"/>
        <w:ind w:left="432"/>
      </w:pPr>
      <w:r>
        <w:rPr>
          <w:rFonts w:ascii="Arial" w:hAnsi="Arial"/>
          <w:b/>
          <w:i w:val="0"/>
        </w:rPr>
        <w:t xml:space="preserve">Profile and de-block /results and /reports (6.4). </w:t>
      </w:r>
      <w:r>
        <w:rPr>
          <w:rFonts w:ascii="Arial" w:hAnsi="Arial"/>
          <w:b w:val="0"/>
          <w:i w:val="0"/>
        </w:rPr>
        <w:t>Page-load latency is the most-felt UX issue (you flagged it explicitly).</w:t>
      </w:r>
    </w:p>
    <w:p>
      <w:pPr>
        <w:pStyle w:val="ListBullet"/>
        <w:spacing w:after="40"/>
        <w:ind w:left="432"/>
      </w:pPr>
      <w:r>
        <w:rPr>
          <w:rFonts w:ascii="Arial" w:hAnsi="Arial"/>
          <w:b/>
          <w:i w:val="0"/>
        </w:rPr>
        <w:t xml:space="preserve">Add a smoke test </w:t>
      </w:r>
      <w:r>
        <w:rPr>
          <w:rFonts w:ascii="Arial" w:hAnsi="Arial"/>
          <w:b w:val="0"/>
          <w:i w:val="0"/>
        </w:rPr>
        <w:t>that uploads a known fixture, scores it, and asserts no criterion shows the literal text "Scoring error". Catches future 6.1-type regressions automatically.</w:t>
      </w:r>
    </w:p>
    <w:p>
      <w:pPr>
        <w:pStyle w:val="Heading2"/>
        <w:spacing w:before="200" w:after="160"/>
      </w:pPr>
      <w:r>
        <w:rPr>
          <w:rFonts w:ascii="Arial" w:hAnsi="Arial"/>
          <w:b/>
          <w:i w:val="0"/>
          <w:color w:val="1F3A5F"/>
          <w:sz w:val="28"/>
        </w:rPr>
        <w:t>Do this quarter</w:t>
      </w:r>
    </w:p>
    <w:p>
      <w:pPr>
        <w:pStyle w:val="ListBullet"/>
        <w:spacing w:after="40"/>
        <w:ind w:left="432"/>
      </w:pPr>
      <w:r>
        <w:rPr>
          <w:rFonts w:ascii="Arial" w:hAnsi="Arial"/>
          <w:b/>
          <w:i w:val="0"/>
        </w:rPr>
        <w:t xml:space="preserve">Exercise the signup flow </w:t>
      </w:r>
      <w:r>
        <w:rPr>
          <w:rFonts w:ascii="Arial" w:hAnsi="Arial"/>
          <w:b w:val="0"/>
          <w:i w:val="0"/>
        </w:rPr>
        <w:t>with a fresh email; verify password rules, email confirmation, first-time onboarding, default workspace creation.</w:t>
      </w:r>
    </w:p>
    <w:p>
      <w:pPr>
        <w:pStyle w:val="ListBullet"/>
        <w:spacing w:after="40"/>
        <w:ind w:left="432"/>
      </w:pPr>
      <w:r>
        <w:rPr>
          <w:rFonts w:ascii="Arial" w:hAnsi="Arial"/>
          <w:b/>
          <w:i w:val="0"/>
        </w:rPr>
        <w:t xml:space="preserve">Document the Upload column-mapping step </w:t>
      </w:r>
      <w:r>
        <w:rPr>
          <w:rFonts w:ascii="Arial" w:hAnsi="Arial"/>
          <w:b w:val="0"/>
          <w:i w:val="0"/>
        </w:rPr>
        <w:t>(step 2 of the upload flow) in a short user-facing guide; the dataset format is otherwise undiscoverable.</w:t>
      </w:r>
    </w:p>
    <w:p>
      <w:pPr>
        <w:pStyle w:val="ListBullet"/>
        <w:spacing w:after="40"/>
        <w:ind w:left="432"/>
      </w:pPr>
      <w:r>
        <w:rPr>
          <w:rFonts w:ascii="Arial" w:hAnsi="Arial"/>
          <w:b/>
          <w:i w:val="0"/>
        </w:rPr>
        <w:t xml:space="preserve">Add anti-regression LLM checks: </w:t>
      </w:r>
      <w:r>
        <w:rPr>
          <w:rFonts w:ascii="Arial" w:hAnsi="Arial"/>
          <w:b w:val="0"/>
          <w:i w:val="0"/>
        </w:rPr>
        <w:t>small held-out set of labeled conversations; nightly run that asserts the AI score for known-good and known-bad samples stays within tolerance bands.</w:t>
      </w:r>
    </w:p>
    <w:p>
      <w:pPr>
        <w:pStyle w:val="Heading1"/>
        <w:spacing w:before="280" w:after="160"/>
      </w:pPr>
      <w:r>
        <w:rPr>
          <w:rFonts w:ascii="Arial" w:hAnsi="Arial"/>
          <w:b/>
          <w:i w:val="0"/>
          <w:color w:val="1F3A5F"/>
          <w:sz w:val="36"/>
        </w:rPr>
        <w:t>8. Test Methodology</w:t>
      </w:r>
    </w:p>
    <w:p>
      <w:pPr>
        <w:spacing w:before="0" w:after="80" w:line="300" w:lineRule="auto"/>
      </w:pPr>
      <w:r>
        <w:rPr>
          <w:rFonts w:ascii="Arial" w:hAnsi="Arial"/>
          <w:b w:val="0"/>
          <w:i w:val="0"/>
        </w:rPr>
        <w:t>Environment: localhost:3000 (Next.js dev mode), AWS Bedrock — Amazon Nova Pro for chat, Amazon Titan Embeddings for RAG, Supabase Postgres for persistence.</w:t>
      </w:r>
    </w:p>
    <w:p>
      <w:pPr>
        <w:spacing w:before="0" w:after="80" w:line="300" w:lineRule="auto"/>
      </w:pPr>
      <w:r>
        <w:rPr>
          <w:rFonts w:ascii="Arial" w:hAnsi="Arial"/>
          <w:b w:val="0"/>
          <w:i w:val="0"/>
        </w:rPr>
        <w:t>Account: existing admin account in HCL Technologies workspace.</w:t>
      </w:r>
    </w:p>
    <w:p>
      <w:pPr>
        <w:spacing w:before="0" w:after="80" w:line="300" w:lineRule="auto"/>
      </w:pPr>
      <w:r>
        <w:rPr>
          <w:rFonts w:ascii="Arial" w:hAnsi="Arial"/>
          <w:b w:val="0"/>
          <w:i w:val="0"/>
        </w:rPr>
        <w:t>Coverage: every reachable page in the left navigation; deeper inspection on Results, Result detail, Reports, Settings.</w:t>
      </w:r>
    </w:p>
    <w:p>
      <w:pPr>
        <w:spacing w:before="0" w:after="80" w:line="300" w:lineRule="auto"/>
      </w:pPr>
      <w:r>
        <w:rPr>
          <w:rFonts w:ascii="Arial" w:hAnsi="Arial"/>
          <w:b w:val="0"/>
          <w:i w:val="0"/>
        </w:rPr>
        <w:t>LLM relevance assessment: 3 result detail pages spot-checked; aggregate score-vs-tag correlation across all 100 results.</w:t>
      </w:r>
    </w:p>
    <w:p>
      <w:pPr>
        <w:spacing w:before="0" w:after="80" w:line="300" w:lineRule="auto"/>
      </w:pPr>
      <w:r>
        <w:rPr>
          <w:rFonts w:ascii="Arial" w:hAnsi="Arial"/>
          <w:b w:val="0"/>
          <w:i w:val="0"/>
        </w:rPr>
        <w:t>Out of scope (this run): signup with new email, CSV upload pipeline (no test CSV produced), PDF export, Bulk fatal-rule CSV upload, second-tier review escalation, billing checkout.</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88888"/>
        <w:sz w:val="18"/>
      </w:rPr>
      <w:t xml:space="preserve">Page </w:t>
    </w:r>
    <w:r>
      <w:rPr>
        <w:color w:val="88888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8"/>
      </w:rPr>
      <w:t>QAScope QA Test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