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74CFA"/>
    <w:p w14:paraId="54A7132F"/>
    <w:p w14:paraId="0641F5DC"/>
    <w:p w14:paraId="01D19B27"/>
    <w:p w14:paraId="420F3A03"/>
    <w:p w14:paraId="7E019BF9"/>
    <w:p w14:paraId="47FF5D29">
      <w:pPr>
        <w:ind w:firstLine="482"/>
        <w:jc w:val="center"/>
      </w:pPr>
      <w:r>
        <w:rPr>
          <w:rFonts w:ascii="Times New Roman" w:hAnsi="Times New Roman" w:eastAsia="黑体"/>
          <w:b/>
          <w:sz w:val="44"/>
        </w:rPr>
        <w:t>2026 年《机器学习》</w:t>
      </w:r>
    </w:p>
    <w:p w14:paraId="66149BC3">
      <w:pPr>
        <w:ind w:firstLine="482"/>
        <w:jc w:val="center"/>
      </w:pPr>
      <w:r>
        <w:rPr>
          <w:rFonts w:ascii="Times New Roman" w:hAnsi="Times New Roman" w:eastAsia="黑体"/>
          <w:b/>
          <w:sz w:val="44"/>
        </w:rPr>
        <w:t>工程报告</w:t>
      </w:r>
    </w:p>
    <w:p w14:paraId="6845C39F">
      <w:pPr>
        <w:ind w:firstLine="482"/>
        <w:jc w:val="center"/>
      </w:pPr>
      <w:r>
        <w:rPr>
          <w:rFonts w:ascii="Times New Roman" w:hAnsi="Times New Roman" w:eastAsia="黑体"/>
          <w:b/>
          <w:sz w:val="32"/>
        </w:rPr>
        <w:t>（个人版）</w:t>
      </w:r>
    </w:p>
    <w:p w14:paraId="309DCF74"/>
    <w:p w14:paraId="6DF5786E"/>
    <w:p w14:paraId="4916BFC3"/>
    <w:p w14:paraId="4CF3FE20"/>
    <w:p w14:paraId="4D6733C2">
      <w:pPr>
        <w:ind w:firstLine="482"/>
        <w:jc w:val="center"/>
      </w:pPr>
      <w:r>
        <w:rPr>
          <w:rFonts w:ascii="Times New Roman" w:hAnsi="Times New Roman" w:eastAsia="宋体"/>
          <w:b w:val="0"/>
          <w:sz w:val="28"/>
        </w:rPr>
        <w:t>课　　程：　</w:t>
      </w:r>
      <w:r>
        <w:rPr>
          <w:rFonts w:hint="eastAsia" w:ascii="Times New Roman" w:hAnsi="Times New Roman" w:eastAsia="宋体"/>
          <w:b w:val="0"/>
          <w:sz w:val="28"/>
          <w:lang w:val="en-US" w:eastAsia="zh-CN"/>
        </w:rPr>
        <w:t xml:space="preserve"> </w:t>
      </w:r>
      <w:r>
        <w:rPr>
          <w:rFonts w:ascii="Times New Roman" w:hAnsi="Times New Roman" w:eastAsia="宋体"/>
          <w:b w:val="0"/>
          <w:sz w:val="28"/>
        </w:rPr>
        <w:t>机器学习</w:t>
      </w:r>
    </w:p>
    <w:p w14:paraId="34F5441D">
      <w:pPr>
        <w:ind w:left="2160" w:leftChars="0" w:firstLine="893" w:firstLineChars="319"/>
        <w:jc w:val="both"/>
        <w:rPr>
          <w:rFonts w:hint="default" w:ascii="Times New Roman" w:hAnsi="Times New Roman" w:eastAsia="宋体"/>
          <w:b w:val="0"/>
          <w:sz w:val="28"/>
          <w:lang w:val="en-US" w:eastAsia="zh-CN"/>
        </w:rPr>
      </w:pPr>
      <w:r>
        <w:rPr>
          <w:rFonts w:ascii="Times New Roman" w:hAnsi="Times New Roman" w:eastAsia="宋体"/>
          <w:b w:val="0"/>
          <w:sz w:val="28"/>
        </w:rPr>
        <w:t>姓　　名：</w:t>
      </w:r>
      <w:r>
        <w:rPr>
          <w:rFonts w:hint="eastAsia" w:ascii="Times New Roman" w:hAnsi="Times New Roman" w:eastAsia="宋体"/>
          <w:b w:val="0"/>
          <w:sz w:val="28"/>
          <w:lang w:val="en-US" w:eastAsia="zh-CN"/>
        </w:rPr>
        <w:t xml:space="preserve">      巨峰  </w:t>
      </w:r>
    </w:p>
    <w:p w14:paraId="524CAF30">
      <w:pPr>
        <w:ind w:firstLine="482"/>
        <w:jc w:val="center"/>
      </w:pPr>
      <w:r>
        <w:rPr>
          <w:rFonts w:ascii="Times New Roman" w:hAnsi="Times New Roman" w:eastAsia="宋体"/>
          <w:b w:val="0"/>
          <w:sz w:val="28"/>
        </w:rPr>
        <w:t>学　　号：</w:t>
      </w:r>
      <w:r>
        <w:rPr>
          <w:rFonts w:hint="eastAsia" w:ascii="Times New Roman" w:hAnsi="Times New Roman" w:eastAsia="宋体"/>
          <w:b w:val="0"/>
          <w:sz w:val="28"/>
          <w:lang w:val="en-US" w:eastAsia="zh-CN"/>
        </w:rPr>
        <w:t xml:space="preserve">  2023217199</w:t>
      </w:r>
    </w:p>
    <w:p w14:paraId="3D1C9374">
      <w:pPr>
        <w:ind w:firstLine="482"/>
        <w:jc w:val="center"/>
      </w:pPr>
      <w:r>
        <w:rPr>
          <w:rFonts w:ascii="Times New Roman" w:hAnsi="Times New Roman" w:eastAsia="宋体"/>
          <w:b w:val="0"/>
          <w:sz w:val="28"/>
        </w:rPr>
        <w:t>完成时间：　</w:t>
      </w:r>
      <w:r>
        <w:rPr>
          <w:rFonts w:hint="eastAsia" w:ascii="Times New Roman" w:hAnsi="Times New Roman" w:eastAsia="宋体"/>
          <w:b w:val="0"/>
          <w:sz w:val="28"/>
          <w:lang w:val="en-US" w:eastAsia="zh-CN"/>
        </w:rPr>
        <w:t>2026.6.10</w:t>
      </w:r>
    </w:p>
    <w:p w14:paraId="54AA71E1">
      <w:r>
        <w:br w:type="page"/>
      </w:r>
    </w:p>
    <w:p w14:paraId="64271E6F">
      <w:pPr>
        <w:ind w:firstLine="482"/>
        <w:jc w:val="center"/>
      </w:pPr>
      <w:r>
        <w:rPr>
          <w:rFonts w:ascii="Times New Roman" w:hAnsi="Times New Roman" w:eastAsia="黑体"/>
          <w:b/>
          <w:sz w:val="28"/>
        </w:rPr>
        <w:t>"机器学习-大作业"评分细则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4298"/>
        <w:gridCol w:w="2256"/>
      </w:tblGrid>
      <w:tr w14:paraId="0C4E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B5CF060">
            <w:pPr>
              <w:spacing w:after="0" w:line="240" w:lineRule="auto"/>
              <w:ind w:firstLine="0"/>
              <w:jc w:val="center"/>
            </w:pPr>
            <w:r>
              <w:rPr>
                <w:rFonts w:ascii="Times New Roman" w:hAnsi="Times New Roman" w:eastAsia="宋体"/>
                <w:b/>
                <w:sz w:val="20"/>
              </w:rPr>
              <w:t>成绩等级</w:t>
            </w:r>
          </w:p>
        </w:tc>
        <w:tc>
          <w:tcPr>
            <w:tcW w:w="5669" w:type="dxa"/>
          </w:tcPr>
          <w:p w14:paraId="71C6F92E">
            <w:pPr>
              <w:spacing w:after="0" w:line="240" w:lineRule="auto"/>
              <w:ind w:firstLine="0"/>
              <w:jc w:val="center"/>
            </w:pPr>
            <w:r>
              <w:rPr>
                <w:rFonts w:ascii="Times New Roman" w:hAnsi="Times New Roman" w:eastAsia="宋体"/>
                <w:b/>
                <w:sz w:val="20"/>
              </w:rPr>
              <w:t>具体表现</w:t>
            </w:r>
          </w:p>
        </w:tc>
        <w:tc>
          <w:tcPr>
            <w:tcW w:w="1417" w:type="dxa"/>
          </w:tcPr>
          <w:p w14:paraId="1AC3DBFA">
            <w:pPr>
              <w:spacing w:after="0" w:line="240" w:lineRule="auto"/>
              <w:ind w:firstLine="0"/>
              <w:jc w:val="center"/>
            </w:pPr>
            <w:r>
              <w:rPr>
                <w:rFonts w:ascii="Times New Roman" w:hAnsi="Times New Roman" w:eastAsia="宋体"/>
                <w:b/>
                <w:sz w:val="20"/>
              </w:rPr>
              <w:t>教师评分</w:t>
            </w:r>
          </w:p>
        </w:tc>
      </w:tr>
      <w:tr w14:paraId="68CE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62EF2B3">
            <w:pPr>
              <w:spacing w:after="0" w:line="240" w:lineRule="auto"/>
              <w:ind w:firstLine="0"/>
              <w:jc w:val="center"/>
            </w:pPr>
            <w:r>
              <w:rPr>
                <w:rFonts w:ascii="Times New Roman" w:hAnsi="Times New Roman" w:eastAsia="宋体"/>
                <w:b w:val="0"/>
                <w:sz w:val="20"/>
              </w:rPr>
              <w:t>优秀</w:t>
            </w:r>
            <w:r>
              <w:rPr>
                <w:rFonts w:ascii="Times New Roman" w:hAnsi="Times New Roman" w:eastAsia="宋体"/>
                <w:b w:val="0"/>
                <w:sz w:val="20"/>
              </w:rPr>
              <w:br w:type="textWrapping"/>
            </w:r>
            <w:r>
              <w:rPr>
                <w:rFonts w:ascii="Times New Roman" w:hAnsi="Times New Roman" w:eastAsia="宋体"/>
                <w:b w:val="0"/>
                <w:sz w:val="20"/>
              </w:rPr>
              <w:t>（100-90]</w:t>
            </w:r>
          </w:p>
        </w:tc>
        <w:tc>
          <w:tcPr>
            <w:tcW w:w="2882" w:type="dxa"/>
          </w:tcPr>
          <w:p w14:paraId="1A46514D">
            <w:pPr>
              <w:spacing w:after="0" w:line="240" w:lineRule="auto"/>
              <w:ind w:firstLine="0"/>
              <w:jc w:val="center"/>
            </w:pPr>
            <w:r>
              <w:rPr>
                <w:rFonts w:ascii="Times New Roman" w:hAnsi="Times New Roman" w:eastAsia="宋体"/>
                <w:b w:val="0"/>
                <w:sz w:val="20"/>
              </w:rPr>
              <w:t>报告撰写优秀，题目本身难度大，工作量饱满；Notebook 代码清晰准确，实验与可视化优秀</w:t>
            </w:r>
          </w:p>
        </w:tc>
        <w:tc>
          <w:tcPr>
            <w:tcW w:w="2882" w:type="dxa"/>
          </w:tcPr>
          <w:p w14:paraId="55D8E687">
            <w:pPr>
              <w:spacing w:after="0" w:line="240" w:lineRule="auto"/>
              <w:ind w:firstLine="0"/>
              <w:jc w:val="center"/>
            </w:pPr>
            <w:r>
              <w:rPr>
                <w:rFonts w:ascii="Times New Roman" w:hAnsi="Times New Roman" w:eastAsia="宋体"/>
                <w:b w:val="0"/>
                <w:sz w:val="20"/>
              </w:rPr>
              <w:t>(        )</w:t>
            </w:r>
          </w:p>
        </w:tc>
      </w:tr>
      <w:tr w14:paraId="5282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6E570AA">
            <w:pPr>
              <w:spacing w:after="0" w:line="240" w:lineRule="auto"/>
              <w:ind w:firstLine="0"/>
              <w:jc w:val="center"/>
            </w:pPr>
            <w:r>
              <w:rPr>
                <w:rFonts w:ascii="Times New Roman" w:hAnsi="Times New Roman" w:eastAsia="宋体"/>
                <w:b w:val="0"/>
                <w:sz w:val="20"/>
              </w:rPr>
              <w:t>良好</w:t>
            </w:r>
            <w:r>
              <w:rPr>
                <w:rFonts w:ascii="Times New Roman" w:hAnsi="Times New Roman" w:eastAsia="宋体"/>
                <w:b w:val="0"/>
                <w:sz w:val="20"/>
              </w:rPr>
              <w:br w:type="textWrapping"/>
            </w:r>
            <w:r>
              <w:rPr>
                <w:rFonts w:ascii="Times New Roman" w:hAnsi="Times New Roman" w:eastAsia="宋体"/>
                <w:b w:val="0"/>
                <w:sz w:val="20"/>
              </w:rPr>
              <w:t>（90-80]</w:t>
            </w:r>
          </w:p>
        </w:tc>
        <w:tc>
          <w:tcPr>
            <w:tcW w:w="2882" w:type="dxa"/>
          </w:tcPr>
          <w:p w14:paraId="47441DE0">
            <w:pPr>
              <w:spacing w:after="0" w:line="240" w:lineRule="auto"/>
              <w:ind w:firstLine="0"/>
              <w:jc w:val="center"/>
            </w:pPr>
            <w:r>
              <w:rPr>
                <w:rFonts w:ascii="Times New Roman" w:hAnsi="Times New Roman" w:eastAsia="宋体"/>
                <w:b w:val="0"/>
                <w:sz w:val="20"/>
              </w:rPr>
              <w:t>报告撰写良好，题目本身难度较大，工作量较多；Notebook 代码较好，实验与可视化良好</w:t>
            </w:r>
          </w:p>
        </w:tc>
        <w:tc>
          <w:tcPr>
            <w:tcW w:w="2882" w:type="dxa"/>
          </w:tcPr>
          <w:p w14:paraId="2A10A526">
            <w:pPr>
              <w:spacing w:after="0" w:line="240" w:lineRule="auto"/>
              <w:ind w:firstLine="0"/>
              <w:jc w:val="center"/>
            </w:pPr>
            <w:r>
              <w:rPr>
                <w:rFonts w:ascii="Times New Roman" w:hAnsi="Times New Roman" w:eastAsia="宋体"/>
                <w:b w:val="0"/>
                <w:sz w:val="20"/>
              </w:rPr>
              <w:t>(        )</w:t>
            </w:r>
          </w:p>
        </w:tc>
      </w:tr>
      <w:tr w14:paraId="1EDC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3ECE53D">
            <w:pPr>
              <w:spacing w:after="0" w:line="240" w:lineRule="auto"/>
              <w:ind w:firstLine="0"/>
              <w:jc w:val="center"/>
            </w:pPr>
            <w:r>
              <w:rPr>
                <w:rFonts w:ascii="Times New Roman" w:hAnsi="Times New Roman" w:eastAsia="宋体"/>
                <w:b w:val="0"/>
                <w:sz w:val="20"/>
              </w:rPr>
              <w:t>中等</w:t>
            </w:r>
            <w:r>
              <w:rPr>
                <w:rFonts w:ascii="Times New Roman" w:hAnsi="Times New Roman" w:eastAsia="宋体"/>
                <w:b w:val="0"/>
                <w:sz w:val="20"/>
              </w:rPr>
              <w:br w:type="textWrapping"/>
            </w:r>
            <w:r>
              <w:rPr>
                <w:rFonts w:ascii="Times New Roman" w:hAnsi="Times New Roman" w:eastAsia="宋体"/>
                <w:b w:val="0"/>
                <w:sz w:val="20"/>
              </w:rPr>
              <w:t>（80-70]</w:t>
            </w:r>
          </w:p>
        </w:tc>
        <w:tc>
          <w:tcPr>
            <w:tcW w:w="2882" w:type="dxa"/>
          </w:tcPr>
          <w:p w14:paraId="5274982B">
            <w:pPr>
              <w:spacing w:after="0" w:line="240" w:lineRule="auto"/>
              <w:ind w:firstLine="0"/>
              <w:jc w:val="center"/>
            </w:pPr>
            <w:r>
              <w:rPr>
                <w:rFonts w:ascii="Times New Roman" w:hAnsi="Times New Roman" w:eastAsia="宋体"/>
                <w:b w:val="0"/>
                <w:sz w:val="20"/>
              </w:rPr>
              <w:t>报告撰写中等，题目本身难度一般，工作量达标；Notebook 代码一般，实验与可视化达标</w:t>
            </w:r>
          </w:p>
        </w:tc>
        <w:tc>
          <w:tcPr>
            <w:tcW w:w="2882" w:type="dxa"/>
          </w:tcPr>
          <w:p w14:paraId="13CEACCC">
            <w:pPr>
              <w:spacing w:after="0" w:line="240" w:lineRule="auto"/>
              <w:ind w:firstLine="0"/>
              <w:jc w:val="center"/>
            </w:pPr>
            <w:r>
              <w:rPr>
                <w:rFonts w:ascii="Times New Roman" w:hAnsi="Times New Roman" w:eastAsia="宋体"/>
                <w:b w:val="0"/>
                <w:sz w:val="20"/>
              </w:rPr>
              <w:t>(        )</w:t>
            </w:r>
          </w:p>
        </w:tc>
      </w:tr>
      <w:tr w14:paraId="734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AF584C1">
            <w:pPr>
              <w:spacing w:after="0" w:line="240" w:lineRule="auto"/>
              <w:ind w:firstLine="0"/>
              <w:jc w:val="center"/>
            </w:pPr>
            <w:r>
              <w:rPr>
                <w:rFonts w:ascii="Times New Roman" w:hAnsi="Times New Roman" w:eastAsia="宋体"/>
                <w:b w:val="0"/>
                <w:sz w:val="20"/>
              </w:rPr>
              <w:t>及格</w:t>
            </w:r>
            <w:r>
              <w:rPr>
                <w:rFonts w:ascii="Times New Roman" w:hAnsi="Times New Roman" w:eastAsia="宋体"/>
                <w:b w:val="0"/>
                <w:sz w:val="20"/>
              </w:rPr>
              <w:br w:type="textWrapping"/>
            </w:r>
            <w:r>
              <w:rPr>
                <w:rFonts w:ascii="Times New Roman" w:hAnsi="Times New Roman" w:eastAsia="宋体"/>
                <w:b w:val="0"/>
                <w:sz w:val="20"/>
              </w:rPr>
              <w:t>（70-60]</w:t>
            </w:r>
          </w:p>
        </w:tc>
        <w:tc>
          <w:tcPr>
            <w:tcW w:w="2882" w:type="dxa"/>
          </w:tcPr>
          <w:p w14:paraId="0E73CD2E">
            <w:pPr>
              <w:spacing w:after="0" w:line="240" w:lineRule="auto"/>
              <w:ind w:firstLine="0"/>
              <w:jc w:val="center"/>
            </w:pPr>
            <w:r>
              <w:rPr>
                <w:rFonts w:ascii="Times New Roman" w:hAnsi="Times New Roman" w:eastAsia="宋体"/>
                <w:b w:val="0"/>
                <w:sz w:val="20"/>
              </w:rPr>
              <w:t>能完成基本要求，工作量较少，非 Notebook 代码</w:t>
            </w:r>
          </w:p>
        </w:tc>
        <w:tc>
          <w:tcPr>
            <w:tcW w:w="2882" w:type="dxa"/>
          </w:tcPr>
          <w:p w14:paraId="3549EC2B">
            <w:pPr>
              <w:spacing w:after="0" w:line="240" w:lineRule="auto"/>
              <w:ind w:firstLine="0"/>
              <w:jc w:val="center"/>
            </w:pPr>
            <w:r>
              <w:rPr>
                <w:rFonts w:ascii="Times New Roman" w:hAnsi="Times New Roman" w:eastAsia="宋体"/>
                <w:b w:val="0"/>
                <w:sz w:val="20"/>
              </w:rPr>
              <w:t>(        )</w:t>
            </w:r>
          </w:p>
        </w:tc>
      </w:tr>
      <w:tr w14:paraId="21EA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B8594ED">
            <w:pPr>
              <w:spacing w:after="0" w:line="240" w:lineRule="auto"/>
              <w:ind w:firstLine="0"/>
              <w:jc w:val="center"/>
            </w:pPr>
            <w:r>
              <w:rPr>
                <w:rFonts w:ascii="Times New Roman" w:hAnsi="Times New Roman" w:eastAsia="宋体"/>
                <w:b w:val="0"/>
                <w:sz w:val="20"/>
              </w:rPr>
              <w:t>不及格</w:t>
            </w:r>
            <w:r>
              <w:rPr>
                <w:rFonts w:ascii="Times New Roman" w:hAnsi="Times New Roman" w:eastAsia="宋体"/>
                <w:b w:val="0"/>
                <w:sz w:val="20"/>
              </w:rPr>
              <w:br w:type="textWrapping"/>
            </w:r>
            <w:r>
              <w:rPr>
                <w:rFonts w:ascii="Times New Roman" w:hAnsi="Times New Roman" w:eastAsia="宋体"/>
                <w:b w:val="0"/>
                <w:sz w:val="20"/>
              </w:rPr>
              <w:t>（&lt;60）</w:t>
            </w:r>
          </w:p>
        </w:tc>
        <w:tc>
          <w:tcPr>
            <w:tcW w:w="2882" w:type="dxa"/>
          </w:tcPr>
          <w:p w14:paraId="622E3968">
            <w:pPr>
              <w:spacing w:after="0" w:line="240" w:lineRule="auto"/>
              <w:ind w:firstLine="0"/>
              <w:jc w:val="center"/>
            </w:pPr>
            <w:r>
              <w:rPr>
                <w:rFonts w:ascii="Times New Roman" w:hAnsi="Times New Roman" w:eastAsia="宋体"/>
                <w:b w:val="0"/>
                <w:sz w:val="20"/>
              </w:rPr>
              <w:t>未达最低要求或抄袭线上线下资源</w:t>
            </w:r>
          </w:p>
        </w:tc>
        <w:tc>
          <w:tcPr>
            <w:tcW w:w="2882" w:type="dxa"/>
          </w:tcPr>
          <w:p w14:paraId="37ED1533">
            <w:pPr>
              <w:spacing w:after="0" w:line="240" w:lineRule="auto"/>
              <w:ind w:firstLine="0"/>
              <w:jc w:val="center"/>
            </w:pPr>
            <w:r>
              <w:rPr>
                <w:rFonts w:ascii="Times New Roman" w:hAnsi="Times New Roman" w:eastAsia="宋体"/>
                <w:b w:val="0"/>
                <w:sz w:val="20"/>
              </w:rPr>
              <w:t>(        )</w:t>
            </w:r>
          </w:p>
        </w:tc>
      </w:tr>
      <w:tr w14:paraId="2ECCA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2B1FD11">
            <w:pPr>
              <w:spacing w:after="0" w:line="240" w:lineRule="auto"/>
            </w:pPr>
          </w:p>
        </w:tc>
        <w:tc>
          <w:tcPr>
            <w:tcW w:w="2882" w:type="dxa"/>
          </w:tcPr>
          <w:p w14:paraId="640554FA">
            <w:pPr>
              <w:spacing w:after="0" w:line="240" w:lineRule="auto"/>
            </w:pPr>
          </w:p>
        </w:tc>
        <w:tc>
          <w:tcPr>
            <w:tcW w:w="2882" w:type="dxa"/>
          </w:tcPr>
          <w:p w14:paraId="4DE1B1E9">
            <w:pPr>
              <w:spacing w:after="0" w:line="240" w:lineRule="auto"/>
            </w:pPr>
          </w:p>
        </w:tc>
      </w:tr>
    </w:tbl>
    <w:p w14:paraId="20C167B8"/>
    <w:p w14:paraId="61274B7D">
      <w:pPr>
        <w:ind w:firstLine="482"/>
        <w:jc w:val="right"/>
      </w:pPr>
      <w:r>
        <w:rPr>
          <w:rFonts w:ascii="Times New Roman" w:hAnsi="Times New Roman" w:eastAsia="宋体"/>
          <w:b w:val="0"/>
          <w:sz w:val="24"/>
        </w:rPr>
        <w:t>教师签名：________________</w:t>
      </w:r>
    </w:p>
    <w:p w14:paraId="3DF5C1ED">
      <w:r>
        <w:br w:type="page"/>
      </w:r>
    </w:p>
    <w:p w14:paraId="3932F9EF">
      <w:pPr>
        <w:spacing w:before="240" w:after="120"/>
        <w:ind w:firstLine="0"/>
      </w:pPr>
      <w:r>
        <w:rPr>
          <w:rFonts w:ascii="Times New Roman" w:hAnsi="Times New Roman" w:eastAsia="黑体"/>
          <w:b/>
          <w:sz w:val="28"/>
        </w:rPr>
        <w:t>一、自己所作工作的简介</w:t>
      </w:r>
    </w:p>
    <w:p w14:paraId="11B1CAD9">
      <w:pPr>
        <w:ind w:firstLine="482"/>
      </w:pPr>
      <w:r>
        <w:rPr>
          <w:rFonts w:ascii="Times New Roman" w:hAnsi="Times New Roman" w:eastAsia="宋体"/>
          <w:b w:val="0"/>
          <w:sz w:val="24"/>
        </w:rPr>
        <w:t>本人在本次机器学习大作业中负责梯度提升（Gradient Boosting）算法的实现与分析工作。具体工作内容包括：</w:t>
      </w:r>
    </w:p>
    <w:p w14:paraId="52C69606">
      <w:pPr>
        <w:ind w:firstLine="482"/>
      </w:pPr>
      <w:r>
        <w:rPr>
          <w:rFonts w:ascii="Times New Roman" w:hAnsi="Times New Roman" w:eastAsia="宋体"/>
          <w:b w:val="0"/>
          <w:sz w:val="24"/>
        </w:rPr>
        <w:t>（1）基于 scikit-learn 框架，使用 GradientBoostingClassifier 对威斯康星州乳腺癌数据集（Breast Cancer Wisconsin Diagnostic）进行良恶性二分类。</w:t>
      </w:r>
    </w:p>
    <w:p w14:paraId="39EDA2AB">
      <w:pPr>
        <w:ind w:firstLine="482"/>
      </w:pPr>
      <w:r>
        <w:rPr>
          <w:rFonts w:ascii="Times New Roman" w:hAnsi="Times New Roman" w:eastAsia="宋体"/>
          <w:b w:val="0"/>
          <w:sz w:val="24"/>
        </w:rPr>
        <w:t>（2）设计了包含数据预处理、模型训练、多指标评估、交叉验证的完整实验流程。</w:t>
      </w:r>
    </w:p>
    <w:p w14:paraId="6B426EF7">
      <w:pPr>
        <w:ind w:firstLine="482"/>
      </w:pPr>
      <w:r>
        <w:rPr>
          <w:rFonts w:ascii="Times New Roman" w:hAnsi="Times New Roman" w:eastAsia="宋体"/>
          <w:b w:val="0"/>
          <w:sz w:val="24"/>
        </w:rPr>
        <w:t>（3）使用 matplotlib 和 seaborn 对实验结果进行可视化，绘制了混淆矩阵、ROC 曲线和特征重要性排序图，并对各指标进行了详细分析。</w:t>
      </w:r>
    </w:p>
    <w:p w14:paraId="60B8DA7C">
      <w:pPr>
        <w:ind w:firstLine="482"/>
      </w:pPr>
      <w:r>
        <w:rPr>
          <w:rFonts w:ascii="Times New Roman" w:hAnsi="Times New Roman" w:eastAsia="宋体"/>
          <w:b w:val="0"/>
          <w:sz w:val="24"/>
        </w:rPr>
        <w:t>（4）对梯度提升模型的特征重要性进行了深入分析，识别出 worst radius 等关键判别特征。</w:t>
      </w:r>
    </w:p>
    <w:p w14:paraId="69825F6F">
      <w:pPr>
        <w:ind w:firstLine="482"/>
      </w:pPr>
      <w:r>
        <w:rPr>
          <w:rFonts w:ascii="Times New Roman" w:hAnsi="Times New Roman" w:eastAsia="宋体"/>
          <w:b w:val="0"/>
          <w:sz w:val="24"/>
        </w:rPr>
        <w:t>实验结果表明，梯度提升在该数据集上取得了 95.61% 的测试准确率和 0.9907 的 ROC AUC，召回率高达 98.61%，恶性样本漏检率仅为 1.39%，具有较好的临床应用价值。</w:t>
      </w:r>
    </w:p>
    <w:p w14:paraId="1DF2B372">
      <w:r>
        <w:rPr>
          <w:rFonts w:ascii="Times New Roman" w:hAnsi="Times New Roman" w:eastAsia="黑体"/>
          <w:b/>
          <w:sz w:val="28"/>
        </w:rPr>
        <w:t>二、研究背景与意义</w:t>
      </w:r>
    </w:p>
    <w:p w14:paraId="76A2B68D">
      <w:pPr>
        <w:ind w:firstLine="482"/>
      </w:pPr>
      <w:r>
        <w:rPr>
          <w:rFonts w:ascii="Times New Roman" w:hAnsi="Times New Roman" w:eastAsia="宋体"/>
          <w:b w:val="0"/>
          <w:sz w:val="24"/>
        </w:rPr>
        <w:t>乳腺癌是全球女性发病率最高的恶性肿瘤之一。根据世界卫生组织（WHO）的统计数据，每年新增乳腺癌病例超过 200 万例。早期诊断和及时治疗是降低乳腺癌死亡率的关键，而病理学检查中细胞核形态特征的准确分类是诊断的核心环节。</w:t>
      </w:r>
    </w:p>
    <w:p w14:paraId="06384BFD">
      <w:pPr>
        <w:ind w:firstLine="482"/>
      </w:pPr>
      <w:r>
        <w:rPr>
          <w:rFonts w:ascii="Times New Roman" w:hAnsi="Times New Roman" w:eastAsia="宋体"/>
          <w:b w:val="0"/>
          <w:sz w:val="24"/>
        </w:rPr>
        <w:t>传统的乳腺癌诊断依赖病理医生在显微镜下对细胞核形态的视觉评估，存在主观性强、耗时长、医生间一致性不足等问题。随着机器学习技术的发展，利用计算机辅助诊断（CAD, Computer-Aided Diagnosis）系统对细胞核特征进行自动分类成为研究热点。</w:t>
      </w:r>
    </w:p>
    <w:p w14:paraId="04C8E0DE">
      <w:pPr>
        <w:ind w:firstLine="482"/>
      </w:pPr>
      <w:r>
        <w:rPr>
          <w:rFonts w:ascii="Times New Roman" w:hAnsi="Times New Roman" w:eastAsia="宋体"/>
          <w:b w:val="0"/>
          <w:sz w:val="24"/>
        </w:rPr>
        <w:t>威斯康星州乳腺癌数据集（Wisconsin Breast Cancer Diagnostic Dataset）是乳腺癌分类研究中最经典的基准数据集之一，包含 569 例样本、30 个细胞核形态学特征。该数据集被广泛应用于评估各种机器学习算法在医学诊断任务上的性能。</w:t>
      </w:r>
    </w:p>
    <w:p w14:paraId="2068804F">
      <w:pPr>
        <w:ind w:firstLine="482"/>
      </w:pPr>
      <w:r>
        <w:rPr>
          <w:rFonts w:ascii="Times New Roman" w:hAnsi="Times New Roman" w:eastAsia="宋体"/>
          <w:b w:val="0"/>
          <w:sz w:val="24"/>
        </w:rPr>
        <w:t>本研究的意义在于：通过对比多种机器学习算法在乳腺癌分类任务上的表现，探索不同模型在医学诊断场景中的适用性，为计算机辅助诊断系统的算法选型提供实验依据。</w:t>
      </w:r>
    </w:p>
    <w:p w14:paraId="08A6F103">
      <w:r>
        <w:rPr>
          <w:rFonts w:ascii="Times New Roman" w:hAnsi="Times New Roman" w:eastAsia="黑体"/>
          <w:b/>
          <w:sz w:val="28"/>
        </w:rPr>
        <w:t>三、模型方法</w:t>
      </w:r>
    </w:p>
    <w:p w14:paraId="01412AC2">
      <w:pPr>
        <w:ind w:firstLine="482"/>
      </w:pPr>
      <w:r>
        <w:rPr>
          <w:rFonts w:ascii="Times New Roman" w:hAnsi="Times New Roman" w:eastAsia="宋体"/>
          <w:b w:val="0"/>
          <w:sz w:val="24"/>
        </w:rPr>
        <w:t>本实验采用梯度提升（Gradient Boosting）作为分类算法。梯度提升是由 Jerome Friedman 于 2001 年提出的一种基于 Boosting 思想的集成学习方法。</w:t>
      </w:r>
    </w:p>
    <w:p w14:paraId="46974C69">
      <w:pPr>
        <w:spacing w:before="240" w:after="120"/>
        <w:ind w:firstLine="482"/>
      </w:pPr>
      <w:r>
        <w:rPr>
          <w:rFonts w:ascii="Times New Roman" w:hAnsi="Times New Roman" w:eastAsia="黑体"/>
          <w:b/>
          <w:sz w:val="24"/>
        </w:rPr>
        <w:t>3.1 算法原理</w:t>
      </w:r>
    </w:p>
    <w:p w14:paraId="6938A4A2">
      <w:pPr>
        <w:ind w:firstLine="482"/>
      </w:pPr>
      <w:r>
        <w:rPr>
          <w:rFonts w:ascii="Times New Roman" w:hAnsi="Times New Roman" w:eastAsia="宋体"/>
          <w:b w:val="0"/>
          <w:sz w:val="24"/>
        </w:rPr>
        <w:t>梯度提升的核心思想是将梯度下降从参数空间推广到函数空间。传统梯度下降在参数向量 θ 上迭代更新，而 Gradient Boosting 在函数 F(x) 上迭代——每一步用一棵决策树（弱学习器）去拟合当前损失函数的负梯度方向（伪残差）。</w:t>
      </w:r>
    </w:p>
    <w:p w14:paraId="23ED6C19">
      <w:pPr>
        <w:ind w:firstLine="482"/>
      </w:pPr>
      <w:r>
        <w:rPr>
          <w:rFonts w:ascii="Times New Roman" w:hAnsi="Times New Roman" w:eastAsia="宋体"/>
          <w:b w:val="0"/>
          <w:sz w:val="24"/>
        </w:rPr>
        <w:t>迭代公式如下：</w:t>
      </w:r>
    </w:p>
    <w:p w14:paraId="31409B18">
      <w:pPr>
        <w:ind w:firstLine="482"/>
        <w:jc w:val="center"/>
      </w:pPr>
      <w:r>
        <w:rPr>
          <w:rFonts w:ascii="Times New Roman" w:hAnsi="Times New Roman" w:eastAsia="Times New Roman"/>
          <w:b w:val="0"/>
          <w:i/>
          <w:sz w:val="22"/>
        </w:rPr>
        <w:t>F_0(x) = arg min_γ  Σ L(y_i, γ)</w:t>
      </w:r>
    </w:p>
    <w:p w14:paraId="12BA83C0">
      <w:pPr>
        <w:ind w:firstLine="482"/>
        <w:jc w:val="center"/>
      </w:pPr>
      <w:r>
        <w:rPr>
          <w:rFonts w:ascii="Times New Roman" w:hAnsi="Times New Roman" w:eastAsia="Times New Roman"/>
          <w:b w:val="0"/>
          <w:i/>
          <w:sz w:val="22"/>
        </w:rPr>
        <w:t>F_m(x) = F_{m-1}(x) + ν · h_m(x),    m = 1, 2, ..., M</w:t>
      </w:r>
    </w:p>
    <w:p w14:paraId="27E23EE4">
      <w:pPr>
        <w:ind w:firstLine="482"/>
      </w:pPr>
      <w:r>
        <w:rPr>
          <w:rFonts w:ascii="Times New Roman" w:hAnsi="Times New Roman" w:eastAsia="宋体"/>
          <w:b w:val="0"/>
          <w:sz w:val="24"/>
        </w:rPr>
        <w:t>对于二分类问题，采用 deviance（logistic loss）损失函数：</w:t>
      </w:r>
    </w:p>
    <w:p w14:paraId="122F705B">
      <w:pPr>
        <w:ind w:firstLine="482"/>
        <w:jc w:val="center"/>
      </w:pPr>
      <w:r>
        <w:rPr>
          <w:rFonts w:ascii="Times New Roman" w:hAnsi="Times New Roman" w:eastAsia="Times New Roman"/>
          <w:b w:val="0"/>
          <w:i/>
          <w:sz w:val="22"/>
        </w:rPr>
        <w:t>L(y, F) = log(1 + e^{-2yF}),    y ∈ {-1, +1}</w:t>
      </w:r>
    </w:p>
    <w:p w14:paraId="7B8F9504">
      <w:pPr>
        <w:ind w:firstLine="482"/>
      </w:pPr>
      <w:r>
        <w:rPr>
          <w:rFonts w:ascii="Times New Roman" w:hAnsi="Times New Roman" w:eastAsia="宋体"/>
          <w:b w:val="0"/>
          <w:sz w:val="24"/>
        </w:rPr>
        <w:t>伪残差（负梯度）的计算公式为：</w:t>
      </w:r>
    </w:p>
    <w:p w14:paraId="2EBC9FFE">
      <w:pPr>
        <w:ind w:firstLine="482"/>
        <w:jc w:val="center"/>
      </w:pPr>
      <w:r>
        <w:rPr>
          <w:rFonts w:ascii="Times New Roman" w:hAnsi="Times New Roman" w:eastAsia="Times New Roman"/>
          <w:b w:val="0"/>
          <w:i/>
          <w:sz w:val="22"/>
        </w:rPr>
        <w:t>r_{im} = 2y_i / (1 + e^{2y_i · F_{m-1}(x_i)})</w:t>
      </w:r>
    </w:p>
    <w:p w14:paraId="6A2AA97A">
      <w:pPr>
        <w:ind w:firstLine="482"/>
      </w:pPr>
      <w:r>
        <w:rPr>
          <w:rFonts w:ascii="Times New Roman" w:hAnsi="Times New Roman" w:eastAsia="宋体"/>
          <w:b w:val="0"/>
          <w:sz w:val="24"/>
        </w:rPr>
        <w:t>第 m 棵决策树以 {(x_i, r_{im})} 为训练目标，学习率为 ν。最终模型为所有树的加权组合。</w:t>
      </w:r>
    </w:p>
    <w:p w14:paraId="1303243A">
      <w:pPr>
        <w:spacing w:before="200" w:after="40"/>
        <w:ind w:firstLine="0"/>
        <w:jc w:val="center"/>
      </w:pPr>
      <w:r>
        <w:rPr>
          <w:rFonts w:ascii="Times New Roman" w:hAnsi="Times New Roman" w:eastAsia="宋体"/>
          <w:b/>
          <w:sz w:val="21"/>
        </w:rPr>
        <w:t>图 3-1  梯度提升算法原理示意 — 巨峰</w:t>
      </w:r>
    </w:p>
    <w:p w14:paraId="324CF042">
      <w:pPr>
        <w:ind w:firstLine="0"/>
        <w:jc w:val="center"/>
      </w:pPr>
      <w:r>
        <w:drawing>
          <wp:inline distT="0" distB="0" distL="114300" distR="114300">
            <wp:extent cx="4754880" cy="2694305"/>
            <wp:effectExtent l="0" t="0" r="762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54880" cy="2694432"/>
                    </a:xfrm>
                    <a:prstGeom prst="rect">
                      <a:avLst/>
                    </a:prstGeom>
                  </pic:spPr>
                </pic:pic>
              </a:graphicData>
            </a:graphic>
          </wp:inline>
        </w:drawing>
      </w:r>
    </w:p>
    <w:p w14:paraId="3D7F3AA6">
      <w:pPr>
        <w:spacing w:before="200" w:after="40"/>
        <w:ind w:firstLine="0"/>
        <w:jc w:val="center"/>
      </w:pPr>
      <w:r>
        <w:rPr>
          <w:rFonts w:ascii="Times New Roman" w:hAnsi="Times New Roman" w:eastAsia="宋体"/>
          <w:b/>
          <w:sz w:val="21"/>
        </w:rPr>
        <w:t>图 3-2  梯度提升训练流程 — 巨峰</w:t>
      </w:r>
    </w:p>
    <w:p w14:paraId="7005034C">
      <w:pPr>
        <w:ind w:firstLine="0"/>
        <w:jc w:val="center"/>
      </w:pPr>
      <w:r>
        <w:drawing>
          <wp:inline distT="0" distB="0" distL="114300" distR="114300">
            <wp:extent cx="4754880" cy="2694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54880" cy="2694432"/>
                    </a:xfrm>
                    <a:prstGeom prst="rect">
                      <a:avLst/>
                    </a:prstGeom>
                  </pic:spPr>
                </pic:pic>
              </a:graphicData>
            </a:graphic>
          </wp:inline>
        </w:drawing>
      </w:r>
    </w:p>
    <w:p w14:paraId="378C2DF7">
      <w:pPr>
        <w:spacing w:before="240" w:after="120"/>
        <w:ind w:firstLine="482"/>
      </w:pPr>
      <w:r>
        <w:rPr>
          <w:rFonts w:ascii="Times New Roman" w:hAnsi="Times New Roman" w:eastAsia="黑体"/>
          <w:b/>
          <w:sz w:val="24"/>
        </w:rPr>
        <w:t>3.2 参数配置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135F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45CF4F5">
            <w:pPr>
              <w:spacing w:after="0" w:line="240" w:lineRule="auto"/>
              <w:ind w:firstLine="0"/>
              <w:jc w:val="center"/>
            </w:pPr>
            <w:r>
              <w:rPr>
                <w:rFonts w:ascii="Times New Roman" w:hAnsi="Times New Roman" w:eastAsia="宋体"/>
                <w:b/>
                <w:sz w:val="21"/>
              </w:rPr>
              <w:t>参数</w:t>
            </w:r>
          </w:p>
        </w:tc>
        <w:tc>
          <w:tcPr>
            <w:tcW w:w="2882" w:type="dxa"/>
          </w:tcPr>
          <w:p w14:paraId="3B0F66C8">
            <w:pPr>
              <w:spacing w:after="0" w:line="240" w:lineRule="auto"/>
              <w:ind w:firstLine="0"/>
              <w:jc w:val="center"/>
            </w:pPr>
            <w:r>
              <w:rPr>
                <w:rFonts w:ascii="Times New Roman" w:hAnsi="Times New Roman" w:eastAsia="宋体"/>
                <w:b/>
                <w:sz w:val="21"/>
              </w:rPr>
              <w:t>取值</w:t>
            </w:r>
          </w:p>
        </w:tc>
        <w:tc>
          <w:tcPr>
            <w:tcW w:w="2882" w:type="dxa"/>
          </w:tcPr>
          <w:p w14:paraId="5B3A1DD7">
            <w:pPr>
              <w:spacing w:after="0" w:line="240" w:lineRule="auto"/>
              <w:ind w:firstLine="0"/>
              <w:jc w:val="center"/>
            </w:pPr>
            <w:r>
              <w:rPr>
                <w:rFonts w:ascii="Times New Roman" w:hAnsi="Times New Roman" w:eastAsia="宋体"/>
                <w:b/>
                <w:sz w:val="21"/>
              </w:rPr>
              <w:t>说明</w:t>
            </w:r>
          </w:p>
        </w:tc>
      </w:tr>
      <w:tr w14:paraId="749D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59060D5">
            <w:pPr>
              <w:spacing w:after="0" w:line="240" w:lineRule="auto"/>
              <w:ind w:firstLine="0"/>
              <w:jc w:val="center"/>
            </w:pPr>
            <w:r>
              <w:rPr>
                <w:rFonts w:ascii="Times New Roman" w:hAnsi="Times New Roman" w:eastAsia="宋体"/>
                <w:b w:val="0"/>
                <w:sz w:val="21"/>
              </w:rPr>
              <w:t>n_estimators</w:t>
            </w:r>
          </w:p>
        </w:tc>
        <w:tc>
          <w:tcPr>
            <w:tcW w:w="2882" w:type="dxa"/>
          </w:tcPr>
          <w:p w14:paraId="22E7FAE7">
            <w:pPr>
              <w:spacing w:after="0" w:line="240" w:lineRule="auto"/>
              <w:ind w:firstLine="0"/>
              <w:jc w:val="center"/>
            </w:pPr>
            <w:r>
              <w:rPr>
                <w:rFonts w:ascii="Times New Roman" w:hAnsi="Times New Roman" w:eastAsia="宋体"/>
                <w:b w:val="0"/>
                <w:sz w:val="21"/>
              </w:rPr>
              <w:t>100</w:t>
            </w:r>
          </w:p>
        </w:tc>
        <w:tc>
          <w:tcPr>
            <w:tcW w:w="2882" w:type="dxa"/>
          </w:tcPr>
          <w:p w14:paraId="3265E034">
            <w:pPr>
              <w:spacing w:after="0" w:line="240" w:lineRule="auto"/>
              <w:ind w:firstLine="0"/>
              <w:jc w:val="center"/>
            </w:pPr>
            <w:r>
              <w:rPr>
                <w:rFonts w:ascii="Times New Roman" w:hAnsi="Times New Roman" w:eastAsia="宋体"/>
                <w:b w:val="0"/>
                <w:sz w:val="21"/>
              </w:rPr>
              <w:t>弱学习器（决策树）数量</w:t>
            </w:r>
          </w:p>
        </w:tc>
      </w:tr>
      <w:tr w14:paraId="068F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30BEF69">
            <w:pPr>
              <w:spacing w:after="0" w:line="240" w:lineRule="auto"/>
              <w:ind w:firstLine="0"/>
              <w:jc w:val="center"/>
            </w:pPr>
            <w:r>
              <w:rPr>
                <w:rFonts w:ascii="Times New Roman" w:hAnsi="Times New Roman" w:eastAsia="宋体"/>
                <w:b w:val="0"/>
                <w:sz w:val="21"/>
              </w:rPr>
              <w:t>learning_rate</w:t>
            </w:r>
          </w:p>
        </w:tc>
        <w:tc>
          <w:tcPr>
            <w:tcW w:w="2882" w:type="dxa"/>
          </w:tcPr>
          <w:p w14:paraId="1124123D">
            <w:pPr>
              <w:spacing w:after="0" w:line="240" w:lineRule="auto"/>
              <w:ind w:firstLine="0"/>
              <w:jc w:val="center"/>
            </w:pPr>
            <w:r>
              <w:rPr>
                <w:rFonts w:ascii="Times New Roman" w:hAnsi="Times New Roman" w:eastAsia="宋体"/>
                <w:b w:val="0"/>
                <w:sz w:val="21"/>
              </w:rPr>
              <w:t>0.1</w:t>
            </w:r>
          </w:p>
        </w:tc>
        <w:tc>
          <w:tcPr>
            <w:tcW w:w="2882" w:type="dxa"/>
          </w:tcPr>
          <w:p w14:paraId="341F8C48">
            <w:pPr>
              <w:spacing w:after="0" w:line="240" w:lineRule="auto"/>
              <w:ind w:firstLine="0"/>
              <w:jc w:val="center"/>
            </w:pPr>
            <w:r>
              <w:rPr>
                <w:rFonts w:ascii="Times New Roman" w:hAnsi="Times New Roman" w:eastAsia="宋体"/>
                <w:b w:val="0"/>
                <w:sz w:val="21"/>
              </w:rPr>
              <w:t>每棵树的贡献权重（shrinkage）</w:t>
            </w:r>
          </w:p>
        </w:tc>
      </w:tr>
      <w:tr w14:paraId="0476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A8C1475">
            <w:pPr>
              <w:spacing w:after="0" w:line="240" w:lineRule="auto"/>
              <w:ind w:firstLine="0"/>
              <w:jc w:val="center"/>
            </w:pPr>
            <w:r>
              <w:rPr>
                <w:rFonts w:ascii="Times New Roman" w:hAnsi="Times New Roman" w:eastAsia="宋体"/>
                <w:b w:val="0"/>
                <w:sz w:val="21"/>
              </w:rPr>
              <w:t>max_depth</w:t>
            </w:r>
          </w:p>
        </w:tc>
        <w:tc>
          <w:tcPr>
            <w:tcW w:w="2882" w:type="dxa"/>
          </w:tcPr>
          <w:p w14:paraId="52256B00">
            <w:pPr>
              <w:spacing w:after="0" w:line="240" w:lineRule="auto"/>
              <w:ind w:firstLine="0"/>
              <w:jc w:val="center"/>
            </w:pPr>
            <w:r>
              <w:rPr>
                <w:rFonts w:ascii="Times New Roman" w:hAnsi="Times New Roman" w:eastAsia="宋体"/>
                <w:b w:val="0"/>
                <w:sz w:val="21"/>
              </w:rPr>
              <w:t>3</w:t>
            </w:r>
          </w:p>
        </w:tc>
        <w:tc>
          <w:tcPr>
            <w:tcW w:w="2882" w:type="dxa"/>
          </w:tcPr>
          <w:p w14:paraId="618C511C">
            <w:pPr>
              <w:spacing w:after="0" w:line="240" w:lineRule="auto"/>
              <w:ind w:firstLine="0"/>
              <w:jc w:val="center"/>
            </w:pPr>
            <w:r>
              <w:rPr>
                <w:rFonts w:ascii="Times New Roman" w:hAnsi="Times New Roman" w:eastAsia="宋体"/>
                <w:b w:val="0"/>
                <w:sz w:val="21"/>
              </w:rPr>
              <w:t>单棵决策树的最大深度</w:t>
            </w:r>
          </w:p>
        </w:tc>
      </w:tr>
      <w:tr w14:paraId="5BFF9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F560335">
            <w:pPr>
              <w:spacing w:after="0" w:line="240" w:lineRule="auto"/>
              <w:ind w:firstLine="0"/>
              <w:jc w:val="center"/>
            </w:pPr>
            <w:r>
              <w:rPr>
                <w:rFonts w:ascii="Times New Roman" w:hAnsi="Times New Roman" w:eastAsia="宋体"/>
                <w:b w:val="0"/>
                <w:sz w:val="21"/>
              </w:rPr>
              <w:t>random_state</w:t>
            </w:r>
          </w:p>
        </w:tc>
        <w:tc>
          <w:tcPr>
            <w:tcW w:w="2882" w:type="dxa"/>
          </w:tcPr>
          <w:p w14:paraId="020B4BCE">
            <w:pPr>
              <w:spacing w:after="0" w:line="240" w:lineRule="auto"/>
              <w:ind w:firstLine="0"/>
              <w:jc w:val="center"/>
            </w:pPr>
            <w:r>
              <w:rPr>
                <w:rFonts w:ascii="Times New Roman" w:hAnsi="Times New Roman" w:eastAsia="宋体"/>
                <w:b w:val="0"/>
                <w:sz w:val="21"/>
              </w:rPr>
              <w:t>42</w:t>
            </w:r>
          </w:p>
        </w:tc>
        <w:tc>
          <w:tcPr>
            <w:tcW w:w="2882" w:type="dxa"/>
          </w:tcPr>
          <w:p w14:paraId="09EF2D98">
            <w:pPr>
              <w:spacing w:after="0" w:line="240" w:lineRule="auto"/>
              <w:ind w:firstLine="0"/>
              <w:jc w:val="center"/>
            </w:pPr>
            <w:r>
              <w:rPr>
                <w:rFonts w:ascii="Times New Roman" w:hAnsi="Times New Roman" w:eastAsia="宋体"/>
                <w:b w:val="0"/>
                <w:sz w:val="21"/>
              </w:rPr>
              <w:t>随机种子，保证结果可复现</w:t>
            </w:r>
          </w:p>
        </w:tc>
      </w:tr>
    </w:tbl>
    <w:p w14:paraId="065E9597">
      <w:pPr>
        <w:rPr>
          <w:rFonts w:ascii="Times New Roman" w:hAnsi="Times New Roman" w:eastAsia="黑体"/>
          <w:b/>
          <w:sz w:val="28"/>
        </w:rPr>
      </w:pPr>
    </w:p>
    <w:p w14:paraId="14EC1442">
      <w:r>
        <w:rPr>
          <w:rFonts w:ascii="Times New Roman" w:hAnsi="Times New Roman" w:eastAsia="黑体"/>
          <w:b/>
          <w:sz w:val="28"/>
        </w:rPr>
        <w:t>四、系统设计</w:t>
      </w:r>
    </w:p>
    <w:p w14:paraId="7499E2E4">
      <w:pPr>
        <w:ind w:firstLine="482"/>
      </w:pPr>
      <w:r>
        <w:rPr>
          <w:rFonts w:ascii="Times New Roman" w:hAnsi="Times New Roman" w:eastAsia="宋体"/>
          <w:b w:val="0"/>
          <w:sz w:val="24"/>
        </w:rPr>
        <w:t>本实验的系统设计遵循标准机器学习流水线（ML Pipeline），包含以下五个阶段：</w:t>
      </w:r>
    </w:p>
    <w:p w14:paraId="50D73A0E">
      <w:pPr>
        <w:ind w:firstLine="482"/>
      </w:pPr>
      <w:r>
        <w:rPr>
          <w:rFonts w:ascii="Times New Roman" w:hAnsi="Times New Roman" w:eastAsia="宋体"/>
          <w:b w:val="0"/>
          <w:sz w:val="24"/>
        </w:rPr>
        <w:t>（1）数据加载：通过 scikit-learn 的 datasets 模块加载威斯康星乳腺癌数据集，共 569 例样本、30 个特征，目标为二分类（良性/恶性）。</w:t>
      </w:r>
    </w:p>
    <w:p w14:paraId="06511CA6">
      <w:pPr>
        <w:ind w:firstLine="482"/>
      </w:pPr>
      <w:r>
        <w:rPr>
          <w:rFonts w:ascii="Times New Roman" w:hAnsi="Times New Roman" w:eastAsia="宋体"/>
          <w:b w:val="0"/>
          <w:sz w:val="24"/>
        </w:rPr>
        <w:t>（2）数据预处理：按 80%/20% 比例划分训练集与测试集（stratify 分层抽样）；使用 StandardScaler 将特征标准化为零均值、单位方差。</w:t>
      </w:r>
    </w:p>
    <w:p w14:paraId="23D8357C">
      <w:pPr>
        <w:ind w:firstLine="482"/>
      </w:pPr>
      <w:r>
        <w:rPr>
          <w:rFonts w:ascii="Times New Roman" w:hAnsi="Times New Roman" w:eastAsia="宋体"/>
          <w:b w:val="0"/>
          <w:sz w:val="24"/>
        </w:rPr>
        <w:t>（3）模型训练：初始化 GradientBoostingClassifier（n_estimators=100, learning_rate=0.1, max_depth=3），在标准化后的训练集上拟合模型。</w:t>
      </w:r>
    </w:p>
    <w:p w14:paraId="555D1D0A">
      <w:pPr>
        <w:ind w:firstLine="482"/>
      </w:pPr>
      <w:r>
        <w:rPr>
          <w:rFonts w:ascii="Times New Roman" w:hAnsi="Times New Roman" w:eastAsia="宋体"/>
          <w:b w:val="0"/>
          <w:sz w:val="24"/>
        </w:rPr>
        <w:t>（4）模型评估：在测试集上计算准确率、精确率、召回率、F1 分数；绘制混淆矩阵和 ROC 曲线；执行 5 折交叉验证评估模型稳定性。</w:t>
      </w:r>
    </w:p>
    <w:p w14:paraId="6072F1B3">
      <w:pPr>
        <w:ind w:firstLine="482"/>
      </w:pPr>
      <w:r>
        <w:rPr>
          <w:rFonts w:ascii="Times New Roman" w:hAnsi="Times New Roman" w:eastAsia="宋体"/>
          <w:b w:val="0"/>
          <w:sz w:val="24"/>
        </w:rPr>
        <w:t>（5）特征分析：提取梯度提升模型的特征重要性，识别对良恶性判别贡献最大的细胞核特征。</w:t>
      </w:r>
    </w:p>
    <w:p w14:paraId="168B5CFA">
      <w:pPr>
        <w:ind w:firstLine="482"/>
      </w:pPr>
      <w:r>
        <w:rPr>
          <w:rFonts w:ascii="Times New Roman" w:hAnsi="Times New Roman" w:eastAsia="宋体"/>
          <w:b w:val="0"/>
          <w:sz w:val="24"/>
        </w:rPr>
        <w:t>核心代码（基于 scikit-learn）如下：</w:t>
      </w:r>
    </w:p>
    <w:p w14:paraId="23DB7196">
      <w:pPr>
        <w:ind w:firstLine="482"/>
      </w:pPr>
      <w:r>
        <w:rPr>
          <w:rFonts w:ascii="Consolas" w:hAnsi="Consolas" w:eastAsia="等线"/>
          <w:b w:val="0"/>
          <w:sz w:val="18"/>
        </w:rPr>
        <w:t>from sklearn.ensemble import GradientBoostingClassifier</w:t>
      </w:r>
      <w:r>
        <w:rPr>
          <w:rFonts w:ascii="Consolas" w:hAnsi="Consolas" w:eastAsia="等线"/>
          <w:b w:val="0"/>
          <w:sz w:val="18"/>
        </w:rPr>
        <w:br w:type="textWrapping"/>
      </w:r>
      <w:r>
        <w:rPr>
          <w:rFonts w:ascii="Consolas" w:hAnsi="Consolas" w:eastAsia="等线"/>
          <w:b w:val="0"/>
          <w:sz w:val="18"/>
        </w:rPr>
        <w:t>from sklearn.metrics import (accuracy_score, precision_score,</w:t>
      </w:r>
      <w:r>
        <w:rPr>
          <w:rFonts w:ascii="Consolas" w:hAnsi="Consolas" w:eastAsia="等线"/>
          <w:b w:val="0"/>
          <w:sz w:val="18"/>
        </w:rPr>
        <w:br w:type="textWrapping"/>
      </w:r>
      <w:r>
        <w:rPr>
          <w:rFonts w:ascii="Consolas" w:hAnsi="Consolas" w:eastAsia="等线"/>
          <w:b w:val="0"/>
          <w:sz w:val="18"/>
        </w:rPr>
        <w:t xml:space="preserve">    recall_score, f1_score, classification_report)</w:t>
      </w:r>
      <w:r>
        <w:rPr>
          <w:rFonts w:ascii="Consolas" w:hAnsi="Consolas" w:eastAsia="等线"/>
          <w:b w:val="0"/>
          <w:sz w:val="18"/>
        </w:rPr>
        <w:br w:type="textWrapping"/>
      </w:r>
      <w:r>
        <w:rPr>
          <w:rFonts w:ascii="Consolas" w:hAnsi="Consolas" w:eastAsia="等线"/>
          <w:b w:val="0"/>
          <w:sz w:val="18"/>
        </w:rPr>
        <w:t>from sklearn.model_selection import cross_val_score</w:t>
      </w:r>
      <w:r>
        <w:rPr>
          <w:rFonts w:ascii="Consolas" w:hAnsi="Consolas" w:eastAsia="等线"/>
          <w:b w:val="0"/>
          <w:sz w:val="18"/>
        </w:rPr>
        <w:br w:type="textWrapping"/>
      </w:r>
      <w:r>
        <w:rPr>
          <w:rFonts w:ascii="Consolas" w:hAnsi="Consolas" w:eastAsia="等线"/>
          <w:b w:val="0"/>
          <w:sz w:val="18"/>
        </w:rPr>
        <w:br w:type="textWrapping"/>
      </w:r>
      <w:r>
        <w:rPr>
          <w:rFonts w:ascii="Consolas" w:hAnsi="Consolas" w:eastAsia="等线"/>
          <w:b w:val="0"/>
          <w:sz w:val="18"/>
        </w:rPr>
        <w:t>gb = GradientBoostingClassifier(</w:t>
      </w:r>
      <w:r>
        <w:rPr>
          <w:rFonts w:ascii="Consolas" w:hAnsi="Consolas" w:eastAsia="等线"/>
          <w:b w:val="0"/>
          <w:sz w:val="18"/>
        </w:rPr>
        <w:br w:type="textWrapping"/>
      </w:r>
      <w:r>
        <w:rPr>
          <w:rFonts w:ascii="Consolas" w:hAnsi="Consolas" w:eastAsia="等线"/>
          <w:b w:val="0"/>
          <w:sz w:val="18"/>
        </w:rPr>
        <w:t xml:space="preserve">    n_estimators=100, learning_rate=0.1,</w:t>
      </w:r>
      <w:r>
        <w:rPr>
          <w:rFonts w:ascii="Consolas" w:hAnsi="Consolas" w:eastAsia="等线"/>
          <w:b w:val="0"/>
          <w:sz w:val="18"/>
        </w:rPr>
        <w:br w:type="textWrapping"/>
      </w:r>
      <w:r>
        <w:rPr>
          <w:rFonts w:ascii="Consolas" w:hAnsi="Consolas" w:eastAsia="等线"/>
          <w:b w:val="0"/>
          <w:sz w:val="18"/>
        </w:rPr>
        <w:t xml:space="preserve">    max_depth=3, random_state=42)</w:t>
      </w:r>
      <w:r>
        <w:rPr>
          <w:rFonts w:ascii="Consolas" w:hAnsi="Consolas" w:eastAsia="等线"/>
          <w:b w:val="0"/>
          <w:sz w:val="18"/>
        </w:rPr>
        <w:br w:type="textWrapping"/>
      </w:r>
      <w:r>
        <w:rPr>
          <w:rFonts w:ascii="Consolas" w:hAnsi="Consolas" w:eastAsia="等线"/>
          <w:b w:val="0"/>
          <w:sz w:val="18"/>
        </w:rPr>
        <w:t>gb.fit(X_train_scaled, y_train)</w:t>
      </w:r>
      <w:r>
        <w:rPr>
          <w:rFonts w:ascii="Consolas" w:hAnsi="Consolas" w:eastAsia="等线"/>
          <w:b w:val="0"/>
          <w:sz w:val="18"/>
        </w:rPr>
        <w:br w:type="textWrapping"/>
      </w:r>
      <w:r>
        <w:rPr>
          <w:rFonts w:ascii="Consolas" w:hAnsi="Consolas" w:eastAsia="等线"/>
          <w:b w:val="0"/>
          <w:sz w:val="18"/>
        </w:rPr>
        <w:br w:type="textWrapping"/>
      </w:r>
      <w:r>
        <w:rPr>
          <w:rFonts w:ascii="Consolas" w:hAnsi="Consolas" w:eastAsia="等线"/>
          <w:b w:val="0"/>
          <w:sz w:val="18"/>
        </w:rPr>
        <w:t>y_pred = gb.predict(X_test_scaled)</w:t>
      </w:r>
      <w:r>
        <w:rPr>
          <w:rFonts w:ascii="Consolas" w:hAnsi="Consolas" w:eastAsia="等线"/>
          <w:b w:val="0"/>
          <w:sz w:val="18"/>
        </w:rPr>
        <w:br w:type="textWrapping"/>
      </w:r>
      <w:r>
        <w:rPr>
          <w:rFonts w:ascii="Consolas" w:hAnsi="Consolas" w:eastAsia="等线"/>
          <w:b w:val="0"/>
          <w:sz w:val="18"/>
        </w:rPr>
        <w:t>y_proba = gb.predict_proba(X_test_scaled)[:, 1]</w:t>
      </w:r>
      <w:r>
        <w:rPr>
          <w:rFonts w:ascii="Consolas" w:hAnsi="Consolas" w:eastAsia="等线"/>
          <w:b w:val="0"/>
          <w:sz w:val="18"/>
        </w:rPr>
        <w:br w:type="textWrapping"/>
      </w:r>
      <w:r>
        <w:rPr>
          <w:rFonts w:ascii="Consolas" w:hAnsi="Consolas" w:eastAsia="等线"/>
          <w:b w:val="0"/>
          <w:sz w:val="18"/>
        </w:rPr>
        <w:br w:type="textWrapping"/>
      </w:r>
      <w:r>
        <w:rPr>
          <w:rFonts w:ascii="Consolas" w:hAnsi="Consolas" w:eastAsia="等线"/>
          <w:b w:val="0"/>
          <w:sz w:val="18"/>
        </w:rPr>
        <w:t>print(f"准确率: {accuracy_score(y_test, y_pred):.4f}")</w:t>
      </w:r>
      <w:r>
        <w:rPr>
          <w:rFonts w:ascii="Consolas" w:hAnsi="Consolas" w:eastAsia="等线"/>
          <w:b w:val="0"/>
          <w:sz w:val="18"/>
        </w:rPr>
        <w:br w:type="textWrapping"/>
      </w:r>
      <w:r>
        <w:rPr>
          <w:rFonts w:ascii="Consolas" w:hAnsi="Consolas" w:eastAsia="等线"/>
          <w:b w:val="0"/>
          <w:sz w:val="18"/>
        </w:rPr>
        <w:t>print(f"精确率: {precision_score(y_test, y_pred):.4f}")</w:t>
      </w:r>
      <w:r>
        <w:rPr>
          <w:rFonts w:ascii="Consolas" w:hAnsi="Consolas" w:eastAsia="等线"/>
          <w:b w:val="0"/>
          <w:sz w:val="18"/>
        </w:rPr>
        <w:br w:type="textWrapping"/>
      </w:r>
      <w:r>
        <w:rPr>
          <w:rFonts w:ascii="Consolas" w:hAnsi="Consolas" w:eastAsia="等线"/>
          <w:b w:val="0"/>
          <w:sz w:val="18"/>
        </w:rPr>
        <w:t>print(f"召回率: {recall_score(y_test, y_pred):.4f}")</w:t>
      </w:r>
      <w:r>
        <w:rPr>
          <w:rFonts w:ascii="Consolas" w:hAnsi="Consolas" w:eastAsia="等线"/>
          <w:b w:val="0"/>
          <w:sz w:val="18"/>
        </w:rPr>
        <w:br w:type="textWrapping"/>
      </w:r>
      <w:r>
        <w:rPr>
          <w:rFonts w:ascii="Consolas" w:hAnsi="Consolas" w:eastAsia="等线"/>
          <w:b w:val="0"/>
          <w:sz w:val="18"/>
        </w:rPr>
        <w:t>print(f"F1: {f1_score(y_test, y_pred):.4f}")</w:t>
      </w:r>
      <w:r>
        <w:rPr>
          <w:rFonts w:ascii="Consolas" w:hAnsi="Consolas" w:eastAsia="等线"/>
          <w:b w:val="0"/>
          <w:sz w:val="18"/>
        </w:rPr>
        <w:br w:type="textWrapping"/>
      </w:r>
      <w:r>
        <w:rPr>
          <w:rFonts w:ascii="Consolas" w:hAnsi="Consolas" w:eastAsia="等线"/>
          <w:b w:val="0"/>
          <w:sz w:val="18"/>
        </w:rPr>
        <w:br w:type="textWrapping"/>
      </w:r>
      <w:r>
        <w:rPr>
          <w:rFonts w:ascii="Consolas" w:hAnsi="Consolas" w:eastAsia="等线"/>
          <w:b w:val="0"/>
          <w:sz w:val="18"/>
        </w:rPr>
        <w:t>cv5 = cross_val_score(gb, X_train_scaled, y_train,</w:t>
      </w:r>
      <w:r>
        <w:rPr>
          <w:rFonts w:ascii="Consolas" w:hAnsi="Consolas" w:eastAsia="等线"/>
          <w:b w:val="0"/>
          <w:sz w:val="18"/>
        </w:rPr>
        <w:br w:type="textWrapping"/>
      </w:r>
      <w:r>
        <w:rPr>
          <w:rFonts w:ascii="Consolas" w:hAnsi="Consolas" w:eastAsia="等线"/>
          <w:b w:val="0"/>
          <w:sz w:val="18"/>
        </w:rPr>
        <w:t xml:space="preserve">                      cv=5, scoring='accuracy')</w:t>
      </w:r>
      <w:r>
        <w:rPr>
          <w:rFonts w:ascii="Consolas" w:hAnsi="Consolas" w:eastAsia="等线"/>
          <w:b w:val="0"/>
          <w:sz w:val="18"/>
        </w:rPr>
        <w:br w:type="textWrapping"/>
      </w:r>
      <w:r>
        <w:rPr>
          <w:rFonts w:ascii="Consolas" w:hAnsi="Consolas" w:eastAsia="等线"/>
          <w:b w:val="0"/>
          <w:sz w:val="18"/>
        </w:rPr>
        <w:t>print(f"CV 5折: {cv5.mean():.4f} ± {cv5.std():.4f}")</w:t>
      </w:r>
    </w:p>
    <w:p w14:paraId="39C47EA9">
      <w:r>
        <w:rPr>
          <w:rFonts w:ascii="Times New Roman" w:hAnsi="Times New Roman" w:eastAsia="黑体"/>
          <w:b/>
          <w:sz w:val="28"/>
        </w:rPr>
        <w:t>五、实验结果分析、对比和讨论</w:t>
      </w:r>
    </w:p>
    <w:p w14:paraId="6BA6E83A">
      <w:pPr>
        <w:spacing w:before="240" w:after="120"/>
        <w:ind w:firstLine="482"/>
      </w:pPr>
      <w:r>
        <w:rPr>
          <w:rFonts w:ascii="Times New Roman" w:hAnsi="Times New Roman" w:eastAsia="黑体"/>
          <w:b/>
          <w:sz w:val="24"/>
        </w:rPr>
        <w:t>5.1 模型性能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4323"/>
      </w:tblGrid>
      <w:tr w14:paraId="091F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2D433DEC">
            <w:pPr>
              <w:spacing w:after="0" w:line="240" w:lineRule="auto"/>
              <w:ind w:firstLine="0"/>
              <w:jc w:val="center"/>
            </w:pPr>
            <w:r>
              <w:rPr>
                <w:rFonts w:ascii="Times New Roman" w:hAnsi="Times New Roman" w:eastAsia="宋体"/>
                <w:b/>
                <w:sz w:val="21"/>
              </w:rPr>
              <w:t>指标</w:t>
            </w:r>
          </w:p>
        </w:tc>
        <w:tc>
          <w:tcPr>
            <w:tcW w:w="4323" w:type="dxa"/>
          </w:tcPr>
          <w:p w14:paraId="384FE210">
            <w:pPr>
              <w:spacing w:after="0" w:line="240" w:lineRule="auto"/>
              <w:ind w:firstLine="0"/>
              <w:jc w:val="center"/>
            </w:pPr>
            <w:r>
              <w:rPr>
                <w:rFonts w:ascii="Times New Roman" w:hAnsi="Times New Roman" w:eastAsia="宋体"/>
                <w:b/>
                <w:sz w:val="21"/>
              </w:rPr>
              <w:t>数值</w:t>
            </w:r>
          </w:p>
        </w:tc>
      </w:tr>
      <w:tr w14:paraId="483F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66C92617">
            <w:pPr>
              <w:spacing w:after="0" w:line="240" w:lineRule="auto"/>
              <w:ind w:firstLine="0"/>
              <w:jc w:val="center"/>
            </w:pPr>
            <w:r>
              <w:rPr>
                <w:rFonts w:ascii="Times New Roman" w:hAnsi="Times New Roman" w:eastAsia="宋体"/>
                <w:b w:val="0"/>
                <w:sz w:val="21"/>
              </w:rPr>
              <w:t>准确率 (Accuracy)</w:t>
            </w:r>
          </w:p>
        </w:tc>
        <w:tc>
          <w:tcPr>
            <w:tcW w:w="4323" w:type="dxa"/>
          </w:tcPr>
          <w:p w14:paraId="72F40162">
            <w:pPr>
              <w:spacing w:after="0" w:line="240" w:lineRule="auto"/>
              <w:ind w:firstLine="0"/>
              <w:jc w:val="center"/>
            </w:pPr>
            <w:r>
              <w:rPr>
                <w:rFonts w:ascii="Times New Roman" w:hAnsi="Times New Roman" w:eastAsia="宋体"/>
                <w:b w:val="0"/>
                <w:sz w:val="21"/>
              </w:rPr>
              <w:t>95.61%</w:t>
            </w:r>
          </w:p>
        </w:tc>
      </w:tr>
      <w:tr w14:paraId="5967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7982BA2A">
            <w:pPr>
              <w:spacing w:after="0" w:line="240" w:lineRule="auto"/>
              <w:ind w:firstLine="0"/>
              <w:jc w:val="center"/>
            </w:pPr>
            <w:r>
              <w:rPr>
                <w:rFonts w:ascii="Times New Roman" w:hAnsi="Times New Roman" w:eastAsia="宋体"/>
                <w:b w:val="0"/>
                <w:sz w:val="21"/>
              </w:rPr>
              <w:t>精确率 (Precision)</w:t>
            </w:r>
          </w:p>
        </w:tc>
        <w:tc>
          <w:tcPr>
            <w:tcW w:w="4323" w:type="dxa"/>
          </w:tcPr>
          <w:p w14:paraId="5E43239C">
            <w:pPr>
              <w:spacing w:after="0" w:line="240" w:lineRule="auto"/>
              <w:ind w:firstLine="0"/>
              <w:jc w:val="center"/>
            </w:pPr>
            <w:r>
              <w:rPr>
                <w:rFonts w:ascii="Times New Roman" w:hAnsi="Times New Roman" w:eastAsia="宋体"/>
                <w:b w:val="0"/>
                <w:sz w:val="21"/>
              </w:rPr>
              <w:t>94.67%</w:t>
            </w:r>
          </w:p>
        </w:tc>
      </w:tr>
      <w:tr w14:paraId="0C9A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22B6538D">
            <w:pPr>
              <w:spacing w:after="0" w:line="240" w:lineRule="auto"/>
              <w:ind w:firstLine="0"/>
              <w:jc w:val="center"/>
            </w:pPr>
            <w:r>
              <w:rPr>
                <w:rFonts w:ascii="Times New Roman" w:hAnsi="Times New Roman" w:eastAsia="宋体"/>
                <w:b w:val="0"/>
                <w:sz w:val="21"/>
              </w:rPr>
              <w:t>召回率 (Recall)</w:t>
            </w:r>
          </w:p>
        </w:tc>
        <w:tc>
          <w:tcPr>
            <w:tcW w:w="4323" w:type="dxa"/>
          </w:tcPr>
          <w:p w14:paraId="1027B186">
            <w:pPr>
              <w:spacing w:after="0" w:line="240" w:lineRule="auto"/>
              <w:ind w:firstLine="0"/>
              <w:jc w:val="center"/>
            </w:pPr>
            <w:r>
              <w:rPr>
                <w:rFonts w:ascii="Times New Roman" w:hAnsi="Times New Roman" w:eastAsia="宋体"/>
                <w:b w:val="0"/>
                <w:sz w:val="21"/>
              </w:rPr>
              <w:t>98.61%</w:t>
            </w:r>
          </w:p>
        </w:tc>
      </w:tr>
      <w:tr w14:paraId="0E8F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10A56899">
            <w:pPr>
              <w:spacing w:after="0" w:line="240" w:lineRule="auto"/>
              <w:ind w:firstLine="0"/>
              <w:jc w:val="center"/>
            </w:pPr>
            <w:r>
              <w:rPr>
                <w:rFonts w:ascii="Times New Roman" w:hAnsi="Times New Roman" w:eastAsia="宋体"/>
                <w:b w:val="0"/>
                <w:sz w:val="21"/>
              </w:rPr>
              <w:t>F1 分数</w:t>
            </w:r>
          </w:p>
        </w:tc>
        <w:tc>
          <w:tcPr>
            <w:tcW w:w="4323" w:type="dxa"/>
          </w:tcPr>
          <w:p w14:paraId="6DD70DD3">
            <w:pPr>
              <w:spacing w:after="0" w:line="240" w:lineRule="auto"/>
              <w:ind w:firstLine="0"/>
              <w:jc w:val="center"/>
            </w:pPr>
            <w:r>
              <w:rPr>
                <w:rFonts w:ascii="Times New Roman" w:hAnsi="Times New Roman" w:eastAsia="宋体"/>
                <w:b w:val="0"/>
                <w:sz w:val="21"/>
              </w:rPr>
              <w:t>96.60%</w:t>
            </w:r>
          </w:p>
        </w:tc>
      </w:tr>
      <w:tr w14:paraId="0FE6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568AAD37">
            <w:pPr>
              <w:spacing w:after="0" w:line="240" w:lineRule="auto"/>
              <w:ind w:firstLine="0"/>
              <w:jc w:val="center"/>
            </w:pPr>
            <w:r>
              <w:rPr>
                <w:rFonts w:ascii="Times New Roman" w:hAnsi="Times New Roman" w:eastAsia="宋体"/>
                <w:b w:val="0"/>
                <w:sz w:val="21"/>
              </w:rPr>
              <w:t>ROC AUC</w:t>
            </w:r>
          </w:p>
        </w:tc>
        <w:tc>
          <w:tcPr>
            <w:tcW w:w="4323" w:type="dxa"/>
          </w:tcPr>
          <w:p w14:paraId="3A9C86B2">
            <w:pPr>
              <w:spacing w:after="0" w:line="240" w:lineRule="auto"/>
              <w:ind w:firstLine="0"/>
              <w:jc w:val="center"/>
            </w:pPr>
            <w:r>
              <w:rPr>
                <w:rFonts w:ascii="Times New Roman" w:hAnsi="Times New Roman" w:eastAsia="宋体"/>
                <w:b w:val="0"/>
                <w:sz w:val="21"/>
              </w:rPr>
              <w:t>0.9907</w:t>
            </w:r>
          </w:p>
        </w:tc>
      </w:tr>
      <w:tr w14:paraId="394A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76AC8CE2">
            <w:pPr>
              <w:spacing w:after="0" w:line="240" w:lineRule="auto"/>
              <w:ind w:firstLine="0"/>
              <w:jc w:val="center"/>
            </w:pPr>
            <w:r>
              <w:rPr>
                <w:rFonts w:ascii="Times New Roman" w:hAnsi="Times New Roman" w:eastAsia="宋体"/>
                <w:b w:val="0"/>
                <w:sz w:val="21"/>
              </w:rPr>
              <w:t>5 折交叉验证均值</w:t>
            </w:r>
          </w:p>
        </w:tc>
        <w:tc>
          <w:tcPr>
            <w:tcW w:w="4323" w:type="dxa"/>
          </w:tcPr>
          <w:p w14:paraId="334DCF57">
            <w:pPr>
              <w:spacing w:after="0" w:line="240" w:lineRule="auto"/>
              <w:ind w:firstLine="0"/>
              <w:jc w:val="center"/>
            </w:pPr>
            <w:r>
              <w:rPr>
                <w:rFonts w:ascii="Times New Roman" w:hAnsi="Times New Roman" w:eastAsia="宋体"/>
                <w:b w:val="0"/>
                <w:sz w:val="21"/>
              </w:rPr>
              <w:t>95.60%</w:t>
            </w:r>
          </w:p>
        </w:tc>
      </w:tr>
      <w:tr w14:paraId="3BAB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3" w:type="dxa"/>
          </w:tcPr>
          <w:p w14:paraId="2D876357">
            <w:pPr>
              <w:spacing w:after="0" w:line="240" w:lineRule="auto"/>
              <w:ind w:firstLine="0"/>
              <w:jc w:val="center"/>
            </w:pPr>
            <w:r>
              <w:rPr>
                <w:rFonts w:ascii="Times New Roman" w:hAnsi="Times New Roman" w:eastAsia="宋体"/>
                <w:b w:val="0"/>
                <w:sz w:val="21"/>
              </w:rPr>
              <w:t>5 折交叉验证标准差</w:t>
            </w:r>
          </w:p>
        </w:tc>
        <w:tc>
          <w:tcPr>
            <w:tcW w:w="4323" w:type="dxa"/>
          </w:tcPr>
          <w:p w14:paraId="48ED286D">
            <w:pPr>
              <w:spacing w:after="0" w:line="240" w:lineRule="auto"/>
              <w:ind w:firstLine="0"/>
              <w:jc w:val="center"/>
            </w:pPr>
            <w:r>
              <w:rPr>
                <w:rFonts w:ascii="Times New Roman" w:hAnsi="Times New Roman" w:eastAsia="宋体"/>
                <w:b w:val="0"/>
                <w:sz w:val="21"/>
              </w:rPr>
              <w:t>± 1.39%</w:t>
            </w:r>
          </w:p>
        </w:tc>
      </w:tr>
    </w:tbl>
    <w:p w14:paraId="17E17F2C"/>
    <w:p w14:paraId="2E7039FA">
      <w:pPr>
        <w:ind w:firstLine="482"/>
      </w:pPr>
      <w:r>
        <w:rPr>
          <w:rFonts w:ascii="Times New Roman" w:hAnsi="Times New Roman" w:eastAsia="宋体"/>
          <w:b w:val="0"/>
          <w:sz w:val="24"/>
        </w:rPr>
        <w:t>在 114 个测试样本中误分类 5 例（假阳性 FP = 4，假阴性 FN = 1）。召回率高达 98.61%，意味着恶性样本漏检率仅 1.39%。在乳腺癌筛查中，漏检（假阴性）的代价远高于误报（假阳性），因此高召回率是核心临床需求。</w:t>
      </w:r>
    </w:p>
    <w:p w14:paraId="0A2567FD">
      <w:pPr>
        <w:spacing w:before="200" w:after="40"/>
        <w:ind w:firstLine="0"/>
        <w:jc w:val="center"/>
      </w:pPr>
      <w:r>
        <w:rPr>
          <w:rFonts w:ascii="Times New Roman" w:hAnsi="Times New Roman" w:eastAsia="宋体"/>
          <w:b/>
          <w:sz w:val="21"/>
        </w:rPr>
        <w:t>图 5-1  Gradient Boosting 混淆矩阵 — 巨峰</w:t>
      </w:r>
    </w:p>
    <w:p w14:paraId="038A4168">
      <w:pPr>
        <w:spacing w:after="170"/>
        <w:ind w:firstLine="0"/>
        <w:jc w:val="center"/>
      </w:pPr>
      <w:r>
        <w:drawing>
          <wp:inline distT="0" distB="0" distL="114300" distR="114300">
            <wp:extent cx="4754880" cy="4543425"/>
            <wp:effectExtent l="0" t="0" r="762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4754880" cy="4543828"/>
                    </a:xfrm>
                    <a:prstGeom prst="rect">
                      <a:avLst/>
                    </a:prstGeom>
                  </pic:spPr>
                </pic:pic>
              </a:graphicData>
            </a:graphic>
          </wp:inline>
        </w:drawing>
      </w:r>
    </w:p>
    <w:p w14:paraId="1A1C78CA">
      <w:pPr>
        <w:ind w:firstLine="482"/>
      </w:pPr>
      <w:r>
        <w:rPr>
          <w:rFonts w:ascii="Times New Roman" w:hAnsi="Times New Roman" w:eastAsia="宋体"/>
          <w:b w:val="0"/>
          <w:sz w:val="24"/>
        </w:rPr>
        <w:t>从混淆矩阵可以看出，模型对良性样本的识别能力很强（71/72），对恶性样本虽有个别误判（1 例漏检），但整体分类性能优异。</w:t>
      </w:r>
    </w:p>
    <w:p w14:paraId="0FD31425">
      <w:pPr>
        <w:spacing w:before="200" w:after="40"/>
        <w:ind w:firstLine="0"/>
        <w:jc w:val="center"/>
      </w:pPr>
      <w:r>
        <w:rPr>
          <w:rFonts w:ascii="Times New Roman" w:hAnsi="Times New Roman" w:eastAsia="宋体"/>
          <w:b/>
          <w:sz w:val="21"/>
        </w:rPr>
        <w:t>5-2  Gradient Boosting ROC 曲线 — 巨峰</w:t>
      </w:r>
      <w:bookmarkStart w:id="0" w:name="_GoBack"/>
      <w:r>
        <w:drawing>
          <wp:inline distT="0" distB="0" distL="114300" distR="114300">
            <wp:extent cx="4754880" cy="4382135"/>
            <wp:effectExtent l="0" t="0" r="762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4754880" cy="4382629"/>
                    </a:xfrm>
                    <a:prstGeom prst="rect">
                      <a:avLst/>
                    </a:prstGeom>
                  </pic:spPr>
                </pic:pic>
              </a:graphicData>
            </a:graphic>
          </wp:inline>
        </w:drawing>
      </w:r>
      <w:bookmarkEnd w:id="0"/>
    </w:p>
    <w:p w14:paraId="245E134B">
      <w:pPr>
        <w:spacing w:after="170"/>
        <w:ind w:firstLine="0"/>
        <w:jc w:val="center"/>
      </w:pPr>
    </w:p>
    <w:p w14:paraId="7ED0D689">
      <w:pPr>
        <w:ind w:firstLine="482"/>
      </w:pPr>
      <w:r>
        <w:rPr>
          <w:rFonts w:ascii="Times New Roman" w:hAnsi="Times New Roman" w:eastAsia="宋体"/>
          <w:b w:val="0"/>
          <w:sz w:val="24"/>
        </w:rPr>
        <w:t>ROC 曲线的 AUC 达到 0.9907，接近理论最大值 1.0，说明模型在不同阈值下均能保持良好的分类性能，具有很强的判别能力。</w:t>
      </w:r>
    </w:p>
    <w:p w14:paraId="67643D69">
      <w:pPr>
        <w:spacing w:before="240" w:after="120"/>
        <w:ind w:firstLine="482"/>
      </w:pPr>
      <w:r>
        <w:rPr>
          <w:rFonts w:ascii="Times New Roman" w:hAnsi="Times New Roman" w:eastAsia="黑体"/>
          <w:b/>
          <w:sz w:val="24"/>
        </w:rPr>
        <w:t>5.2 特征重要性分析</w:t>
      </w:r>
    </w:p>
    <w:p w14:paraId="137F1C9C">
      <w:pPr>
        <w:ind w:firstLine="482"/>
      </w:pPr>
      <w:r>
        <w:rPr>
          <w:rFonts w:ascii="Times New Roman" w:hAnsi="Times New Roman" w:eastAsia="宋体"/>
          <w:b w:val="0"/>
          <w:sz w:val="24"/>
        </w:rPr>
        <w:t>梯度提升模型的特征重要性（基于 Gini 不纯度减少量）表明，worst radius（最差半径）以 43.55% 的重要性排名第一，worst perimeter（最差周长，27.15%）和 worst concave points（最差凹点数，10.65%）紧随其后。前 3 名均为"最差值"统计量，累计贡献 81.35%。</w:t>
      </w:r>
    </w:p>
    <w:p w14:paraId="7A085C81">
      <w:pPr>
        <w:spacing w:before="200" w:after="40"/>
        <w:ind w:firstLine="0"/>
        <w:jc w:val="center"/>
      </w:pPr>
      <w:r>
        <w:rPr>
          <w:rFonts w:ascii="Times New Roman" w:hAnsi="Times New Roman" w:eastAsia="宋体"/>
          <w:b/>
          <w:sz w:val="21"/>
        </w:rPr>
        <w:t>图 5-3  Gradient Boosting 特征重要性 Top 15 — 巨峰</w:t>
      </w:r>
    </w:p>
    <w:p w14:paraId="4AD58C96">
      <w:pPr>
        <w:spacing w:after="170"/>
        <w:ind w:firstLine="0"/>
        <w:jc w:val="center"/>
      </w:pPr>
      <w:r>
        <w:drawing>
          <wp:inline distT="0" distB="0" distL="114300" distR="114300">
            <wp:extent cx="4754880" cy="2834005"/>
            <wp:effectExtent l="0" t="0" r="762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754880" cy="2834332"/>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E035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5FE8B33">
            <w:pPr>
              <w:spacing w:after="0" w:line="240" w:lineRule="auto"/>
              <w:ind w:firstLine="0"/>
              <w:jc w:val="center"/>
            </w:pPr>
            <w:r>
              <w:rPr>
                <w:rFonts w:ascii="Times New Roman" w:hAnsi="Times New Roman" w:eastAsia="宋体"/>
                <w:b/>
                <w:sz w:val="21"/>
              </w:rPr>
              <w:t>排名</w:t>
            </w:r>
          </w:p>
        </w:tc>
        <w:tc>
          <w:tcPr>
            <w:tcW w:w="2882" w:type="dxa"/>
          </w:tcPr>
          <w:p w14:paraId="752E835B">
            <w:pPr>
              <w:spacing w:after="0" w:line="240" w:lineRule="auto"/>
              <w:ind w:firstLine="0"/>
              <w:jc w:val="center"/>
            </w:pPr>
            <w:r>
              <w:rPr>
                <w:rFonts w:ascii="Times New Roman" w:hAnsi="Times New Roman" w:eastAsia="宋体"/>
                <w:b/>
                <w:sz w:val="21"/>
              </w:rPr>
              <w:t>特征</w:t>
            </w:r>
          </w:p>
        </w:tc>
        <w:tc>
          <w:tcPr>
            <w:tcW w:w="2882" w:type="dxa"/>
          </w:tcPr>
          <w:p w14:paraId="5F75DD36">
            <w:pPr>
              <w:spacing w:after="0" w:line="240" w:lineRule="auto"/>
              <w:ind w:firstLine="0"/>
              <w:jc w:val="center"/>
            </w:pPr>
            <w:r>
              <w:rPr>
                <w:rFonts w:ascii="Times New Roman" w:hAnsi="Times New Roman" w:eastAsia="宋体"/>
                <w:b/>
                <w:sz w:val="21"/>
              </w:rPr>
              <w:t>重要性</w:t>
            </w:r>
          </w:p>
        </w:tc>
      </w:tr>
      <w:tr w14:paraId="1605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2873FBD">
            <w:pPr>
              <w:spacing w:after="0" w:line="240" w:lineRule="auto"/>
              <w:ind w:firstLine="0"/>
              <w:jc w:val="center"/>
            </w:pPr>
            <w:r>
              <w:rPr>
                <w:rFonts w:ascii="Times New Roman" w:hAnsi="Times New Roman" w:eastAsia="宋体"/>
                <w:b w:val="0"/>
                <w:sz w:val="21"/>
              </w:rPr>
              <w:t>1</w:t>
            </w:r>
          </w:p>
        </w:tc>
        <w:tc>
          <w:tcPr>
            <w:tcW w:w="2882" w:type="dxa"/>
          </w:tcPr>
          <w:p w14:paraId="5AE1D3F8">
            <w:pPr>
              <w:spacing w:after="0" w:line="240" w:lineRule="auto"/>
              <w:ind w:firstLine="0"/>
              <w:jc w:val="center"/>
            </w:pPr>
            <w:r>
              <w:rPr>
                <w:rFonts w:ascii="Times New Roman" w:hAnsi="Times New Roman" w:eastAsia="宋体"/>
                <w:b w:val="0"/>
                <w:sz w:val="21"/>
              </w:rPr>
              <w:t>worst radius</w:t>
            </w:r>
          </w:p>
        </w:tc>
        <w:tc>
          <w:tcPr>
            <w:tcW w:w="2882" w:type="dxa"/>
          </w:tcPr>
          <w:p w14:paraId="53FE7C50">
            <w:pPr>
              <w:spacing w:after="0" w:line="240" w:lineRule="auto"/>
              <w:ind w:firstLine="0"/>
              <w:jc w:val="center"/>
            </w:pPr>
            <w:r>
              <w:rPr>
                <w:rFonts w:ascii="Times New Roman" w:hAnsi="Times New Roman" w:eastAsia="宋体"/>
                <w:b w:val="0"/>
                <w:sz w:val="21"/>
              </w:rPr>
              <w:t>43.55%</w:t>
            </w:r>
          </w:p>
        </w:tc>
      </w:tr>
      <w:tr w14:paraId="14BC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6549D449">
            <w:pPr>
              <w:spacing w:after="0" w:line="240" w:lineRule="auto"/>
              <w:ind w:firstLine="0"/>
              <w:jc w:val="center"/>
            </w:pPr>
            <w:r>
              <w:rPr>
                <w:rFonts w:ascii="Times New Roman" w:hAnsi="Times New Roman" w:eastAsia="宋体"/>
                <w:b w:val="0"/>
                <w:sz w:val="21"/>
              </w:rPr>
              <w:t>2</w:t>
            </w:r>
          </w:p>
        </w:tc>
        <w:tc>
          <w:tcPr>
            <w:tcW w:w="2882" w:type="dxa"/>
          </w:tcPr>
          <w:p w14:paraId="644D9EFA">
            <w:pPr>
              <w:spacing w:after="0" w:line="240" w:lineRule="auto"/>
              <w:ind w:firstLine="0"/>
              <w:jc w:val="center"/>
            </w:pPr>
            <w:r>
              <w:rPr>
                <w:rFonts w:ascii="Times New Roman" w:hAnsi="Times New Roman" w:eastAsia="宋体"/>
                <w:b w:val="0"/>
                <w:sz w:val="21"/>
              </w:rPr>
              <w:t>worst perimeter</w:t>
            </w:r>
          </w:p>
        </w:tc>
        <w:tc>
          <w:tcPr>
            <w:tcW w:w="2882" w:type="dxa"/>
          </w:tcPr>
          <w:p w14:paraId="7F46EE93">
            <w:pPr>
              <w:spacing w:after="0" w:line="240" w:lineRule="auto"/>
              <w:ind w:firstLine="0"/>
              <w:jc w:val="center"/>
            </w:pPr>
            <w:r>
              <w:rPr>
                <w:rFonts w:ascii="Times New Roman" w:hAnsi="Times New Roman" w:eastAsia="宋体"/>
                <w:b w:val="0"/>
                <w:sz w:val="21"/>
              </w:rPr>
              <w:t>27.15%</w:t>
            </w:r>
          </w:p>
        </w:tc>
      </w:tr>
      <w:tr w14:paraId="212E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6F6CCCA">
            <w:pPr>
              <w:spacing w:after="0" w:line="240" w:lineRule="auto"/>
              <w:ind w:firstLine="0"/>
              <w:jc w:val="center"/>
            </w:pPr>
            <w:r>
              <w:rPr>
                <w:rFonts w:ascii="Times New Roman" w:hAnsi="Times New Roman" w:eastAsia="宋体"/>
                <w:b w:val="0"/>
                <w:sz w:val="21"/>
              </w:rPr>
              <w:t>3</w:t>
            </w:r>
          </w:p>
        </w:tc>
        <w:tc>
          <w:tcPr>
            <w:tcW w:w="2882" w:type="dxa"/>
          </w:tcPr>
          <w:p w14:paraId="6310C7B8">
            <w:pPr>
              <w:spacing w:after="0" w:line="240" w:lineRule="auto"/>
              <w:ind w:firstLine="0"/>
              <w:jc w:val="center"/>
            </w:pPr>
            <w:r>
              <w:rPr>
                <w:rFonts w:ascii="Times New Roman" w:hAnsi="Times New Roman" w:eastAsia="宋体"/>
                <w:b w:val="0"/>
                <w:sz w:val="21"/>
              </w:rPr>
              <w:t>worst concave points</w:t>
            </w:r>
          </w:p>
        </w:tc>
        <w:tc>
          <w:tcPr>
            <w:tcW w:w="2882" w:type="dxa"/>
          </w:tcPr>
          <w:p w14:paraId="61A9B45B">
            <w:pPr>
              <w:spacing w:after="0" w:line="240" w:lineRule="auto"/>
              <w:ind w:firstLine="0"/>
              <w:jc w:val="center"/>
            </w:pPr>
            <w:r>
              <w:rPr>
                <w:rFonts w:ascii="Times New Roman" w:hAnsi="Times New Roman" w:eastAsia="宋体"/>
                <w:b w:val="0"/>
                <w:sz w:val="21"/>
              </w:rPr>
              <w:t>10.65%</w:t>
            </w:r>
          </w:p>
        </w:tc>
      </w:tr>
      <w:tr w14:paraId="771C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454D58F">
            <w:pPr>
              <w:spacing w:after="0" w:line="240" w:lineRule="auto"/>
              <w:ind w:firstLine="0"/>
              <w:jc w:val="center"/>
            </w:pPr>
            <w:r>
              <w:rPr>
                <w:rFonts w:ascii="Times New Roman" w:hAnsi="Times New Roman" w:eastAsia="宋体"/>
                <w:b w:val="0"/>
                <w:sz w:val="21"/>
              </w:rPr>
              <w:t>4</w:t>
            </w:r>
          </w:p>
        </w:tc>
        <w:tc>
          <w:tcPr>
            <w:tcW w:w="2882" w:type="dxa"/>
          </w:tcPr>
          <w:p w14:paraId="3015572F">
            <w:pPr>
              <w:spacing w:after="0" w:line="240" w:lineRule="auto"/>
              <w:ind w:firstLine="0"/>
              <w:jc w:val="center"/>
            </w:pPr>
            <w:r>
              <w:rPr>
                <w:rFonts w:ascii="Times New Roman" w:hAnsi="Times New Roman" w:eastAsia="宋体"/>
                <w:b w:val="0"/>
                <w:sz w:val="21"/>
              </w:rPr>
              <w:t>worst texture</w:t>
            </w:r>
          </w:p>
        </w:tc>
        <w:tc>
          <w:tcPr>
            <w:tcW w:w="2882" w:type="dxa"/>
          </w:tcPr>
          <w:p w14:paraId="39C0968B">
            <w:pPr>
              <w:spacing w:after="0" w:line="240" w:lineRule="auto"/>
              <w:ind w:firstLine="0"/>
              <w:jc w:val="center"/>
            </w:pPr>
            <w:r>
              <w:rPr>
                <w:rFonts w:ascii="Times New Roman" w:hAnsi="Times New Roman" w:eastAsia="宋体"/>
                <w:b w:val="0"/>
                <w:sz w:val="21"/>
              </w:rPr>
              <w:t>5.26%</w:t>
            </w:r>
          </w:p>
        </w:tc>
      </w:tr>
      <w:tr w14:paraId="34D1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3F538ED5">
            <w:pPr>
              <w:spacing w:after="0" w:line="240" w:lineRule="auto"/>
              <w:ind w:firstLine="0"/>
              <w:jc w:val="center"/>
            </w:pPr>
            <w:r>
              <w:rPr>
                <w:rFonts w:ascii="Times New Roman" w:hAnsi="Times New Roman" w:eastAsia="宋体"/>
                <w:b w:val="0"/>
                <w:sz w:val="21"/>
              </w:rPr>
              <w:t>5</w:t>
            </w:r>
          </w:p>
        </w:tc>
        <w:tc>
          <w:tcPr>
            <w:tcW w:w="2882" w:type="dxa"/>
          </w:tcPr>
          <w:p w14:paraId="038582DC">
            <w:pPr>
              <w:spacing w:after="0" w:line="240" w:lineRule="auto"/>
              <w:ind w:firstLine="0"/>
              <w:jc w:val="center"/>
            </w:pPr>
            <w:r>
              <w:rPr>
                <w:rFonts w:ascii="Times New Roman" w:hAnsi="Times New Roman" w:eastAsia="宋体"/>
                <w:b w:val="0"/>
                <w:sz w:val="21"/>
              </w:rPr>
              <w:t>mean concave points</w:t>
            </w:r>
          </w:p>
        </w:tc>
        <w:tc>
          <w:tcPr>
            <w:tcW w:w="2882" w:type="dxa"/>
          </w:tcPr>
          <w:p w14:paraId="0E97C1FD">
            <w:pPr>
              <w:spacing w:after="0" w:line="240" w:lineRule="auto"/>
              <w:ind w:firstLine="0"/>
              <w:jc w:val="center"/>
            </w:pPr>
            <w:r>
              <w:rPr>
                <w:rFonts w:ascii="Times New Roman" w:hAnsi="Times New Roman" w:eastAsia="宋体"/>
                <w:b w:val="0"/>
                <w:sz w:val="21"/>
              </w:rPr>
              <w:t>3.05%</w:t>
            </w:r>
          </w:p>
        </w:tc>
      </w:tr>
      <w:tr w14:paraId="5BCE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AC3A505">
            <w:pPr>
              <w:spacing w:after="0" w:line="240" w:lineRule="auto"/>
              <w:ind w:firstLine="0"/>
              <w:jc w:val="center"/>
            </w:pPr>
            <w:r>
              <w:rPr>
                <w:rFonts w:ascii="Times New Roman" w:hAnsi="Times New Roman" w:eastAsia="宋体"/>
                <w:b w:val="0"/>
                <w:sz w:val="21"/>
              </w:rPr>
              <w:t>6</w:t>
            </w:r>
          </w:p>
        </w:tc>
        <w:tc>
          <w:tcPr>
            <w:tcW w:w="2882" w:type="dxa"/>
          </w:tcPr>
          <w:p w14:paraId="5E4E4B40">
            <w:pPr>
              <w:spacing w:after="0" w:line="240" w:lineRule="auto"/>
              <w:ind w:firstLine="0"/>
              <w:jc w:val="center"/>
            </w:pPr>
            <w:r>
              <w:rPr>
                <w:rFonts w:ascii="Times New Roman" w:hAnsi="Times New Roman" w:eastAsia="宋体"/>
                <w:b w:val="0"/>
                <w:sz w:val="21"/>
              </w:rPr>
              <w:t>texture error</w:t>
            </w:r>
          </w:p>
        </w:tc>
        <w:tc>
          <w:tcPr>
            <w:tcW w:w="2882" w:type="dxa"/>
          </w:tcPr>
          <w:p w14:paraId="0FEF3505">
            <w:pPr>
              <w:spacing w:after="0" w:line="240" w:lineRule="auto"/>
              <w:ind w:firstLine="0"/>
              <w:jc w:val="center"/>
            </w:pPr>
            <w:r>
              <w:rPr>
                <w:rFonts w:ascii="Times New Roman" w:hAnsi="Times New Roman" w:eastAsia="宋体"/>
                <w:b w:val="0"/>
                <w:sz w:val="21"/>
              </w:rPr>
              <w:t>2.69%</w:t>
            </w:r>
          </w:p>
        </w:tc>
      </w:tr>
      <w:tr w14:paraId="117B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70A972C2">
            <w:pPr>
              <w:spacing w:after="0" w:line="240" w:lineRule="auto"/>
              <w:ind w:firstLine="0"/>
              <w:jc w:val="center"/>
            </w:pPr>
            <w:r>
              <w:rPr>
                <w:rFonts w:ascii="Times New Roman" w:hAnsi="Times New Roman" w:eastAsia="宋体"/>
                <w:b w:val="0"/>
                <w:sz w:val="21"/>
              </w:rPr>
              <w:t>7</w:t>
            </w:r>
          </w:p>
        </w:tc>
        <w:tc>
          <w:tcPr>
            <w:tcW w:w="2882" w:type="dxa"/>
          </w:tcPr>
          <w:p w14:paraId="59A95D9B">
            <w:pPr>
              <w:spacing w:after="0" w:line="240" w:lineRule="auto"/>
              <w:ind w:firstLine="0"/>
              <w:jc w:val="center"/>
            </w:pPr>
            <w:r>
              <w:rPr>
                <w:rFonts w:ascii="Times New Roman" w:hAnsi="Times New Roman" w:eastAsia="宋体"/>
                <w:b w:val="0"/>
                <w:sz w:val="21"/>
              </w:rPr>
              <w:t>worst area</w:t>
            </w:r>
          </w:p>
        </w:tc>
        <w:tc>
          <w:tcPr>
            <w:tcW w:w="2882" w:type="dxa"/>
          </w:tcPr>
          <w:p w14:paraId="1B70FCBF">
            <w:pPr>
              <w:spacing w:after="0" w:line="240" w:lineRule="auto"/>
              <w:ind w:firstLine="0"/>
              <w:jc w:val="center"/>
            </w:pPr>
            <w:r>
              <w:rPr>
                <w:rFonts w:ascii="Times New Roman" w:hAnsi="Times New Roman" w:eastAsia="宋体"/>
                <w:b w:val="0"/>
                <w:sz w:val="21"/>
              </w:rPr>
              <w:t>2.23%</w:t>
            </w:r>
          </w:p>
        </w:tc>
      </w:tr>
      <w:tr w14:paraId="3DCB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1FC3DB3">
            <w:pPr>
              <w:spacing w:after="0" w:line="240" w:lineRule="auto"/>
              <w:ind w:firstLine="0"/>
              <w:jc w:val="center"/>
            </w:pPr>
            <w:r>
              <w:rPr>
                <w:rFonts w:ascii="Times New Roman" w:hAnsi="Times New Roman" w:eastAsia="宋体"/>
                <w:b w:val="0"/>
                <w:sz w:val="21"/>
              </w:rPr>
              <w:t>8</w:t>
            </w:r>
          </w:p>
        </w:tc>
        <w:tc>
          <w:tcPr>
            <w:tcW w:w="2882" w:type="dxa"/>
          </w:tcPr>
          <w:p w14:paraId="7A447C5E">
            <w:pPr>
              <w:spacing w:after="0" w:line="240" w:lineRule="auto"/>
              <w:ind w:firstLine="0"/>
              <w:jc w:val="center"/>
            </w:pPr>
            <w:r>
              <w:rPr>
                <w:rFonts w:ascii="Times New Roman" w:hAnsi="Times New Roman" w:eastAsia="宋体"/>
                <w:b w:val="0"/>
                <w:sz w:val="21"/>
              </w:rPr>
              <w:t>worst concavity</w:t>
            </w:r>
          </w:p>
        </w:tc>
        <w:tc>
          <w:tcPr>
            <w:tcW w:w="2882" w:type="dxa"/>
          </w:tcPr>
          <w:p w14:paraId="3495366C">
            <w:pPr>
              <w:spacing w:after="0" w:line="240" w:lineRule="auto"/>
              <w:ind w:firstLine="0"/>
              <w:jc w:val="center"/>
            </w:pPr>
            <w:r>
              <w:rPr>
                <w:rFonts w:ascii="Times New Roman" w:hAnsi="Times New Roman" w:eastAsia="宋体"/>
                <w:b w:val="0"/>
                <w:sz w:val="21"/>
              </w:rPr>
              <w:t>1.08%</w:t>
            </w:r>
          </w:p>
        </w:tc>
      </w:tr>
      <w:tr w14:paraId="4CDA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DB07D75">
            <w:pPr>
              <w:spacing w:after="0" w:line="240" w:lineRule="auto"/>
              <w:ind w:firstLine="0"/>
              <w:jc w:val="center"/>
            </w:pPr>
            <w:r>
              <w:rPr>
                <w:rFonts w:ascii="Times New Roman" w:hAnsi="Times New Roman" w:eastAsia="宋体"/>
                <w:b w:val="0"/>
                <w:sz w:val="21"/>
              </w:rPr>
              <w:t>9</w:t>
            </w:r>
          </w:p>
        </w:tc>
        <w:tc>
          <w:tcPr>
            <w:tcW w:w="2882" w:type="dxa"/>
          </w:tcPr>
          <w:p w14:paraId="453647DC">
            <w:pPr>
              <w:spacing w:after="0" w:line="240" w:lineRule="auto"/>
              <w:ind w:firstLine="0"/>
              <w:jc w:val="center"/>
            </w:pPr>
            <w:r>
              <w:rPr>
                <w:rFonts w:ascii="Times New Roman" w:hAnsi="Times New Roman" w:eastAsia="宋体"/>
                <w:b w:val="0"/>
                <w:sz w:val="21"/>
              </w:rPr>
              <w:t>worst smoothness</w:t>
            </w:r>
          </w:p>
        </w:tc>
        <w:tc>
          <w:tcPr>
            <w:tcW w:w="2882" w:type="dxa"/>
          </w:tcPr>
          <w:p w14:paraId="19520764">
            <w:pPr>
              <w:spacing w:after="0" w:line="240" w:lineRule="auto"/>
              <w:ind w:firstLine="0"/>
              <w:jc w:val="center"/>
            </w:pPr>
            <w:r>
              <w:rPr>
                <w:rFonts w:ascii="Times New Roman" w:hAnsi="Times New Roman" w:eastAsia="宋体"/>
                <w:b w:val="0"/>
                <w:sz w:val="21"/>
              </w:rPr>
              <w:t>1.07%</w:t>
            </w:r>
          </w:p>
        </w:tc>
      </w:tr>
      <w:tr w14:paraId="65CB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48015BA2">
            <w:pPr>
              <w:spacing w:after="0" w:line="240" w:lineRule="auto"/>
              <w:ind w:firstLine="0"/>
              <w:jc w:val="center"/>
            </w:pPr>
            <w:r>
              <w:rPr>
                <w:rFonts w:ascii="Times New Roman" w:hAnsi="Times New Roman" w:eastAsia="宋体"/>
                <w:b w:val="0"/>
                <w:sz w:val="21"/>
              </w:rPr>
              <w:t>10</w:t>
            </w:r>
          </w:p>
        </w:tc>
        <w:tc>
          <w:tcPr>
            <w:tcW w:w="2882" w:type="dxa"/>
          </w:tcPr>
          <w:p w14:paraId="216FA606">
            <w:pPr>
              <w:spacing w:after="0" w:line="240" w:lineRule="auto"/>
              <w:ind w:firstLine="0"/>
              <w:jc w:val="center"/>
            </w:pPr>
            <w:r>
              <w:rPr>
                <w:rFonts w:ascii="Times New Roman" w:hAnsi="Times New Roman" w:eastAsia="宋体"/>
                <w:b w:val="0"/>
                <w:sz w:val="21"/>
              </w:rPr>
              <w:t>area error</w:t>
            </w:r>
          </w:p>
        </w:tc>
        <w:tc>
          <w:tcPr>
            <w:tcW w:w="2882" w:type="dxa"/>
          </w:tcPr>
          <w:p w14:paraId="68AC77F6">
            <w:pPr>
              <w:spacing w:after="0" w:line="240" w:lineRule="auto"/>
              <w:ind w:firstLine="0"/>
              <w:jc w:val="center"/>
            </w:pPr>
            <w:r>
              <w:rPr>
                <w:rFonts w:ascii="Times New Roman" w:hAnsi="Times New Roman" w:eastAsia="宋体"/>
                <w:b w:val="0"/>
                <w:sz w:val="21"/>
              </w:rPr>
              <w:t>0.53%</w:t>
            </w:r>
          </w:p>
        </w:tc>
      </w:tr>
    </w:tbl>
    <w:p w14:paraId="48036B6B"/>
    <w:p w14:paraId="46D023A5">
      <w:pPr>
        <w:ind w:firstLine="482"/>
      </w:pPr>
      <w:r>
        <w:rPr>
          <w:rFonts w:ascii="Times New Roman" w:hAnsi="Times New Roman" w:eastAsia="宋体"/>
          <w:b w:val="0"/>
          <w:sz w:val="24"/>
        </w:rPr>
        <w:t>这一结果与病理学认知高度吻合：恶性肿瘤细胞通常表现为细胞核异常增大（对应 worst radius）、细胞核轮廓不规则（对应 worst concave points），"最差值"特征比"均值"特征更具判别力，说明极端异常细胞的存在本身就是恶性诊断的关键信号。</w:t>
      </w:r>
    </w:p>
    <w:p w14:paraId="6D30CC5C">
      <w:pPr>
        <w:spacing w:before="240" w:after="120"/>
        <w:ind w:firstLine="0"/>
      </w:pPr>
      <w:r>
        <w:rPr>
          <w:rFonts w:ascii="Times New Roman" w:hAnsi="Times New Roman" w:eastAsia="黑体"/>
          <w:b/>
          <w:sz w:val="28"/>
        </w:rPr>
        <w:t>六、其他</w:t>
      </w:r>
    </w:p>
    <w:p w14:paraId="50E88C3B">
      <w:pPr>
        <w:ind w:firstLine="482"/>
      </w:pPr>
      <w:r>
        <w:rPr>
          <w:rFonts w:ascii="Times New Roman" w:hAnsi="Times New Roman" w:eastAsia="宋体"/>
          <w:b w:val="0"/>
          <w:sz w:val="24"/>
        </w:rPr>
        <w:t>（1）本实验所有可视化图表均使用 matplotlib 和 seaborn 生成，图表标题含中文，末尾标注实现者姓名。数据基于 scikit-learn 的 load_breast_cancer() 直接加载。</w:t>
      </w:r>
    </w:p>
    <w:p w14:paraId="3F2F9B4D">
      <w:pPr>
        <w:ind w:firstLine="482"/>
      </w:pPr>
      <w:r>
        <w:rPr>
          <w:rFonts w:ascii="Times New Roman" w:hAnsi="Times New Roman" w:eastAsia="宋体"/>
          <w:b w:val="0"/>
          <w:sz w:val="24"/>
        </w:rPr>
        <w:t>（2）完整代码可在 GitHub 仓库查看：https://github.com/Bonjour-1/breast-cancer-gradient-boosting。</w:t>
      </w:r>
    </w:p>
    <w:p w14:paraId="2C1EFF99">
      <w:pPr>
        <w:ind w:firstLine="482"/>
      </w:pPr>
      <w:r>
        <w:rPr>
          <w:rFonts w:ascii="Times New Roman" w:hAnsi="Times New Roman" w:eastAsia="宋体"/>
          <w:b w:val="0"/>
          <w:sz w:val="24"/>
        </w:rPr>
        <w:t>（3）改进方向：可尝试更小的学习率（如 0.05）配合更多迭代次数（如 300），或使用 early stopping 自动确定最优轮数；可考虑 Stacking 集成将梯度提升与逻辑回归、SVM 融合。</w:t>
      </w:r>
    </w:p>
    <w:p w14:paraId="52751579">
      <w:pPr>
        <w:spacing w:before="240" w:after="120"/>
        <w:ind w:firstLine="0"/>
      </w:pPr>
      <w:r>
        <w:rPr>
          <w:rFonts w:ascii="Times New Roman" w:hAnsi="Times New Roman" w:eastAsia="黑体"/>
          <w:b/>
          <w:sz w:val="28"/>
        </w:rPr>
        <w:t>七、对本门课的感想、意见和建议</w:t>
      </w:r>
    </w:p>
    <w:p>
      <w:pPr>
        <w:ind w:firstLine="482"/>
      </w:pPr>
      <w:r>
        <w:rPr>
          <w:rFonts w:ascii="Times New Roman" w:hAnsi="Times New Roman" w:eastAsia="宋体"/>
          <w:sz w:val="24"/>
        </w:rPr>
        <w:t>通过本学期的机器学习课程，我系统学习了主流的机器学习方法与技巧。从最基础的线性回归、逻辑回归入手，逐步深入到支持向量机、决策树、随机森林、梯度提升等集成学习方法，对每种算法的原理、适用场景和优缺点有了清晰的认识。课程注重理论与实践结合，每讲完一种方法都会配合 scikit-learn 的代码实操，让我不仅理解了"是什么"，更掌握了"怎么用"。</w:t>
      </w:r>
    </w:p>
    <w:p>
      <w:pPr>
        <w:ind w:firstLine="482"/>
      </w:pPr>
      <w:r>
        <w:rPr>
          <w:rFonts w:ascii="Times New Roman" w:hAnsi="Times New Roman" w:eastAsia="宋体"/>
          <w:sz w:val="24"/>
        </w:rPr>
        <w:t>在模型评估方面，我学会了不能只看准确率——精确率、召回率、F1 分数、ROC 曲线和 AUC、交叉验证等指标各有侧重，需要根据具体任务选择合适的主评价指标。比如乳腺癌分类场景中召回率比精确率更重要，因为漏诊的代价远大于误报。数据预处理环节中，StandardScaler 标准化、分层抽样划分训练测试集等技巧，也成为我写代码时的标准操作。</w:t>
      </w:r>
    </w:p>
    <w:p>
      <w:pPr>
        <w:ind w:firstLine="482"/>
      </w:pPr>
      <w:r>
        <w:rPr>
          <w:rFonts w:ascii="Times New Roman" w:hAnsi="Times New Roman" w:eastAsia="宋体"/>
          <w:sz w:val="24"/>
        </w:rPr>
        <w:t>通过本次大作业的实践，我将课程所学的梯度提升方法完整地走了一遍：从数据加载、特征标准化、模型训练，到混淆矩阵、ROC 曲线、特征重要性的可视化分析。整个过程让我对"调参—评估—分析—改进"的机器学习工作流有了切身体会，也让我意识到特征工程和模型可解释性与模型准确率同样重要。</w:t>
      </w:r>
    </w:p>
    <w:p>
      <w:pPr>
        <w:ind w:firstLine="482"/>
      </w:pPr>
      <w:r>
        <w:rPr>
          <w:rFonts w:ascii="Times New Roman" w:hAnsi="Times New Roman" w:eastAsia="宋体"/>
          <w:sz w:val="24"/>
        </w:rPr>
        <w:t>总的来说，这门课让我从只会调用现成 API 的状态，成长为能够独立完成一个完整机器学习项目、理解每个环节背后原理的实践者。这些方法和技巧对我今后的学习和研究有着切实的帮助。</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10245F"/>
    <w:rsid w:val="04A40A52"/>
    <w:rsid w:val="07702E6D"/>
    <w:rsid w:val="0ADD6A6C"/>
    <w:rsid w:val="0EBC7420"/>
    <w:rsid w:val="13674B86"/>
    <w:rsid w:val="19C83CF2"/>
    <w:rsid w:val="1EE241F9"/>
    <w:rsid w:val="2CA65795"/>
    <w:rsid w:val="2E4E5407"/>
    <w:rsid w:val="2F1018EA"/>
    <w:rsid w:val="36950B95"/>
    <w:rsid w:val="386A5533"/>
    <w:rsid w:val="3DDF7E2A"/>
    <w:rsid w:val="4128702C"/>
    <w:rsid w:val="43A76F62"/>
    <w:rsid w:val="462A00B0"/>
    <w:rsid w:val="498E0956"/>
    <w:rsid w:val="562C577E"/>
    <w:rsid w:val="580F7106"/>
    <w:rsid w:val="5F6146EB"/>
    <w:rsid w:val="60272AD2"/>
    <w:rsid w:val="61361C90"/>
    <w:rsid w:val="64EC4A56"/>
    <w:rsid w:val="68664B20"/>
    <w:rsid w:val="68B25FB7"/>
    <w:rsid w:val="741144D9"/>
    <w:rsid w:val="74AF5163"/>
    <w:rsid w:val="76F93003"/>
    <w:rsid w:val="78986F77"/>
    <w:rsid w:val="79216D32"/>
    <w:rsid w:val="7C164ACD"/>
    <w:rsid w:val="7D746648"/>
    <w:rsid w:val="7E4D25B2"/>
    <w:rsid w:val="7EA67F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2695</Words>
  <Characters>4541</Characters>
  <Lines>0</Lines>
  <Paragraphs>0</Paragraphs>
  <TotalTime>0</TotalTime>
  <ScaleCrop>false</ScaleCrop>
  <LinksUpToDate>false</LinksUpToDate>
  <CharactersWithSpaces>4922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巨峰</cp:lastModifiedBy>
  <dcterms:modified xsi:type="dcterms:W3CDTF">2026-06-10T08:32:55Z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eyJoZGlkIjoiMTBlNTFkZTEyNGQ3MGM1ZTY5MTEwN2U5NjJlOTQyM2UiLCJ1c2VySWQiOiIxNzU2NDg3NjgyIn0=</vt:lpwstr>
  </property>
  <property fmtid="{D5CDD505-2E9C-101B-9397-08002B2CF9AE}" pid="3" name="KSOProductBuildVer">
    <vt:lpwstr>2052-12.1.0.26895</vt:lpwstr>
  </property>
  <property fmtid="{D5CDD505-2E9C-101B-9397-08002B2CF9AE}" pid="4" name="ICV">
    <vt:lpwstr>368F4B5488FA4B96A5266F2A9F3AC6B5_12</vt:lpwstr>
  </property>
</Properties>
</file>