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Wound-Splat Chapters 1–3 Revision Change Log</w:t>
      </w:r>
    </w:p>
    <w:p>
      <w:r>
        <w:rPr>
          <w:b/>
        </w:rPr>
        <w:t xml:space="preserve">Editing rule: </w:t>
      </w:r>
      <w:r>
        <w:t>Only content that was incorrect, contradictory, incomplete, unsupported, or clearly malformed was changed. Unrelated wording, figures, styles, and document structure were retained.</w:t>
      </w:r>
    </w:p>
    <w:p>
      <w:r>
        <w:rPr>
          <w:b/>
        </w:rPr>
        <w:t xml:space="preserve">Major addition: </w:t>
      </w:r>
      <w:r>
        <w:t>A missing Algorithm Implementation section was added from the actual Wound-Splat source code and current prototype behavior. Longitudinal registration and Wagner/University of Texas classification support remain explicitly scheduled for Thesis 2.</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pPr>
              <w:jc w:val="center"/>
            </w:pPr>
            <w:r>
              <w:rPr>
                <w:b/>
              </w:rPr>
              <w:t>No.</w:t>
            </w:r>
          </w:p>
        </w:tc>
        <w:tc>
          <w:tcPr>
            <w:tcW w:type="dxa" w:w="2592"/>
            <w:vAlign w:val="center"/>
          </w:tcPr>
          <w:p>
            <w:pPr>
              <w:jc w:val="center"/>
            </w:pPr>
            <w:r>
              <w:rPr>
                <w:b/>
              </w:rPr>
              <w:t>Location</w:t>
            </w:r>
          </w:p>
        </w:tc>
        <w:tc>
          <w:tcPr>
            <w:tcW w:type="dxa" w:w="2592"/>
            <w:vAlign w:val="center"/>
          </w:tcPr>
          <w:p>
            <w:pPr>
              <w:jc w:val="center"/>
            </w:pPr>
            <w:r>
              <w:rPr>
                <w:b/>
              </w:rPr>
              <w:t>Change</w:t>
            </w:r>
          </w:p>
        </w:tc>
        <w:tc>
          <w:tcPr>
            <w:tcW w:type="dxa" w:w="2592"/>
            <w:vAlign w:val="center"/>
          </w:tcPr>
          <w:p>
            <w:pPr>
              <w:jc w:val="center"/>
            </w:pPr>
            <w:r>
              <w:rPr>
                <w:b/>
              </w:rPr>
              <w:t>Reason</w:t>
            </w:r>
          </w:p>
        </w:tc>
      </w:tr>
      <w:tr>
        <w:tc>
          <w:tcPr>
            <w:tcW w:type="dxa" w:w="2592"/>
            <w:vAlign w:val="top"/>
          </w:tcPr>
          <w:p>
            <w:r>
              <w:rPr>
                <w:sz w:val="16"/>
              </w:rPr>
              <w:t>1</w:t>
            </w:r>
          </w:p>
        </w:tc>
        <w:tc>
          <w:tcPr>
            <w:tcW w:type="dxa" w:w="2592"/>
            <w:vAlign w:val="top"/>
          </w:tcPr>
          <w:p>
            <w:r>
              <w:rPr>
                <w:sz w:val="16"/>
              </w:rPr>
              <w:t>Chapter 1 – Background of the Study</w:t>
            </w:r>
          </w:p>
        </w:tc>
        <w:tc>
          <w:tcPr>
            <w:tcW w:type="dxa" w:w="2592"/>
            <w:vAlign w:val="top"/>
          </w:tcPr>
          <w:p>
            <w:r>
              <w:rPr>
                <w:sz w:val="16"/>
              </w:rPr>
              <w:t>Before: Diabetes is a major public health concern in the Philippines, with approximately 1 in 14 Filipino adults diagnosed with the condition (International Diabetes Federation, 2024). Among its most debilitating complications is the diabetic foot ulcer (DFU), whic...</w:t>
              <w:br/>
              <w:t>After: Diabetes is a major public health concern in the Philippines, with approximately 1 in 14 Filipino adults diagnosed with the condition (International Diabetes Federation, 2024). Among its most debilitating complications is the diabetic foot ulcer (DFU), which, if not properly monitored, may lead to lower-limb amputation. Globally, DFUs ...</w:t>
            </w:r>
          </w:p>
        </w:tc>
        <w:tc>
          <w:tcPr>
            <w:tcW w:type="dxa" w:w="2592"/>
            <w:vAlign w:val="top"/>
          </w:tcPr>
          <w:p>
            <w:r>
              <w:rPr>
                <w:sz w:val="16"/>
              </w:rPr>
              <w:t>Added the existing Armstrong reference to the global-burden claims and removed wording that implied an inevitable outcome.</w:t>
            </w:r>
          </w:p>
        </w:tc>
      </w:tr>
      <w:tr>
        <w:tc>
          <w:tcPr>
            <w:tcW w:type="dxa" w:w="2592"/>
            <w:vAlign w:val="top"/>
          </w:tcPr>
          <w:p>
            <w:r>
              <w:rPr>
                <w:sz w:val="16"/>
              </w:rPr>
              <w:t>2</w:t>
            </w:r>
          </w:p>
        </w:tc>
        <w:tc>
          <w:tcPr>
            <w:tcW w:type="dxa" w:w="2592"/>
            <w:vAlign w:val="top"/>
          </w:tcPr>
          <w:p>
            <w:r>
              <w:rPr>
                <w:sz w:val="16"/>
              </w:rPr>
              <w:t>Chapter 1 – Background of the Study</w:t>
            </w:r>
          </w:p>
        </w:tc>
        <w:tc>
          <w:tcPr>
            <w:tcW w:type="dxa" w:w="2592"/>
            <w:vAlign w:val="top"/>
          </w:tcPr>
          <w:p>
            <w:r>
              <w:rPr>
                <w:sz w:val="16"/>
              </w:rPr>
              <w:t>Before: Image segmentation is a critical step in automated DFU analysis, serving as the bridge between raw 2D images and clinically meaningful 3D measurements. Accurate Segmentation is essential for isolating the wound boundary and classifying tissue types such as ...</w:t>
              <w:br/>
              <w:t>After: Image segmentation is a critical step in automated DFU analysis, serving as the bridge between raw 2D images and clinically meaningful information. Accurate segmentation is essential for isolating the wound boundary and classifying tissue types such as fibrin, granulation, and callus, which provide indicators of healing or deterioratio...</w:t>
            </w:r>
          </w:p>
        </w:tc>
        <w:tc>
          <w:tcPr>
            <w:tcW w:type="dxa" w:w="2592"/>
            <w:vAlign w:val="top"/>
          </w:tcPr>
          <w:p>
            <w:r>
              <w:rPr>
                <w:sz w:val="16"/>
              </w:rPr>
              <w:t>Removed the duplicated tissue class, corrected capitalization, and separated the 3D isolation and 2D tissue-analysis functions.</w:t>
            </w:r>
          </w:p>
        </w:tc>
      </w:tr>
      <w:tr>
        <w:tc>
          <w:tcPr>
            <w:tcW w:type="dxa" w:w="2592"/>
            <w:vAlign w:val="top"/>
          </w:tcPr>
          <w:p>
            <w:r>
              <w:rPr>
                <w:sz w:val="16"/>
              </w:rPr>
              <w:t>3</w:t>
            </w:r>
          </w:p>
        </w:tc>
        <w:tc>
          <w:tcPr>
            <w:tcW w:type="dxa" w:w="2592"/>
            <w:vAlign w:val="top"/>
          </w:tcPr>
          <w:p>
            <w:r>
              <w:rPr>
                <w:sz w:val="16"/>
              </w:rPr>
              <w:t>Chapter 1 – Background of the Study</w:t>
            </w:r>
          </w:p>
        </w:tc>
        <w:tc>
          <w:tcPr>
            <w:tcW w:type="dxa" w:w="2592"/>
            <w:vAlign w:val="top"/>
          </w:tcPr>
          <w:p>
            <w:r>
              <w:rPr>
                <w:sz w:val="16"/>
              </w:rPr>
              <w:t>Before: To address these issues, the proposed Wound-Splat framework aims to provide a comprehensive method for 3D volumetric analysis of diabetic foot ulcers using only standard smartphone videos and existing GPU-accelerated 3D Gaussian Splatting implementations. U...</w:t>
              <w:br/>
              <w:t>After: To address these issues, the proposed Wound-Splat framework investigates 3D volumetric analysis of diabetic foot ulcers using standard smartphone videos and an existing GPU-accelerated 3D Gaussian Splatting implementation. The implemented prototype integrates 3D reconstruction and geometric measurement with separate 2D tissue character...</w:t>
            </w:r>
          </w:p>
        </w:tc>
        <w:tc>
          <w:tcPr>
            <w:tcW w:type="dxa" w:w="2592"/>
            <w:vAlign w:val="top"/>
          </w:tcPr>
          <w:p>
            <w:r>
              <w:rPr>
                <w:sz w:val="16"/>
              </w:rPr>
              <w:t>Separated implemented functions from planned Thesis 2 functions and removed unsupported claims about cost and training requirements.</w:t>
            </w:r>
          </w:p>
        </w:tc>
      </w:tr>
      <w:tr>
        <w:tc>
          <w:tcPr>
            <w:tcW w:type="dxa" w:w="2592"/>
            <w:vAlign w:val="top"/>
          </w:tcPr>
          <w:p>
            <w:r>
              <w:rPr>
                <w:sz w:val="16"/>
              </w:rPr>
              <w:t>4</w:t>
            </w:r>
          </w:p>
        </w:tc>
        <w:tc>
          <w:tcPr>
            <w:tcW w:type="dxa" w:w="2592"/>
            <w:vAlign w:val="top"/>
          </w:tcPr>
          <w:p>
            <w:r>
              <w:rPr>
                <w:sz w:val="16"/>
              </w:rPr>
              <w:t>Chapter 1 – Objective 1</w:t>
            </w:r>
          </w:p>
        </w:tc>
        <w:tc>
          <w:tcPr>
            <w:tcW w:type="dxa" w:w="2592"/>
            <w:vAlign w:val="top"/>
          </w:tcPr>
          <w:p>
            <w:r>
              <w:rPr>
                <w:sz w:val="16"/>
              </w:rPr>
              <w:t>Before: Implement a 3D reconstruction pipeline utilizing Structure from Motion (SfM) and stock 3D Gaussian Splatting (3DGS) to accurately extract volumetric DFU models from smartphone videos.</w:t>
              <w:br/>
              <w:t>After: Implement a 3D reconstruction pipeline utilizing Structure from Motion (SfM) and stock 3D Gaussian Splatting (3DGS) to produce measurable wound-like models from smartphone videos and evaluate its geometric accuracy under defined test conditions.</w:t>
            </w:r>
          </w:p>
        </w:tc>
        <w:tc>
          <w:tcPr>
            <w:tcW w:type="dxa" w:w="2592"/>
            <w:vAlign w:val="top"/>
          </w:tcPr>
          <w:p>
            <w:r>
              <w:rPr>
                <w:sz w:val="16"/>
              </w:rPr>
              <w:t>Replaced the unverified accuracy claim with an explicit evaluation requirement.</w:t>
            </w:r>
          </w:p>
        </w:tc>
      </w:tr>
      <w:tr>
        <w:tc>
          <w:tcPr>
            <w:tcW w:type="dxa" w:w="2592"/>
            <w:vAlign w:val="top"/>
          </w:tcPr>
          <w:p>
            <w:r>
              <w:rPr>
                <w:sz w:val="16"/>
              </w:rPr>
              <w:t>5</w:t>
            </w:r>
          </w:p>
        </w:tc>
        <w:tc>
          <w:tcPr>
            <w:tcW w:type="dxa" w:w="2592"/>
            <w:vAlign w:val="top"/>
          </w:tcPr>
          <w:p>
            <w:r>
              <w:rPr>
                <w:sz w:val="16"/>
              </w:rPr>
              <w:t>Chapter 1 – Objective 2</w:t>
            </w:r>
          </w:p>
        </w:tc>
        <w:tc>
          <w:tcPr>
            <w:tcW w:type="dxa" w:w="2592"/>
            <w:vAlign w:val="top"/>
          </w:tcPr>
          <w:p>
            <w:r>
              <w:rPr>
                <w:sz w:val="16"/>
              </w:rPr>
              <w:t>Before: Design a temporal tracking module utilizing geometric registration algorithms to align 3D models across visits, automating the calculation of wound volume changes over time.</w:t>
              <w:br/>
              <w:t>After: Design and, in Thesis 2, implement a temporal tracking module using geometric registration to align 3D models across visits and calculate changes in wound measurements over time.</w:t>
            </w:r>
          </w:p>
        </w:tc>
        <w:tc>
          <w:tcPr>
            <w:tcW w:type="dxa" w:w="2592"/>
            <w:vAlign w:val="top"/>
          </w:tcPr>
          <w:p>
            <w:r>
              <w:rPr>
                <w:sz w:val="16"/>
              </w:rPr>
              <w:t>Marked longitudinal tracking as a planned Thesis 2 component.</w:t>
            </w:r>
          </w:p>
        </w:tc>
      </w:tr>
      <w:tr>
        <w:tc>
          <w:tcPr>
            <w:tcW w:type="dxa" w:w="2592"/>
            <w:vAlign w:val="top"/>
          </w:tcPr>
          <w:p>
            <w:r>
              <w:rPr>
                <w:sz w:val="16"/>
              </w:rPr>
              <w:t>6</w:t>
            </w:r>
          </w:p>
        </w:tc>
        <w:tc>
          <w:tcPr>
            <w:tcW w:type="dxa" w:w="2592"/>
            <w:vAlign w:val="top"/>
          </w:tcPr>
          <w:p>
            <w:r>
              <w:rPr>
                <w:sz w:val="16"/>
              </w:rPr>
              <w:t>Chapter 1 – Objective 3</w:t>
            </w:r>
          </w:p>
        </w:tc>
        <w:tc>
          <w:tcPr>
            <w:tcW w:type="dxa" w:w="2592"/>
            <w:vAlign w:val="top"/>
          </w:tcPr>
          <w:p>
            <w:r>
              <w:rPr>
                <w:sz w:val="16"/>
              </w:rPr>
              <w:t>Before: Automate the extraction of spatial metrics (depth, volume, area) to programmatically map 3D reconstruction outputs to established Wagner and University of Texas classification systems.</w:t>
              <w:br/>
              <w:t>After: Automate the extraction of spatial metrics, including planar wound opening area, cavity volume, and maximum depth, and, in Thesis 2, develop classification support that combines these outputs with the additional clinician-observed information required by the Wagner and University of Texas systems.</w:t>
            </w:r>
          </w:p>
        </w:tc>
        <w:tc>
          <w:tcPr>
            <w:tcW w:type="dxa" w:w="2592"/>
            <w:vAlign w:val="top"/>
          </w:tcPr>
          <w:p>
            <w:r>
              <w:rPr>
                <w:sz w:val="16"/>
              </w:rPr>
              <w:t>Prevented geometric measurements from being presented as sufficient for complete clinical classification.</w:t>
            </w:r>
          </w:p>
        </w:tc>
      </w:tr>
      <w:tr>
        <w:tc>
          <w:tcPr>
            <w:tcW w:type="dxa" w:w="2592"/>
            <w:vAlign w:val="top"/>
          </w:tcPr>
          <w:p>
            <w:r>
              <w:rPr>
                <w:sz w:val="16"/>
              </w:rPr>
              <w:t>7</w:t>
            </w:r>
          </w:p>
        </w:tc>
        <w:tc>
          <w:tcPr>
            <w:tcW w:type="dxa" w:w="2592"/>
            <w:vAlign w:val="top"/>
          </w:tcPr>
          <w:p>
            <w:r>
              <w:rPr>
                <w:sz w:val="16"/>
              </w:rPr>
              <w:t>Chapter 1 – Objective 4</w:t>
            </w:r>
          </w:p>
        </w:tc>
        <w:tc>
          <w:tcPr>
            <w:tcW w:type="dxa" w:w="2592"/>
            <w:vAlign w:val="top"/>
          </w:tcPr>
          <w:p>
            <w:r>
              <w:rPr>
                <w:sz w:val="16"/>
              </w:rPr>
              <w:t>Before: Develop and evaluate a client-server web application using Next.js and FastAPI for GPU-delegated 3DGS processing, validating algorithmic accuracy with simulated models and assessing overall software quality utilizing the ISO/IEC 25010 Model.</w:t>
              <w:br/>
              <w:t>After: Develop a client-server web application using Next.js and FastAPI for GPU-backed 3DGS processing; verify the geometric measurement calculations with synthetic point-cloud phantoms; and prepare the ISO/IEC 25010:2023 software-quality evaluation for Thesis 2.</w:t>
            </w:r>
          </w:p>
        </w:tc>
        <w:tc>
          <w:tcPr>
            <w:tcW w:type="dxa" w:w="2592"/>
            <w:vAlign w:val="top"/>
          </w:tcPr>
          <w:p>
            <w:r>
              <w:rPr>
                <w:sz w:val="16"/>
              </w:rPr>
              <w:t>Clarified that synthetic tests verify the measurement routine only and that the full software-quality evaluation is scheduled for Thesis 2.</w:t>
            </w:r>
          </w:p>
        </w:tc>
      </w:tr>
      <w:tr>
        <w:tc>
          <w:tcPr>
            <w:tcW w:type="dxa" w:w="2592"/>
            <w:vAlign w:val="top"/>
          </w:tcPr>
          <w:p>
            <w:r>
              <w:rPr>
                <w:sz w:val="16"/>
              </w:rPr>
              <w:t>8</w:t>
            </w:r>
          </w:p>
        </w:tc>
        <w:tc>
          <w:tcPr>
            <w:tcW w:type="dxa" w:w="2592"/>
            <w:vAlign w:val="top"/>
          </w:tcPr>
          <w:p>
            <w:r>
              <w:rPr>
                <w:sz w:val="16"/>
              </w:rPr>
              <w:t>Chapter 1 – Significance of the Study</w:t>
            </w:r>
          </w:p>
        </w:tc>
        <w:tc>
          <w:tcPr>
            <w:tcW w:type="dxa" w:w="2592"/>
            <w:vAlign w:val="top"/>
          </w:tcPr>
          <w:p>
            <w:r>
              <w:rPr>
                <w:sz w:val="16"/>
              </w:rPr>
              <w:t>Before: Furthermore, the integration of 3D reconstruction measurements with established DFU classification systems (Wagner, University of Texas) represents a novel contribution. While these classification systems are widely used in clinical practice, they have trad...</w:t>
              <w:br/>
              <w:t>After: The planned integration of 3D reconstruction measurements with the Wagner and University of Texas systems may support more structured documentation. However, complete classification also depends on clinical findings such as infection, ischemia, and anatomical involvement that cannot be inferred from geometric measurements alone. The Th...</w:t>
            </w:r>
          </w:p>
        </w:tc>
        <w:tc>
          <w:tcPr>
            <w:tcW w:type="dxa" w:w="2592"/>
            <w:vAlign w:val="top"/>
          </w:tcPr>
          <w:p>
            <w:r>
              <w:rPr>
                <w:sz w:val="16"/>
              </w:rPr>
              <w:t>Reframed the classification contribution so it does not claim an unfinished or clinically incomplete feature.</w:t>
            </w:r>
          </w:p>
        </w:tc>
      </w:tr>
      <w:tr>
        <w:tc>
          <w:tcPr>
            <w:tcW w:type="dxa" w:w="2592"/>
            <w:vAlign w:val="top"/>
          </w:tcPr>
          <w:p>
            <w:r>
              <w:rPr>
                <w:sz w:val="16"/>
              </w:rPr>
              <w:t>9</w:t>
            </w:r>
          </w:p>
        </w:tc>
        <w:tc>
          <w:tcPr>
            <w:tcW w:type="dxa" w:w="2592"/>
            <w:vAlign w:val="top"/>
          </w:tcPr>
          <w:p>
            <w:r>
              <w:rPr>
                <w:sz w:val="16"/>
              </w:rPr>
              <w:t>Chapter 1 – Significance of the Study</w:t>
            </w:r>
          </w:p>
        </w:tc>
        <w:tc>
          <w:tcPr>
            <w:tcW w:type="dxa" w:w="2592"/>
            <w:vAlign w:val="top"/>
          </w:tcPr>
          <w:p>
            <w:r>
              <w:rPr>
                <w:sz w:val="16"/>
              </w:rPr>
              <w:t>Before: The primary beneficiaries of the research would be diabetic patients, who could directly upload videos through a mobile or web interface and receive 3D wound assessments without requiring specialized clinic visits; Healthcare professionals, who could obtain...</w:t>
              <w:br/>
              <w:t>After: Potential beneficiaries include patients who may use the web portal to submit capture data under appropriate clinical guidance; healthcare professionals who may review reconstructed models, geometric measurements, tissue-characterization outputs, and reports as decision-support information; healthcare institutions investigating lower-c...</w:t>
            </w:r>
          </w:p>
        </w:tc>
        <w:tc>
          <w:tcPr>
            <w:tcW w:type="dxa" w:w="2592"/>
            <w:vAlign w:val="top"/>
          </w:tcPr>
          <w:p>
            <w:r>
              <w:rPr>
                <w:sz w:val="16"/>
              </w:rPr>
              <w:t>Removed unsupported promises about mobile access, clinic avoidance, and operation without training.</w:t>
            </w:r>
          </w:p>
        </w:tc>
      </w:tr>
      <w:tr>
        <w:tc>
          <w:tcPr>
            <w:tcW w:type="dxa" w:w="2592"/>
            <w:vAlign w:val="top"/>
          </w:tcPr>
          <w:p>
            <w:r>
              <w:rPr>
                <w:sz w:val="16"/>
              </w:rPr>
              <w:t>10</w:t>
            </w:r>
          </w:p>
        </w:tc>
        <w:tc>
          <w:tcPr>
            <w:tcW w:type="dxa" w:w="2592"/>
            <w:vAlign w:val="top"/>
          </w:tcPr>
          <w:p>
            <w:r>
              <w:rPr>
                <w:sz w:val="16"/>
              </w:rPr>
              <w:t>Chapter 1 – Scope</w:t>
            </w:r>
          </w:p>
        </w:tc>
        <w:tc>
          <w:tcPr>
            <w:tcW w:type="dxa" w:w="2592"/>
            <w:vAlign w:val="top"/>
          </w:tcPr>
          <w:p>
            <w:r>
              <w:rPr>
                <w:sz w:val="16"/>
              </w:rPr>
              <w:t>Before: The scope encompasses the entire pipeline from video capture to clinical output – a Structure from Motion (SfM) pipeline for camera pose estimation and sparse point cloud generation, followed by 3DGS-based dense reconstruction, image wound segmentation, com...</w:t>
              <w:br/>
              <w:t>After: The implemented scope covers a responsive client-server web application that accepts a smartphone video and processes it through frame extraction, Structure from Motion camera estimation and sparse reconstruction, stock 3D Gaussian Splatting optimization, preview rendering, three-dimensional wound-region isolation, scale calibration, g...</w:t>
            </w:r>
          </w:p>
        </w:tc>
        <w:tc>
          <w:tcPr>
            <w:tcW w:type="dxa" w:w="2592"/>
            <w:vAlign w:val="top"/>
          </w:tcPr>
          <w:p>
            <w:r>
              <w:rPr>
                <w:sz w:val="16"/>
              </w:rPr>
              <w:t>Removed duplicated sentences and separated the implemented Thesis 1 scope from planned Thesis 2 work.</w:t>
            </w:r>
          </w:p>
        </w:tc>
      </w:tr>
      <w:tr>
        <w:tc>
          <w:tcPr>
            <w:tcW w:type="dxa" w:w="2592"/>
            <w:vAlign w:val="top"/>
          </w:tcPr>
          <w:p>
            <w:r>
              <w:rPr>
                <w:sz w:val="16"/>
              </w:rPr>
              <w:t>11</w:t>
            </w:r>
          </w:p>
        </w:tc>
        <w:tc>
          <w:tcPr>
            <w:tcW w:type="dxa" w:w="2592"/>
            <w:vAlign w:val="top"/>
          </w:tcPr>
          <w:p>
            <w:r>
              <w:rPr>
                <w:sz w:val="16"/>
              </w:rPr>
              <w:t>Chapter 1 – Scope</w:t>
            </w:r>
          </w:p>
        </w:tc>
        <w:tc>
          <w:tcPr>
            <w:tcW w:type="dxa" w:w="2592"/>
            <w:vAlign w:val="top"/>
          </w:tcPr>
          <w:p>
            <w:r>
              <w:rPr>
                <w:sz w:val="16"/>
              </w:rPr>
              <w:t>Before: Processing runs as a fixed seven-stage pipeline: frame extraction, camera-pose estimation, 3DGS optimization, preview rendering, wound isolation, scale calibration and measurement, and report generation. Each stage reports progress so that a scan in process...</w:t>
              <w:br/>
              <w:t>After: Processing runs as a fixed seven-stage pipeline: frame extraction, camera-pose estimation, 3DGS optimization, preview rendering, wound isolation, scale calibration and measurement, and report generation. Each stage reports progress so that a scan in process can be monitored rather than appearing unresponsive. Processing time varies wit...</w:t>
            </w:r>
          </w:p>
        </w:tc>
        <w:tc>
          <w:tcPr>
            <w:tcW w:type="dxa" w:w="2592"/>
            <w:vAlign w:val="top"/>
          </w:tcPr>
          <w:p>
            <w:r>
              <w:rPr>
                <w:sz w:val="16"/>
              </w:rPr>
              <w:t>Removed the unsupported fixed 30–60 minute runtime claim.</w:t>
            </w:r>
          </w:p>
        </w:tc>
      </w:tr>
      <w:tr>
        <w:tc>
          <w:tcPr>
            <w:tcW w:type="dxa" w:w="2592"/>
            <w:vAlign w:val="top"/>
          </w:tcPr>
          <w:p>
            <w:r>
              <w:rPr>
                <w:sz w:val="16"/>
              </w:rPr>
              <w:t>12</w:t>
            </w:r>
          </w:p>
        </w:tc>
        <w:tc>
          <w:tcPr>
            <w:tcW w:type="dxa" w:w="2592"/>
            <w:vAlign w:val="top"/>
          </w:tcPr>
          <w:p>
            <w:r>
              <w:rPr>
                <w:sz w:val="16"/>
              </w:rPr>
              <w:t>Chapter 1 – Delimitation</w:t>
            </w:r>
          </w:p>
        </w:tc>
        <w:tc>
          <w:tcPr>
            <w:tcW w:type="dxa" w:w="2592"/>
            <w:vAlign w:val="top"/>
          </w:tcPr>
          <w:p>
            <w:r>
              <w:rPr>
                <w:sz w:val="16"/>
              </w:rPr>
              <w:t>Before: The framework is subject to several delimitations. The study utilizes existing open-source libraries and models for implementing the algorithms used within the framework; the contribution lies in the application, integration, and evaluation of these latest ...</w:t>
              <w:br/>
              <w:t>After: The framework uses existing open-source reconstruction and learning components; the study contribution lies in their adaptation, integration, and evaluation for wound-assessment support. No prospective patient wound videos or clinical validation are included. Smartphone-video reconstruction is limited to controlled capture conditions a...</w:t>
            </w:r>
          </w:p>
        </w:tc>
        <w:tc>
          <w:tcPr>
            <w:tcW w:type="dxa" w:w="2592"/>
            <w:vAlign w:val="top"/>
          </w:tcPr>
          <w:p>
            <w:r>
              <w:rPr>
                <w:sz w:val="16"/>
              </w:rPr>
              <w:t>Resolved the cloud-computing contradiction and stated the actual validation, security, and clinical limitations.</w:t>
            </w:r>
          </w:p>
        </w:tc>
      </w:tr>
      <w:tr>
        <w:tc>
          <w:tcPr>
            <w:tcW w:type="dxa" w:w="2592"/>
            <w:vAlign w:val="top"/>
          </w:tcPr>
          <w:p>
            <w:r>
              <w:rPr>
                <w:sz w:val="16"/>
              </w:rPr>
              <w:t>13</w:t>
            </w:r>
          </w:p>
        </w:tc>
        <w:tc>
          <w:tcPr>
            <w:tcW w:type="dxa" w:w="2592"/>
            <w:vAlign w:val="top"/>
          </w:tcPr>
          <w:p>
            <w:r>
              <w:rPr>
                <w:sz w:val="16"/>
              </w:rPr>
              <w:t>Chapter 2 – Conceptual Framework</w:t>
            </w:r>
          </w:p>
        </w:tc>
        <w:tc>
          <w:tcPr>
            <w:tcW w:type="dxa" w:w="2592"/>
            <w:vAlign w:val="top"/>
          </w:tcPr>
          <w:p>
            <w:r>
              <w:rPr>
                <w:sz w:val="16"/>
              </w:rPr>
              <w:t>Before: The conceptual framework presents Wound-Splat as an Input–Process–Output system. The model is revised from the placeholder IPO figure in the submitted document so that the relationship between the research inputs, computational stages, and clinical outputs ...</w:t>
              <w:br/>
              <w:t>After: The conceptual framework presents Wound-Splat as an Input–Process–Output system in which research inputs are transformed through defined computational stages into measurable and reviewable outputs. The framework is not intended to replace clinical examination. It positions the proposed software as a measurement and decision-support too...</w:t>
            </w:r>
          </w:p>
        </w:tc>
        <w:tc>
          <w:tcPr>
            <w:tcW w:type="dxa" w:w="2592"/>
            <w:vAlign w:val="top"/>
          </w:tcPr>
          <w:p>
            <w:r>
              <w:rPr>
                <w:sz w:val="16"/>
              </w:rPr>
              <w:t>Removed an internal editorial note about revising a placeholder figure.</w:t>
            </w:r>
          </w:p>
        </w:tc>
      </w:tr>
      <w:tr>
        <w:tc>
          <w:tcPr>
            <w:tcW w:type="dxa" w:w="2592"/>
            <w:vAlign w:val="top"/>
          </w:tcPr>
          <w:p>
            <w:r>
              <w:rPr>
                <w:sz w:val="16"/>
              </w:rPr>
              <w:t>14</w:t>
            </w:r>
          </w:p>
        </w:tc>
        <w:tc>
          <w:tcPr>
            <w:tcW w:type="dxa" w:w="2592"/>
            <w:vAlign w:val="top"/>
          </w:tcPr>
          <w:p>
            <w:r>
              <w:rPr>
                <w:sz w:val="16"/>
              </w:rPr>
              <w:t>Chapter 2 – Conceptual Framework</w:t>
            </w:r>
          </w:p>
        </w:tc>
        <w:tc>
          <w:tcPr>
            <w:tcW w:type="dxa" w:w="2592"/>
            <w:vAlign w:val="top"/>
          </w:tcPr>
          <w:p>
            <w:r>
              <w:rPr>
                <w:sz w:val="16"/>
              </w:rPr>
              <w:t>Before: The input consists primarily of a short smartphone video of the wound and the information needed to associate the recording with a particular visit. A scale reference is important because reconstruction from uncalibrated images may recover shape without an ...</w:t>
              <w:br/>
              <w:t>After: The input consists primarily of a smartphone video, the information needed to associate the recording with a scan, a selected scale-reference type, and an operator-defined tissue-analysis region when tissue characterization is requested. The implemented process performs frame extraction, camera-pose estimation, 3DGS optimization, wound...</w:t>
            </w:r>
          </w:p>
        </w:tc>
        <w:tc>
          <w:tcPr>
            <w:tcW w:type="dxa" w:w="2592"/>
            <w:vAlign w:val="top"/>
          </w:tcPr>
          <w:p>
            <w:r>
              <w:rPr>
                <w:sz w:val="16"/>
              </w:rPr>
              <w:t>Aligned the IPO description with the implemented pipeline and identified future outputs explicitly.</w:t>
            </w:r>
          </w:p>
        </w:tc>
      </w:tr>
      <w:tr>
        <w:tc>
          <w:tcPr>
            <w:tcW w:type="dxa" w:w="2592"/>
            <w:vAlign w:val="top"/>
          </w:tcPr>
          <w:p>
            <w:r>
              <w:rPr>
                <w:sz w:val="16"/>
              </w:rPr>
              <w:t>15</w:t>
            </w:r>
          </w:p>
        </w:tc>
        <w:tc>
          <w:tcPr>
            <w:tcW w:type="dxa" w:w="2592"/>
            <w:vAlign w:val="top"/>
          </w:tcPr>
          <w:p>
            <w:r>
              <w:rPr>
                <w:sz w:val="16"/>
              </w:rPr>
              <w:t>Chapter 2 – Research Paradigm</w:t>
            </w:r>
          </w:p>
        </w:tc>
        <w:tc>
          <w:tcPr>
            <w:tcW w:type="dxa" w:w="2592"/>
            <w:vAlign w:val="top"/>
          </w:tcPr>
          <w:p>
            <w:r>
              <w:rPr>
                <w:sz w:val="16"/>
              </w:rPr>
              <w:t>Before: The revised research paradigm follows the Input–Process–Output model described above. The input is the smartphone-captured video and associated wound information. The process is the sequence of image preparation, SfM, segmentation, 3DGS optimization, surfac...</w:t>
              <w:br/>
              <w:t>After: The research paradigm follows the Input–Process–Output model described above. The implemented process covers image preparation, SfM, 3DGS optimization, three-dimensional wound isolation, scale calibration, geometric analysis, operator-guided two-dimensional tissue characterization, visualization, persistence, and report generation. Com...</w:t>
            </w:r>
          </w:p>
        </w:tc>
        <w:tc>
          <w:tcPr>
            <w:tcW w:type="dxa" w:w="2592"/>
            <w:vAlign w:val="top"/>
          </w:tcPr>
          <w:p>
            <w:r>
              <w:rPr>
                <w:sz w:val="16"/>
              </w:rPr>
              <w:t>Removed editorial wording and separated implemented processing, current verification, and planned evaluation.</w:t>
            </w:r>
          </w:p>
        </w:tc>
      </w:tr>
      <w:tr>
        <w:tc>
          <w:tcPr>
            <w:tcW w:type="dxa" w:w="2592"/>
            <w:vAlign w:val="top"/>
          </w:tcPr>
          <w:p>
            <w:r>
              <w:rPr>
                <w:sz w:val="16"/>
              </w:rPr>
              <w:t>16</w:t>
            </w:r>
          </w:p>
        </w:tc>
        <w:tc>
          <w:tcPr>
            <w:tcW w:type="dxa" w:w="2592"/>
            <w:vAlign w:val="top"/>
          </w:tcPr>
          <w:p>
            <w:r>
              <w:rPr>
                <w:sz w:val="16"/>
              </w:rPr>
              <w:t>Chapter 2 – Structure from Motion</w:t>
            </w:r>
          </w:p>
        </w:tc>
        <w:tc>
          <w:tcPr>
            <w:tcW w:type="dxa" w:w="2592"/>
            <w:vAlign w:val="top"/>
          </w:tcPr>
          <w:p>
            <w:r>
              <w:rPr>
                <w:sz w:val="16"/>
              </w:rPr>
              <w:t>Before: Structure from Motion estimates camera poses and sparse scene geometry from multiple images. The method depends on feature detection, feature matching, geometric verification, triangulation, and bundle adjustment. Recent implementations of incremental SfM s...</w:t>
              <w:br/>
              <w:t>After: Structure from Motion estimates camera poses and sparse scene geometry from multiple images. The method depends on feature detection, feature matching, geometric verification, triangulation, and bundle adjustment. COLMAP implements a general-purpose incremental SfM and Multi-View Stereo pipeline designed for robust image-based reconstr...</w:t>
            </w:r>
          </w:p>
        </w:tc>
        <w:tc>
          <w:tcPr>
            <w:tcW w:type="dxa" w:w="2592"/>
            <w:vAlign w:val="top"/>
          </w:tcPr>
          <w:p>
            <w:r>
              <w:rPr>
                <w:sz w:val="16"/>
              </w:rPr>
              <w:t>Replaced a mismatched citation with the foundational COLMAP reference used by the implementation.</w:t>
            </w:r>
          </w:p>
        </w:tc>
      </w:tr>
      <w:tr>
        <w:tc>
          <w:tcPr>
            <w:tcW w:type="dxa" w:w="2592"/>
            <w:vAlign w:val="top"/>
          </w:tcPr>
          <w:p>
            <w:r>
              <w:rPr>
                <w:sz w:val="16"/>
              </w:rPr>
              <w:t>17</w:t>
            </w:r>
          </w:p>
        </w:tc>
        <w:tc>
          <w:tcPr>
            <w:tcW w:type="dxa" w:w="2592"/>
            <w:vAlign w:val="top"/>
          </w:tcPr>
          <w:p>
            <w:r>
              <w:rPr>
                <w:sz w:val="16"/>
              </w:rPr>
              <w:t>Chapter 2 – Wound Segmentation</w:t>
            </w:r>
          </w:p>
        </w:tc>
        <w:tc>
          <w:tcPr>
            <w:tcW w:type="dxa" w:w="2592"/>
            <w:vAlign w:val="top"/>
          </w:tcPr>
          <w:p>
            <w:r>
              <w:rPr>
                <w:sz w:val="16"/>
              </w:rPr>
              <w:t>Before: Encoder–decoder networks, heavily popularized by foundational architectures like U-Net and extensively reviewed in recent biomedical segmentation literature (Z. Huang et al., 2025), remain highly effective when annotated medical images are limited. Wound-sp...</w:t>
              <w:br/>
              <w:t>After: Encoder–decoder networks, including U-Net-style architectures reviewed in recent biomedical segmentation literature (Z. Huang et al., 2025), remain effective when annotated medical images are limited. Wound-Splat uses a U-Net-style model with a MiT-b3 encoder and scSE attention for tissue characterization. General-purpose approaches su...</w:t>
            </w:r>
          </w:p>
        </w:tc>
        <w:tc>
          <w:tcPr>
            <w:tcW w:type="dxa" w:w="2592"/>
            <w:vAlign w:val="top"/>
          </w:tcPr>
          <w:p>
            <w:r>
              <w:rPr>
                <w:sz w:val="16"/>
              </w:rPr>
              <w:t>Removed a duplicated malformed sentence and stated the model actually used.</w:t>
            </w:r>
          </w:p>
        </w:tc>
      </w:tr>
      <w:tr>
        <w:tc>
          <w:tcPr>
            <w:tcW w:type="dxa" w:w="2592"/>
            <w:vAlign w:val="top"/>
          </w:tcPr>
          <w:p>
            <w:r>
              <w:rPr>
                <w:sz w:val="16"/>
              </w:rPr>
              <w:t>18</w:t>
            </w:r>
          </w:p>
        </w:tc>
        <w:tc>
          <w:tcPr>
            <w:tcW w:type="dxa" w:w="2592"/>
            <w:vAlign w:val="top"/>
          </w:tcPr>
          <w:p>
            <w:r>
              <w:rPr>
                <w:sz w:val="16"/>
              </w:rPr>
              <w:t>Chapter 2 – Wound Segmentation</w:t>
            </w:r>
          </w:p>
        </w:tc>
        <w:tc>
          <w:tcPr>
            <w:tcW w:type="dxa" w:w="2592"/>
            <w:vAlign w:val="top"/>
          </w:tcPr>
          <w:p>
            <w:r>
              <w:rPr>
                <w:sz w:val="16"/>
              </w:rPr>
              <w:t>Before: Chen et al. (2023) investigated a diabetic-foot-ulcer segmentation strategy that combines HarDNet-MSEG and Segment Anything Model components. The study demonstrates the value of combining a task-specific segmentation architecture with a general segmentation...</w:t>
              <w:br/>
              <w:t>After: Chen et al. (2023) investigated a diabetic-foot-ulcer segmentation strategy that combines HarDNet-MSEG and Segment Anything Model components. The study demonstrates the value of task-specific wound segmentation. In Wound-Splat, three-dimensional wound isolation and two-dimensional tissue characterization are separate mechanisms: the re...</w:t>
            </w:r>
          </w:p>
        </w:tc>
        <w:tc>
          <w:tcPr>
            <w:tcW w:type="dxa" w:w="2592"/>
            <w:vAlign w:val="top"/>
          </w:tcPr>
          <w:p>
            <w:r>
              <w:rPr>
                <w:sz w:val="16"/>
              </w:rPr>
              <w:t>Corrected the statement that the 2D tissue model restricts the 3D point cloud.</w:t>
            </w:r>
          </w:p>
        </w:tc>
      </w:tr>
      <w:tr>
        <w:tc>
          <w:tcPr>
            <w:tcW w:type="dxa" w:w="2592"/>
            <w:vAlign w:val="top"/>
          </w:tcPr>
          <w:p>
            <w:r>
              <w:rPr>
                <w:sz w:val="16"/>
              </w:rPr>
              <w:t>19</w:t>
            </w:r>
          </w:p>
        </w:tc>
        <w:tc>
          <w:tcPr>
            <w:tcW w:type="dxa" w:w="2592"/>
            <w:vAlign w:val="top"/>
          </w:tcPr>
          <w:p>
            <w:r>
              <w:rPr>
                <w:sz w:val="16"/>
              </w:rPr>
              <w:t>Chapter 2 – Wound Segmentation</w:t>
            </w:r>
          </w:p>
        </w:tc>
        <w:tc>
          <w:tcPr>
            <w:tcW w:type="dxa" w:w="2592"/>
            <w:vAlign w:val="top"/>
          </w:tcPr>
          <w:p>
            <w:r>
              <w:rPr>
                <w:sz w:val="16"/>
              </w:rPr>
              <w:t>Before: Two limitations follow from this design. The dataset defines only three tissue classes, so necrotic tissue, eschar, and slough have no corresponding label and would be assigned one of the three available categories. The model also has no "not a wound" class...</w:t>
              <w:br/>
              <w:t>After: Two limitations follow from this design. The dataset provides background plus three labeled tissue classes: fibrin, granulation, and callus. Tissue appearances outside these labels, including unsupported or ambiguous categories, may be assigned to one of the available classes. Because the training images are tightly cropped wound image...</w:t>
            </w:r>
          </w:p>
        </w:tc>
        <w:tc>
          <w:tcPr>
            <w:tcW w:type="dxa" w:w="2592"/>
            <w:vAlign w:val="top"/>
          </w:tcPr>
          <w:p>
            <w:r>
              <w:rPr>
                <w:sz w:val="16"/>
              </w:rPr>
              <w:t>Corrected the class description and documented the actual one-percent no-wound rule.</w:t>
            </w:r>
          </w:p>
        </w:tc>
      </w:tr>
      <w:tr>
        <w:tc>
          <w:tcPr>
            <w:tcW w:type="dxa" w:w="2592"/>
            <w:vAlign w:val="top"/>
          </w:tcPr>
          <w:p>
            <w:r>
              <w:rPr>
                <w:sz w:val="16"/>
              </w:rPr>
              <w:t>20</w:t>
            </w:r>
          </w:p>
        </w:tc>
        <w:tc>
          <w:tcPr>
            <w:tcW w:type="dxa" w:w="2592"/>
            <w:vAlign w:val="top"/>
          </w:tcPr>
          <w:p>
            <w:r>
              <w:rPr>
                <w:sz w:val="16"/>
              </w:rPr>
              <w:t>Chapter 2 – ISO/IEC 25010</w:t>
            </w:r>
          </w:p>
        </w:tc>
        <w:tc>
          <w:tcPr>
            <w:tcW w:type="dxa" w:w="2592"/>
            <w:vAlign w:val="top"/>
          </w:tcPr>
          <w:p>
            <w:r>
              <w:rPr>
                <w:sz w:val="16"/>
              </w:rPr>
              <w:t>Before: A wound-assessment application is not evaluated only by its algorithmic accuracy. Users must be able to upload the intended video, understand the result, and repeat the procedure consistently. The ISO/IEC 25010:2023 product-quality model provides a structur...</w:t>
              <w:br/>
              <w:t>After: A wound-assessment application is not evaluated only by its algorithmic accuracy. Users must be able to submit the intended video, understand the result, and repeat the procedure consistently. ISO/IEC 25010:2023 provides a product-quality model with nine characteristics: functional suitability, performance efficiency, compatibility, in...</w:t>
            </w:r>
          </w:p>
        </w:tc>
        <w:tc>
          <w:tcPr>
            <w:tcW w:type="dxa" w:w="2592"/>
            <w:vAlign w:val="top"/>
          </w:tcPr>
          <w:p>
            <w:r>
              <w:rPr>
                <w:sz w:val="16"/>
              </w:rPr>
              <w:t>Updated the ISO/IEC 25010:2023 terminology and separated objective accuracy tests from user ratings.</w:t>
            </w:r>
          </w:p>
        </w:tc>
      </w:tr>
      <w:tr>
        <w:tc>
          <w:tcPr>
            <w:tcW w:type="dxa" w:w="2592"/>
            <w:vAlign w:val="top"/>
          </w:tcPr>
          <w:p>
            <w:r>
              <w:rPr>
                <w:sz w:val="16"/>
              </w:rPr>
              <w:t>21</w:t>
            </w:r>
          </w:p>
        </w:tc>
        <w:tc>
          <w:tcPr>
            <w:tcW w:type="dxa" w:w="2592"/>
            <w:vAlign w:val="top"/>
          </w:tcPr>
          <w:p>
            <w:r>
              <w:rPr>
                <w:sz w:val="16"/>
              </w:rPr>
              <w:t>Chapter 2 – Synthesis and Research Gap</w:t>
            </w:r>
          </w:p>
        </w:tc>
        <w:tc>
          <w:tcPr>
            <w:tcW w:type="dxa" w:w="2592"/>
            <w:vAlign w:val="top"/>
          </w:tcPr>
          <w:p>
            <w:r>
              <w:rPr>
                <w:sz w:val="16"/>
              </w:rPr>
              <w:t>Before: The literature also shows that segmentation and reconstruction should not be developed as independent modules. A wound mask can remove irrelevant background points, improve the allocation of Gaussian primitives, and provide the boundary required for measure...</w:t>
              <w:br/>
              <w:t>After: The literature shows that segmentation and reconstruction address related but distinct requirements. In the present system, the three-dimensional wound region is isolated from the reconstructed point cloud for geometric measurement, while a separate two-dimensional model characterizes tissue within an operator-selected image region. Fu...</w:t>
            </w:r>
          </w:p>
        </w:tc>
        <w:tc>
          <w:tcPr>
            <w:tcW w:type="dxa" w:w="2592"/>
            <w:vAlign w:val="top"/>
          </w:tcPr>
          <w:p>
            <w:r>
              <w:rPr>
                <w:sz w:val="16"/>
              </w:rPr>
              <w:t>Aligned the synthesis with the actual separation between 3D isolation and 2D tissue analysis.</w:t>
            </w:r>
          </w:p>
        </w:tc>
      </w:tr>
      <w:tr>
        <w:tc>
          <w:tcPr>
            <w:tcW w:type="dxa" w:w="2592"/>
            <w:vAlign w:val="top"/>
          </w:tcPr>
          <w:p>
            <w:r>
              <w:rPr>
                <w:sz w:val="16"/>
              </w:rPr>
              <w:t>22</w:t>
            </w:r>
          </w:p>
        </w:tc>
        <w:tc>
          <w:tcPr>
            <w:tcW w:type="dxa" w:w="2592"/>
            <w:vAlign w:val="top"/>
          </w:tcPr>
          <w:p>
            <w:r>
              <w:rPr>
                <w:sz w:val="16"/>
              </w:rPr>
              <w:t>Chapter 2 – Synthesis and Research Gap</w:t>
            </w:r>
          </w:p>
        </w:tc>
        <w:tc>
          <w:tcPr>
            <w:tcW w:type="dxa" w:w="2592"/>
            <w:vAlign w:val="top"/>
          </w:tcPr>
          <w:p>
            <w:r>
              <w:rPr>
                <w:sz w:val="16"/>
              </w:rPr>
              <w:t>Before: The central research gap is therefore not the absence of smartphone wound imaging or the absence of 3D reconstruction in isolation. More specifically, there remains a need for an integrated and explicitly evaluated workflow that combines smartphone video in...</w:t>
              <w:br/>
              <w:t>After: The central research gap is therefore not the absence of smartphone wound imaging or three-dimensional reconstruction in isolation. There remains a need for an explicitly evaluated workflow connecting smartphone video capture, SfM camera estimation, interactive 3DGS visualization, wound-region isolation, physical-scale estimation, trac...</w:t>
            </w:r>
          </w:p>
        </w:tc>
        <w:tc>
          <w:tcPr>
            <w:tcW w:type="dxa" w:w="2592"/>
            <w:vAlign w:val="top"/>
          </w:tcPr>
          <w:p>
            <w:r>
              <w:rPr>
                <w:sz w:val="16"/>
              </w:rPr>
              <w:t>Focused the research gap on the implemented workflow and removed an implication that longitudinal monitoring is already operational.</w:t>
            </w:r>
          </w:p>
        </w:tc>
      </w:tr>
      <w:tr>
        <w:tc>
          <w:tcPr>
            <w:tcW w:type="dxa" w:w="2592"/>
            <w:vAlign w:val="top"/>
          </w:tcPr>
          <w:p>
            <w:r>
              <w:rPr>
                <w:sz w:val="16"/>
              </w:rPr>
              <w:t>23</w:t>
            </w:r>
          </w:p>
        </w:tc>
        <w:tc>
          <w:tcPr>
            <w:tcW w:type="dxa" w:w="2592"/>
            <w:vAlign w:val="top"/>
          </w:tcPr>
          <w:p>
            <w:r>
              <w:rPr>
                <w:sz w:val="16"/>
              </w:rPr>
              <w:t>Chapter 2 – Synthesis and Research Gap</w:t>
            </w:r>
          </w:p>
        </w:tc>
        <w:tc>
          <w:tcPr>
            <w:tcW w:type="dxa" w:w="2592"/>
            <w:vAlign w:val="top"/>
          </w:tcPr>
          <w:p>
            <w:r>
              <w:rPr>
                <w:sz w:val="16"/>
              </w:rPr>
              <w:t>Before: Wound-Splat addresses this gap by integrating these stages in a client-server application and by mapping measurable outputs to the Wagner and University of Texas systems while acknowledging their clinical limitations. Its contribution lies in the system-lev...</w:t>
              <w:br/>
              <w:t>After: Wound-Splat addresses this gap through the implemented integration of smartphone-video input, COLMAP Structure from Motion, stock 3D Gaussian Splatting, filtered point-cloud isolation, reference-plane and heightfield measurement, operator-guided two-dimensional tissue characterization, interactive visualization, and report generation. ...</w:t>
            </w:r>
          </w:p>
        </w:tc>
        <w:tc>
          <w:tcPr>
            <w:tcW w:type="dxa" w:w="2592"/>
            <w:vAlign w:val="top"/>
          </w:tcPr>
          <w:p>
            <w:r>
              <w:rPr>
                <w:sz w:val="16"/>
              </w:rPr>
              <w:t>Corrected the claimed current contributions and stated the remaining validation boundary.</w:t>
            </w:r>
          </w:p>
        </w:tc>
      </w:tr>
      <w:tr>
        <w:tc>
          <w:tcPr>
            <w:tcW w:type="dxa" w:w="2592"/>
            <w:vAlign w:val="top"/>
          </w:tcPr>
          <w:p>
            <w:r>
              <w:rPr>
                <w:sz w:val="16"/>
              </w:rPr>
              <w:t>24</w:t>
            </w:r>
          </w:p>
        </w:tc>
        <w:tc>
          <w:tcPr>
            <w:tcW w:type="dxa" w:w="2592"/>
            <w:vAlign w:val="top"/>
          </w:tcPr>
          <w:p>
            <w:r>
              <w:rPr>
                <w:sz w:val="16"/>
              </w:rPr>
              <w:t>Chapter 2 – Related Systems</w:t>
            </w:r>
          </w:p>
        </w:tc>
        <w:tc>
          <w:tcPr>
            <w:tcW w:type="dxa" w:w="2592"/>
            <w:vAlign w:val="top"/>
          </w:tcPr>
          <w:p>
            <w:r>
              <w:rPr>
                <w:sz w:val="16"/>
              </w:rPr>
              <w:t>Before: Wound3DAssist provides a particularly close comparison to the proposed system. Chierchia et al. (2025b) presented a framework using short monocular consumer-grade videos and integrated 3D reconstruction, wound segmentation, tissue classification, and periwo...</w:t>
              <w:br/>
              <w:t>After: Wound3DAssist provides a particularly close comparison to the proposed system. Chierchia et al. (2025b) presented a framework using short monocular consumer-grade videos and integrated 3D reconstruction, wound segmentation, tissue classification, and periwound analysis. The record reports evaluation on digital models, silicone phantoms...</w:t>
            </w:r>
          </w:p>
        </w:tc>
        <w:tc>
          <w:tcPr>
            <w:tcW w:type="dxa" w:w="2592"/>
            <w:vAlign w:val="top"/>
          </w:tcPr>
          <w:p>
            <w:r>
              <w:rPr>
                <w:sz w:val="16"/>
              </w:rPr>
              <w:t>Kept the comparison but removed wording that presented planned Thesis 2 functions as implemented features.</w:t>
            </w:r>
          </w:p>
        </w:tc>
      </w:tr>
      <w:tr>
        <w:tc>
          <w:tcPr>
            <w:tcW w:type="dxa" w:w="2592"/>
            <w:vAlign w:val="top"/>
          </w:tcPr>
          <w:p>
            <w:r>
              <w:rPr>
                <w:sz w:val="16"/>
              </w:rPr>
              <w:t>25</w:t>
            </w:r>
          </w:p>
        </w:tc>
        <w:tc>
          <w:tcPr>
            <w:tcW w:type="dxa" w:w="2592"/>
            <w:vAlign w:val="top"/>
          </w:tcPr>
          <w:p>
            <w:r>
              <w:rPr>
                <w:sz w:val="16"/>
              </w:rPr>
              <w:t>Chapter 2 – Surface Reconstruction and Geometric Wound Measurement</w:t>
            </w:r>
          </w:p>
        </w:tc>
        <w:tc>
          <w:tcPr>
            <w:tcW w:type="dxa" w:w="2592"/>
            <w:vAlign w:val="top"/>
          </w:tcPr>
          <w:p>
            <w:r>
              <w:rPr>
                <w:sz w:val="16"/>
              </w:rPr>
              <w:t>Before: A wound-volume calculation requires a surface or volume representation with a meaningful boundary. A point cloud or collection of Gaussian primitives may be sufficient for visualization but is not automatically a closed surface. Wound-Splat therefore separa...</w:t>
              <w:br/>
              <w:t>After: A wound-volume calculation requires a surface or volume representation with a meaningful boundary. A point cloud or collection of Gaussian primitives may be sufficient for visualization but is not automatically a closed surface. Wound-Splat therefore separates visualization from measurement. An optional surface-reconstruction stage can...</w:t>
            </w:r>
          </w:p>
        </w:tc>
        <w:tc>
          <w:tcPr>
            <w:tcW w:type="dxa" w:w="2592"/>
            <w:vAlign w:val="top"/>
          </w:tcPr>
          <w:p>
            <w:r>
              <w:rPr>
                <w:sz w:val="16"/>
              </w:rPr>
              <w:t>Clarified that Poisson reconstruction is optional and does not guarantee a closed measurement surface.</w:t>
            </w:r>
          </w:p>
        </w:tc>
      </w:tr>
      <w:tr>
        <w:tc>
          <w:tcPr>
            <w:tcW w:type="dxa" w:w="2592"/>
            <w:vAlign w:val="top"/>
          </w:tcPr>
          <w:p>
            <w:r>
              <w:rPr>
                <w:sz w:val="16"/>
              </w:rPr>
              <w:t>26</w:t>
            </w:r>
          </w:p>
        </w:tc>
        <w:tc>
          <w:tcPr>
            <w:tcW w:type="dxa" w:w="2592"/>
            <w:vAlign w:val="top"/>
          </w:tcPr>
          <w:p>
            <w:r>
              <w:rPr>
                <w:sz w:val="16"/>
              </w:rPr>
              <w:t>Chapter 2 – Wound Isolation</w:t>
            </w:r>
          </w:p>
        </w:tc>
        <w:tc>
          <w:tcPr>
            <w:tcW w:type="dxa" w:w="2592"/>
            <w:vAlign w:val="top"/>
          </w:tcPr>
          <w:p>
            <w:r>
              <w:rPr>
                <w:sz w:val="16"/>
              </w:rPr>
              <w:t>Before: Wound isolation. Wound-Splat isolates the wound after reconstruction rather than before it. Wound tissue is strongly saturated and red, while dressings, reference markers, and background are not, so points in the reconstructed cloud are gated by hue and sat...</w:t>
              <w:br/>
              <w:t>After: Wound isolation. Wound-Splat isolates the wound after reconstruction rather than before it. The point cloud is filtered by opacity and statistical outlier removal, then grouped using scale-adaptive spatial clustering. When sufficient saturated red tissue-color evidence is present, the cluster with the strongest tissue support is select...</w:t>
            </w:r>
          </w:p>
        </w:tc>
        <w:tc>
          <w:tcPr>
            <w:tcW w:type="dxa" w:w="2592"/>
            <w:vAlign w:val="top"/>
          </w:tcPr>
          <w:p>
            <w:r>
              <w:rPr>
                <w:sz w:val="16"/>
              </w:rPr>
              <w:t>Matched the description to the implemented point-cloud filtering and cluster-selection logic.</w:t>
            </w:r>
          </w:p>
        </w:tc>
      </w:tr>
      <w:tr>
        <w:tc>
          <w:tcPr>
            <w:tcW w:type="dxa" w:w="2592"/>
            <w:vAlign w:val="top"/>
          </w:tcPr>
          <w:p>
            <w:r>
              <w:rPr>
                <w:sz w:val="16"/>
              </w:rPr>
              <w:t>27</w:t>
            </w:r>
          </w:p>
        </w:tc>
        <w:tc>
          <w:tcPr>
            <w:tcW w:type="dxa" w:w="2592"/>
            <w:vAlign w:val="top"/>
          </w:tcPr>
          <w:p>
            <w:r>
              <w:rPr>
                <w:sz w:val="16"/>
              </w:rPr>
              <w:t>Chapter 2 – Definition of Terms</w:t>
            </w:r>
          </w:p>
        </w:tc>
        <w:tc>
          <w:tcPr>
            <w:tcW w:type="dxa" w:w="2592"/>
            <w:vAlign w:val="top"/>
          </w:tcPr>
          <w:p>
            <w:r>
              <w:rPr>
                <w:sz w:val="16"/>
              </w:rPr>
              <w:t>Before: No header row</w:t>
              <w:br/>
              <w:t>After: Added 'Term' and 'Operational Definition' header row</w:t>
            </w:r>
          </w:p>
        </w:tc>
        <w:tc>
          <w:tcPr>
            <w:tcW w:type="dxa" w:w="2592"/>
            <w:vAlign w:val="top"/>
          </w:tcPr>
          <w:p>
            <w:r>
              <w:rPr>
                <w:sz w:val="16"/>
              </w:rPr>
              <w:t>Improved table readability without changing the table structure.</w:t>
            </w:r>
          </w:p>
        </w:tc>
      </w:tr>
      <w:tr>
        <w:tc>
          <w:tcPr>
            <w:tcW w:type="dxa" w:w="2592"/>
            <w:vAlign w:val="top"/>
          </w:tcPr>
          <w:p>
            <w:r>
              <w:rPr>
                <w:sz w:val="16"/>
              </w:rPr>
              <w:t>28</w:t>
            </w:r>
          </w:p>
        </w:tc>
        <w:tc>
          <w:tcPr>
            <w:tcW w:type="dxa" w:w="2592"/>
            <w:vAlign w:val="top"/>
          </w:tcPr>
          <w:p>
            <w:r>
              <w:rPr>
                <w:sz w:val="16"/>
              </w:rPr>
              <w:t>Chapter 2 – Definition of Terms: Longitudinal Monitoring</w:t>
            </w:r>
          </w:p>
        </w:tc>
        <w:tc>
          <w:tcPr>
            <w:tcW w:type="dxa" w:w="2592"/>
            <w:vAlign w:val="top"/>
          </w:tcPr>
          <w:p>
            <w:r>
              <w:rPr>
                <w:sz w:val="16"/>
              </w:rPr>
              <w:t>Before: Tracking physical wound changes over time by aligning 3D models across multiple patient visits.</w:t>
              <w:br/>
              <w:t>After: Planned Thesis 2 comparison of the same wound across visits after geometric registration and quality checking.</w:t>
            </w:r>
          </w:p>
        </w:tc>
        <w:tc>
          <w:tcPr>
            <w:tcW w:type="dxa" w:w="2592"/>
            <w:vAlign w:val="top"/>
          </w:tcPr>
          <w:p>
            <w:r>
              <w:rPr>
                <w:sz w:val="16"/>
              </w:rPr>
              <w:t>Aligned the definition with the current implementation boundary.</w:t>
            </w:r>
          </w:p>
        </w:tc>
      </w:tr>
      <w:tr>
        <w:tc>
          <w:tcPr>
            <w:tcW w:type="dxa" w:w="2592"/>
            <w:vAlign w:val="top"/>
          </w:tcPr>
          <w:p>
            <w:r>
              <w:rPr>
                <w:sz w:val="16"/>
              </w:rPr>
              <w:t>29</w:t>
            </w:r>
          </w:p>
        </w:tc>
        <w:tc>
          <w:tcPr>
            <w:tcW w:type="dxa" w:w="2592"/>
            <w:vAlign w:val="top"/>
          </w:tcPr>
          <w:p>
            <w:r>
              <w:rPr>
                <w:sz w:val="16"/>
              </w:rPr>
              <w:t>Chapter 2 – Definition of Terms: Poisson Surface Reconstruction</w:t>
            </w:r>
          </w:p>
        </w:tc>
        <w:tc>
          <w:tcPr>
            <w:tcW w:type="dxa" w:w="2592"/>
            <w:vAlign w:val="top"/>
          </w:tcPr>
          <w:p>
            <w:r>
              <w:rPr>
                <w:sz w:val="16"/>
              </w:rPr>
              <w:t>Before: A geometric method that converts a reconstructed point cloud into a smooth, watertight 3D mesh.</w:t>
              <w:br/>
              <w:t>After: An optional visualization method that converts oriented points into a smooth mesh; its output is not used as the validated measurement surface.</w:t>
            </w:r>
          </w:p>
        </w:tc>
        <w:tc>
          <w:tcPr>
            <w:tcW w:type="dxa" w:w="2592"/>
            <w:vAlign w:val="top"/>
          </w:tcPr>
          <w:p>
            <w:r>
              <w:rPr>
                <w:sz w:val="16"/>
              </w:rPr>
              <w:t>Aligned the definition with the current implementation boundary.</w:t>
            </w:r>
          </w:p>
        </w:tc>
      </w:tr>
      <w:tr>
        <w:tc>
          <w:tcPr>
            <w:tcW w:type="dxa" w:w="2592"/>
            <w:vAlign w:val="top"/>
          </w:tcPr>
          <w:p>
            <w:r>
              <w:rPr>
                <w:sz w:val="16"/>
              </w:rPr>
              <w:t>30</w:t>
            </w:r>
          </w:p>
        </w:tc>
        <w:tc>
          <w:tcPr>
            <w:tcW w:type="dxa" w:w="2592"/>
            <w:vAlign w:val="top"/>
          </w:tcPr>
          <w:p>
            <w:r>
              <w:rPr>
                <w:sz w:val="16"/>
              </w:rPr>
              <w:t>Chapter 2 – Definition of Terms: Wagner and University of Texas Systems</w:t>
            </w:r>
          </w:p>
        </w:tc>
        <w:tc>
          <w:tcPr>
            <w:tcW w:type="dxa" w:w="2592"/>
            <w:vAlign w:val="top"/>
          </w:tcPr>
          <w:p>
            <w:r>
              <w:rPr>
                <w:sz w:val="16"/>
              </w:rPr>
              <w:t>Before: Established clinical diagnostic standards used to map automated spatial metrics into interpretable clinical outputs.</w:t>
              <w:br/>
              <w:t>After: Clinical classification systems that require findings beyond geometry alone, including infection, ischemia, and anatomical involvement; Wound-Splat classification support remains planned for Thesis 2.</w:t>
            </w:r>
          </w:p>
        </w:tc>
        <w:tc>
          <w:tcPr>
            <w:tcW w:type="dxa" w:w="2592"/>
            <w:vAlign w:val="top"/>
          </w:tcPr>
          <w:p>
            <w:r>
              <w:rPr>
                <w:sz w:val="16"/>
              </w:rPr>
              <w:t>Aligned the definition with the current implementation boundary.</w:t>
            </w:r>
          </w:p>
        </w:tc>
      </w:tr>
      <w:tr>
        <w:tc>
          <w:tcPr>
            <w:tcW w:type="dxa" w:w="2592"/>
            <w:vAlign w:val="top"/>
          </w:tcPr>
          <w:p>
            <w:r>
              <w:rPr>
                <w:sz w:val="16"/>
              </w:rPr>
              <w:t>31</w:t>
            </w:r>
          </w:p>
        </w:tc>
        <w:tc>
          <w:tcPr>
            <w:tcW w:type="dxa" w:w="2592"/>
            <w:vAlign w:val="top"/>
          </w:tcPr>
          <w:p>
            <w:r>
              <w:rPr>
                <w:sz w:val="16"/>
              </w:rPr>
              <w:t>Chapter 2 – Definition of Terms: Scale Calibration</w:t>
            </w:r>
          </w:p>
        </w:tc>
        <w:tc>
          <w:tcPr>
            <w:tcW w:type="dxa" w:w="2592"/>
            <w:vAlign w:val="top"/>
          </w:tcPr>
          <w:p>
            <w:r>
              <w:rPr>
                <w:sz w:val="16"/>
              </w:rPr>
              <w:t>Before: Deriving absolute physical measurement scales by computationally detecting a known reference object during capture.</w:t>
              <w:br/>
              <w:t>After: Conversion from reconstruction units to physical units using a supported bank card or coin visible in the captured scene.</w:t>
            </w:r>
          </w:p>
        </w:tc>
        <w:tc>
          <w:tcPr>
            <w:tcW w:type="dxa" w:w="2592"/>
            <w:vAlign w:val="top"/>
          </w:tcPr>
          <w:p>
            <w:r>
              <w:rPr>
                <w:sz w:val="16"/>
              </w:rPr>
              <w:t>Aligned the definition with the current implementation boundary.</w:t>
            </w:r>
          </w:p>
        </w:tc>
      </w:tr>
      <w:tr>
        <w:tc>
          <w:tcPr>
            <w:tcW w:type="dxa" w:w="2592"/>
            <w:vAlign w:val="top"/>
          </w:tcPr>
          <w:p>
            <w:r>
              <w:rPr>
                <w:sz w:val="16"/>
              </w:rPr>
              <w:t>32</w:t>
            </w:r>
          </w:p>
        </w:tc>
        <w:tc>
          <w:tcPr>
            <w:tcW w:type="dxa" w:w="2592"/>
            <w:vAlign w:val="top"/>
          </w:tcPr>
          <w:p>
            <w:r>
              <w:rPr>
                <w:sz w:val="16"/>
              </w:rPr>
              <w:t>Chapter 2 – Definition of Terms: Temporal Tracking</w:t>
            </w:r>
          </w:p>
        </w:tc>
        <w:tc>
          <w:tcPr>
            <w:tcW w:type="dxa" w:w="2592"/>
            <w:vAlign w:val="top"/>
          </w:tcPr>
          <w:p>
            <w:r>
              <w:rPr>
                <w:sz w:val="16"/>
              </w:rPr>
              <w:t>Before: A module utilizing geometric registration to align 3D models and automate volume change calculations.</w:t>
              <w:br/>
              <w:t>After: A planned Thesis 2 module for aligning wound models across visits and calculating changes in measurements.</w:t>
            </w:r>
          </w:p>
        </w:tc>
        <w:tc>
          <w:tcPr>
            <w:tcW w:type="dxa" w:w="2592"/>
            <w:vAlign w:val="top"/>
          </w:tcPr>
          <w:p>
            <w:r>
              <w:rPr>
                <w:sz w:val="16"/>
              </w:rPr>
              <w:t>Aligned the definition with the current implementation boundary.</w:t>
            </w:r>
          </w:p>
        </w:tc>
      </w:tr>
      <w:tr>
        <w:tc>
          <w:tcPr>
            <w:tcW w:type="dxa" w:w="2592"/>
            <w:vAlign w:val="top"/>
          </w:tcPr>
          <w:p>
            <w:r>
              <w:rPr>
                <w:sz w:val="16"/>
              </w:rPr>
              <w:t>33</w:t>
            </w:r>
          </w:p>
        </w:tc>
        <w:tc>
          <w:tcPr>
            <w:tcW w:type="dxa" w:w="2592"/>
            <w:vAlign w:val="top"/>
          </w:tcPr>
          <w:p>
            <w:r>
              <w:rPr>
                <w:sz w:val="16"/>
              </w:rPr>
              <w:t>Chapter 3 – Table 4</w:t>
            </w:r>
          </w:p>
        </w:tc>
        <w:tc>
          <w:tcPr>
            <w:tcW w:type="dxa" w:w="2592"/>
            <w:vAlign w:val="top"/>
          </w:tcPr>
          <w:p>
            <w:r>
              <w:rPr>
                <w:sz w:val="16"/>
              </w:rPr>
              <w:t>Before: segmentation-models-pytoch</w:t>
              <w:br/>
              <w:t>After: segmentation-models-pytorch</w:t>
            </w:r>
          </w:p>
        </w:tc>
        <w:tc>
          <w:tcPr>
            <w:tcW w:type="dxa" w:w="2592"/>
            <w:vAlign w:val="top"/>
          </w:tcPr>
          <w:p>
            <w:r>
              <w:rPr>
                <w:sz w:val="16"/>
              </w:rPr>
              <w:t>Corrected the package name.</w:t>
            </w:r>
          </w:p>
        </w:tc>
      </w:tr>
      <w:tr>
        <w:tc>
          <w:tcPr>
            <w:tcW w:type="dxa" w:w="2592"/>
            <w:vAlign w:val="top"/>
          </w:tcPr>
          <w:p>
            <w:r>
              <w:rPr>
                <w:sz w:val="16"/>
              </w:rPr>
              <w:t>34</w:t>
            </w:r>
          </w:p>
        </w:tc>
        <w:tc>
          <w:tcPr>
            <w:tcW w:type="dxa" w:w="2592"/>
            <w:vAlign w:val="top"/>
          </w:tcPr>
          <w:p>
            <w:r>
              <w:rPr>
                <w:sz w:val="16"/>
              </w:rPr>
              <w:t>Chapter 3 – Table 4</w:t>
            </w:r>
          </w:p>
        </w:tc>
        <w:tc>
          <w:tcPr>
            <w:tcW w:type="dxa" w:w="2592"/>
            <w:vAlign w:val="top"/>
          </w:tcPr>
          <w:p>
            <w:r>
              <w:rPr>
                <w:sz w:val="16"/>
              </w:rPr>
              <w:t>Before: pytest 0.1.1</w:t>
              <w:br/>
              <w:t>After: pytest 9.1.1</w:t>
            </w:r>
          </w:p>
        </w:tc>
        <w:tc>
          <w:tcPr>
            <w:tcW w:type="dxa" w:w="2592"/>
            <w:vAlign w:val="top"/>
          </w:tcPr>
          <w:p>
            <w:r>
              <w:rPr>
                <w:sz w:val="16"/>
              </w:rPr>
              <w:t>Corrected the installed test-runner version.</w:t>
            </w:r>
          </w:p>
        </w:tc>
      </w:tr>
      <w:tr>
        <w:tc>
          <w:tcPr>
            <w:tcW w:type="dxa" w:w="2592"/>
            <w:vAlign w:val="top"/>
          </w:tcPr>
          <w:p>
            <w:r>
              <w:rPr>
                <w:sz w:val="16"/>
              </w:rPr>
              <w:t>35</w:t>
            </w:r>
          </w:p>
        </w:tc>
        <w:tc>
          <w:tcPr>
            <w:tcW w:type="dxa" w:w="2592"/>
            <w:vAlign w:val="top"/>
          </w:tcPr>
          <w:p>
            <w:r>
              <w:rPr>
                <w:sz w:val="16"/>
              </w:rPr>
              <w:t>Chapter 3 – Table 4</w:t>
            </w:r>
          </w:p>
        </w:tc>
        <w:tc>
          <w:tcPr>
            <w:tcW w:type="dxa" w:w="2592"/>
            <w:vAlign w:val="top"/>
          </w:tcPr>
          <w:p>
            <w:r>
              <w:rPr>
                <w:sz w:val="16"/>
              </w:rPr>
              <w:t>Before: Verification od generated tissue report content</w:t>
              <w:br/>
              <w:t>After: Verification of generated tissue-report content</w:t>
            </w:r>
          </w:p>
        </w:tc>
        <w:tc>
          <w:tcPr>
            <w:tcW w:type="dxa" w:w="2592"/>
            <w:vAlign w:val="top"/>
          </w:tcPr>
          <w:p>
            <w:r>
              <w:rPr>
                <w:sz w:val="16"/>
              </w:rPr>
              <w:t>Corrected a typographical error.</w:t>
            </w:r>
          </w:p>
        </w:tc>
      </w:tr>
      <w:tr>
        <w:tc>
          <w:tcPr>
            <w:tcW w:type="dxa" w:w="2592"/>
            <w:vAlign w:val="top"/>
          </w:tcPr>
          <w:p>
            <w:r>
              <w:rPr>
                <w:sz w:val="16"/>
              </w:rPr>
              <w:t>36</w:t>
            </w:r>
          </w:p>
        </w:tc>
        <w:tc>
          <w:tcPr>
            <w:tcW w:type="dxa" w:w="2592"/>
            <w:vAlign w:val="top"/>
          </w:tcPr>
          <w:p>
            <w:r>
              <w:rPr>
                <w:sz w:val="16"/>
              </w:rPr>
              <w:t>Chapter 3 – Hardware</w:t>
            </w:r>
          </w:p>
        </w:tc>
        <w:tc>
          <w:tcPr>
            <w:tcW w:type="dxa" w:w="2592"/>
            <w:vAlign w:val="top"/>
          </w:tcPr>
          <w:p>
            <w:r>
              <w:rPr>
                <w:sz w:val="16"/>
              </w:rPr>
              <w:t xml:space="preserve">Before: </w:t>
              <w:tab/>
              <w:t>A rented cloud processor handles runs that exceed that limit. 3DGS optimization holds every Gaussian primitive in the video memory, and this requirement grows with the number of frames and the density of the scene. The rented instance is providing 48GB, ru...</w:t>
              <w:br/>
              <w:t>After: A compatible cloud GPU instance may be provisioned manually for selected high-memory reconstruction runs. The current application does not automatically detect an out-of-memory condition, transfer a queued job to the cloud, or provide automatic failover. When the cloud environment is used, the full processing stack is started separatel...</w:t>
            </w:r>
          </w:p>
        </w:tc>
        <w:tc>
          <w:tcPr>
            <w:tcW w:type="dxa" w:w="2592"/>
            <w:vAlign w:val="top"/>
          </w:tcPr>
          <w:p>
            <w:r>
              <w:rPr>
                <w:sz w:val="16"/>
              </w:rPr>
              <w:t>Corrected the cloud workflow to reflect manual provisioning rather than automatic job handling.</w:t>
            </w:r>
          </w:p>
        </w:tc>
      </w:tr>
      <w:tr>
        <w:tc>
          <w:tcPr>
            <w:tcW w:type="dxa" w:w="2592"/>
            <w:vAlign w:val="top"/>
          </w:tcPr>
          <w:p>
            <w:r>
              <w:rPr>
                <w:sz w:val="16"/>
              </w:rPr>
              <w:t>37</w:t>
            </w:r>
          </w:p>
        </w:tc>
        <w:tc>
          <w:tcPr>
            <w:tcW w:type="dxa" w:w="2592"/>
            <w:vAlign w:val="top"/>
          </w:tcPr>
          <w:p>
            <w:r>
              <w:rPr>
                <w:sz w:val="16"/>
              </w:rPr>
              <w:t>Chapter 3 – Dataset</w:t>
            </w:r>
          </w:p>
        </w:tc>
        <w:tc>
          <w:tcPr>
            <w:tcW w:type="dxa" w:w="2592"/>
            <w:vAlign w:val="top"/>
          </w:tcPr>
          <w:p>
            <w:r>
              <w:rPr>
                <w:sz w:val="16"/>
              </w:rPr>
              <w:t xml:space="preserve">Before: </w:t>
              <w:tab/>
              <w:t>Permission and terms of use are available. DFUTisse is not openly licensed. Written permission was granted by Prof. Zeyun Yu of the University of Wisconsin-Milwaukee on September 4, 2026, restricting use to nonprofit academic research, prohibiting redistri...</w:t>
              <w:br/>
              <w:t>After: Permission and terms of use are documented. DFUTissue is not openly licensed. Written permission was granted by Prof. Zeyun Yu of the University of Wisconsin-Milwaukee on September 4, 2026, restricting use to nonprofit academic research, prohibiting redistribution, and requiring citation. The dataset is excluded from the public reposit...</w:t>
            </w:r>
          </w:p>
        </w:tc>
        <w:tc>
          <w:tcPr>
            <w:tcW w:type="dxa" w:w="2592"/>
            <w:vAlign w:val="top"/>
          </w:tcPr>
          <w:p>
            <w:r>
              <w:rPr>
                <w:sz w:val="16"/>
              </w:rPr>
              <w:t>Corrected the dataset name and tightened the permission statement.</w:t>
            </w:r>
          </w:p>
        </w:tc>
      </w:tr>
      <w:tr>
        <w:tc>
          <w:tcPr>
            <w:tcW w:type="dxa" w:w="2592"/>
            <w:vAlign w:val="top"/>
          </w:tcPr>
          <w:p>
            <w:r>
              <w:rPr>
                <w:sz w:val="16"/>
              </w:rPr>
              <w:t>38</w:t>
            </w:r>
          </w:p>
        </w:tc>
        <w:tc>
          <w:tcPr>
            <w:tcW w:type="dxa" w:w="2592"/>
            <w:vAlign w:val="top"/>
          </w:tcPr>
          <w:p>
            <w:r>
              <w:rPr>
                <w:sz w:val="16"/>
              </w:rPr>
              <w:t>Chapter 3 – Table 7</w:t>
            </w:r>
          </w:p>
        </w:tc>
        <w:tc>
          <w:tcPr>
            <w:tcW w:type="dxa" w:w="2592"/>
            <w:vAlign w:val="top"/>
          </w:tcPr>
          <w:p>
            <w:r>
              <w:rPr>
                <w:sz w:val="16"/>
              </w:rPr>
              <w:t>Before: Count to be confirmed</w:t>
              <w:br/>
              <w:t>After: Multiple development recordings (non-patient)</w:t>
            </w:r>
          </w:p>
        </w:tc>
        <w:tc>
          <w:tcPr>
            <w:tcW w:type="dxa" w:w="2592"/>
            <w:vAlign w:val="top"/>
          </w:tcPr>
          <w:p>
            <w:r>
              <w:rPr>
                <w:sz w:val="16"/>
              </w:rPr>
              <w:t>Removed an unresolved count placeholder while preserving the limited methodological use of the recordings.</w:t>
            </w:r>
          </w:p>
        </w:tc>
      </w:tr>
      <w:tr>
        <w:tc>
          <w:tcPr>
            <w:tcW w:type="dxa" w:w="2592"/>
            <w:vAlign w:val="top"/>
          </w:tcPr>
          <w:p>
            <w:r>
              <w:rPr>
                <w:sz w:val="16"/>
              </w:rPr>
              <w:t>39</w:t>
            </w:r>
          </w:p>
        </w:tc>
        <w:tc>
          <w:tcPr>
            <w:tcW w:type="dxa" w:w="2592"/>
            <w:vAlign w:val="top"/>
          </w:tcPr>
          <w:p>
            <w:r>
              <w:rPr>
                <w:sz w:val="16"/>
              </w:rPr>
              <w:t>Chapter 3 – Project Development</w:t>
            </w:r>
          </w:p>
        </w:tc>
        <w:tc>
          <w:tcPr>
            <w:tcW w:type="dxa" w:w="2592"/>
            <w:vAlign w:val="top"/>
          </w:tcPr>
          <w:p>
            <w:r>
              <w:rPr>
                <w:sz w:val="16"/>
              </w:rPr>
              <w:t>Before: One rule will govern the cycle and distinguish it from a linear sequence: an iteration is not complete when the code works, but rather when the result has been measured and a decision has been taken. The measurement may show that the addition performs adequ...</w:t>
              <w:br/>
              <w:t>After: One rule governs the cycle and distinguishes it from a linear sequence: an iteration is not complete when the code runs, but when its result has been checked and a decision has been recorded. A component may be retained, revised, or removed according to the available evidence. The Wound-Splat framework was developed through the followi...</w:t>
            </w:r>
          </w:p>
        </w:tc>
        <w:tc>
          <w:tcPr>
            <w:tcW w:type="dxa" w:w="2592"/>
            <w:vAlign w:val="top"/>
          </w:tcPr>
          <w:p>
            <w:r>
              <w:rPr>
                <w:sz w:val="16"/>
              </w:rPr>
              <w:t>Removed an unsupported statement that every possible iteration outcome had been documented.</w:t>
            </w:r>
          </w:p>
        </w:tc>
      </w:tr>
      <w:tr>
        <w:tc>
          <w:tcPr>
            <w:tcW w:type="dxa" w:w="2592"/>
            <w:vAlign w:val="top"/>
          </w:tcPr>
          <w:p>
            <w:r>
              <w:rPr>
                <w:sz w:val="16"/>
              </w:rPr>
              <w:t>40</w:t>
            </w:r>
          </w:p>
        </w:tc>
        <w:tc>
          <w:tcPr>
            <w:tcW w:type="dxa" w:w="2592"/>
            <w:vAlign w:val="top"/>
          </w:tcPr>
          <w:p>
            <w:r>
              <w:rPr>
                <w:sz w:val="16"/>
              </w:rPr>
              <w:t>Chapter 3 – Project Design</w:t>
            </w:r>
          </w:p>
        </w:tc>
        <w:tc>
          <w:tcPr>
            <w:tcW w:type="dxa" w:w="2592"/>
            <w:vAlign w:val="top"/>
          </w:tcPr>
          <w:p>
            <w:r>
              <w:rPr>
                <w:sz w:val="16"/>
              </w:rPr>
              <w:t>Before: Client layer. All user interaction will occur in a standard web browser. The patient portal allows the patient to sign in with their provided assigned patient code, upload a wound video, observe processing status, and view the completed results. The clinica...</w:t>
              <w:br/>
              <w:t>After: Client layer. All user interaction occurs in a standard web browser. The patient portal uses an assigned patient code to look up the corresponding prototype record, upload a wound video, observe processing status, and view completed results. This patient-code lookup is not secure authentication. The clinical administration view allows ...</w:t>
            </w:r>
          </w:p>
        </w:tc>
        <w:tc>
          <w:tcPr>
            <w:tcW w:type="dxa" w:w="2592"/>
            <w:vAlign w:val="top"/>
          </w:tcPr>
          <w:p>
            <w:r>
              <w:rPr>
                <w:sz w:val="16"/>
              </w:rPr>
              <w:t>Corrected the patient-code workflow so it is not described as secure sign-in and improved the surrounding grammar.</w:t>
            </w:r>
          </w:p>
        </w:tc>
      </w:tr>
      <w:tr>
        <w:tc>
          <w:tcPr>
            <w:tcW w:type="dxa" w:w="2592"/>
            <w:vAlign w:val="top"/>
          </w:tcPr>
          <w:p>
            <w:r>
              <w:rPr>
                <w:sz w:val="16"/>
              </w:rPr>
              <w:t>41</w:t>
            </w:r>
          </w:p>
        </w:tc>
        <w:tc>
          <w:tcPr>
            <w:tcW w:type="dxa" w:w="2592"/>
            <w:vAlign w:val="top"/>
          </w:tcPr>
          <w:p>
            <w:r>
              <w:rPr>
                <w:sz w:val="16"/>
              </w:rPr>
              <w:t>Chapter 3 – Database Design</w:t>
            </w:r>
          </w:p>
        </w:tc>
        <w:tc>
          <w:tcPr>
            <w:tcW w:type="dxa" w:w="2592"/>
            <w:vAlign w:val="top"/>
          </w:tcPr>
          <w:p>
            <w:r>
              <w:rPr>
                <w:sz w:val="16"/>
              </w:rPr>
              <w:t>Before: Measurements and Tissue Results. The application expects a single current measurement result and a single current tissue result for each scan. The Measurement table stores surface area, volume, maximum depth, width, and height. However, its scan_id foreign ...</w:t>
              <w:br/>
              <w:t>After: Measurements and Tissue Results. The application expects a single current measurement result and a single current tissue result for each scan. The Measurement table stores planar wound opening area in the surface-area field, together with cavity volume, maximum depth, width, and height. However, its scan_id foreign key is not currently...</w:t>
            </w:r>
          </w:p>
        </w:tc>
        <w:tc>
          <w:tcPr>
            <w:tcW w:type="dxa" w:w="2592"/>
            <w:vAlign w:val="top"/>
          </w:tcPr>
          <w:p>
            <w:r>
              <w:rPr>
                <w:sz w:val="16"/>
              </w:rPr>
              <w:t>Clarified that the database surface-area field contains the implemented planar wound opening area.</w:t>
            </w:r>
          </w:p>
        </w:tc>
      </w:tr>
      <w:tr>
        <w:tc>
          <w:tcPr>
            <w:tcW w:type="dxa" w:w="2592"/>
            <w:vAlign w:val="top"/>
          </w:tcPr>
          <w:p>
            <w:r>
              <w:rPr>
                <w:sz w:val="16"/>
              </w:rPr>
              <w:t>42</w:t>
            </w:r>
          </w:p>
        </w:tc>
        <w:tc>
          <w:tcPr>
            <w:tcW w:type="dxa" w:w="2592"/>
            <w:vAlign w:val="top"/>
          </w:tcPr>
          <w:p>
            <w:r>
              <w:rPr>
                <w:sz w:val="16"/>
              </w:rPr>
              <w:t>Chapter 3 – Database Design</w:t>
            </w:r>
          </w:p>
        </w:tc>
        <w:tc>
          <w:tcPr>
            <w:tcW w:type="dxa" w:w="2592"/>
            <w:vAlign w:val="top"/>
          </w:tcPr>
          <w:p>
            <w:r>
              <w:rPr>
                <w:sz w:val="16"/>
              </w:rPr>
              <w:t>Before: Database Design and Figure 9 caption merged in one paragraph</w:t>
              <w:br/>
              <w:t>After: Separated the heading, diagram, and Figure 9 caption</w:t>
            </w:r>
          </w:p>
        </w:tc>
        <w:tc>
          <w:tcPr>
            <w:tcW w:type="dxa" w:w="2592"/>
            <w:vAlign w:val="top"/>
          </w:tcPr>
          <w:p>
            <w:r>
              <w:rPr>
                <w:sz w:val="16"/>
              </w:rPr>
              <w:t>Corrected the layout while preserving the embedded diagram.</w:t>
            </w:r>
          </w:p>
        </w:tc>
      </w:tr>
      <w:tr>
        <w:tc>
          <w:tcPr>
            <w:tcW w:type="dxa" w:w="2592"/>
            <w:vAlign w:val="top"/>
          </w:tcPr>
          <w:p>
            <w:r>
              <w:rPr>
                <w:sz w:val="16"/>
              </w:rPr>
              <w:t>43</w:t>
            </w:r>
          </w:p>
        </w:tc>
        <w:tc>
          <w:tcPr>
            <w:tcW w:type="dxa" w:w="2592"/>
            <w:vAlign w:val="top"/>
          </w:tcPr>
          <w:p>
            <w:r>
              <w:rPr>
                <w:sz w:val="16"/>
              </w:rPr>
              <w:t>Chapter 3 – Algorithm Implementation</w:t>
            </w:r>
          </w:p>
        </w:tc>
        <w:tc>
          <w:tcPr>
            <w:tcW w:type="dxa" w:w="2592"/>
            <w:vAlign w:val="top"/>
          </w:tcPr>
          <w:p>
            <w:r>
              <w:rPr>
                <w:sz w:val="16"/>
              </w:rPr>
              <w:t>Added: Algorithm Implementation</w:t>
            </w:r>
          </w:p>
        </w:tc>
        <w:tc>
          <w:tcPr>
            <w:tcW w:type="dxa" w:w="2592"/>
            <w:vAlign w:val="top"/>
          </w:tcPr>
          <w:p>
            <w:r>
              <w:rPr>
                <w:sz w:val="16"/>
              </w:rPr>
              <w:t>Added the missing implementation section requested by the authors.</w:t>
            </w:r>
          </w:p>
        </w:tc>
      </w:tr>
      <w:tr>
        <w:tc>
          <w:tcPr>
            <w:tcW w:type="dxa" w:w="2592"/>
            <w:vAlign w:val="top"/>
          </w:tcPr>
          <w:p>
            <w:r>
              <w:rPr>
                <w:sz w:val="16"/>
              </w:rPr>
              <w:t>44</w:t>
            </w:r>
          </w:p>
        </w:tc>
        <w:tc>
          <w:tcPr>
            <w:tcW w:type="dxa" w:w="2592"/>
            <w:vAlign w:val="top"/>
          </w:tcPr>
          <w:p>
            <w:r>
              <w:rPr>
                <w:sz w:val="16"/>
              </w:rPr>
              <w:t>Chapter 3 – Algorithm Implementation</w:t>
            </w:r>
          </w:p>
        </w:tc>
        <w:tc>
          <w:tcPr>
            <w:tcW w:type="dxa" w:w="2592"/>
            <w:vAlign w:val="top"/>
          </w:tcPr>
          <w:p>
            <w:r>
              <w:rPr>
                <w:sz w:val="16"/>
              </w:rPr>
              <w:t>Added: The implemented algorithm connects the web application to a seven-stage reconstruction and measurement pipeline. The FastAPI backend stores the uploaded video and scan record, places the scan identifier in an in-process queue, and uses one background worker to process queued reconstruction jobs sequentially. The frontend receives the scan identifier immediately and polls the stored progress fields while processing continues.</w:t>
            </w:r>
          </w:p>
        </w:tc>
        <w:tc>
          <w:tcPr>
            <w:tcW w:type="dxa" w:w="2592"/>
            <w:vAlign w:val="top"/>
          </w:tcPr>
          <w:p>
            <w:r>
              <w:rPr>
                <w:sz w:val="16"/>
              </w:rPr>
              <w:t>Documented the actual queue and progress behavior.</w:t>
            </w:r>
          </w:p>
        </w:tc>
      </w:tr>
      <w:tr>
        <w:tc>
          <w:tcPr>
            <w:tcW w:type="dxa" w:w="2592"/>
            <w:vAlign w:val="top"/>
          </w:tcPr>
          <w:p>
            <w:r>
              <w:rPr>
                <w:sz w:val="16"/>
              </w:rPr>
              <w:t>45</w:t>
            </w:r>
          </w:p>
        </w:tc>
        <w:tc>
          <w:tcPr>
            <w:tcW w:type="dxa" w:w="2592"/>
            <w:vAlign w:val="top"/>
          </w:tcPr>
          <w:p>
            <w:r>
              <w:rPr>
                <w:sz w:val="16"/>
              </w:rPr>
              <w:t>Chapter 3 – Algorithm Implementation</w:t>
            </w:r>
          </w:p>
        </w:tc>
        <w:tc>
          <w:tcPr>
            <w:tcW w:type="dxa" w:w="2592"/>
            <w:vAlign w:val="top"/>
          </w:tcPr>
          <w:p>
            <w:r>
              <w:rPr>
                <w:sz w:val="16"/>
              </w:rPr>
              <w:t>Added: Step 1 – Frame Extraction</w:t>
            </w:r>
          </w:p>
        </w:tc>
        <w:tc>
          <w:tcPr>
            <w:tcW w:type="dxa" w:w="2592"/>
            <w:vAlign w:val="top"/>
          </w:tcPr>
          <w:p>
            <w:r>
              <w:rPr>
                <w:sz w:val="16"/>
              </w:rPr>
              <w:t>Documented the first implemented pipeline stage.</w:t>
            </w:r>
          </w:p>
        </w:tc>
      </w:tr>
      <w:tr>
        <w:tc>
          <w:tcPr>
            <w:tcW w:type="dxa" w:w="2592"/>
            <w:vAlign w:val="top"/>
          </w:tcPr>
          <w:p>
            <w:r>
              <w:rPr>
                <w:sz w:val="16"/>
              </w:rPr>
              <w:t>46</w:t>
            </w:r>
          </w:p>
        </w:tc>
        <w:tc>
          <w:tcPr>
            <w:tcW w:type="dxa" w:w="2592"/>
            <w:vAlign w:val="top"/>
          </w:tcPr>
          <w:p>
            <w:r>
              <w:rPr>
                <w:sz w:val="16"/>
              </w:rPr>
              <w:t>Chapter 3 – Algorithm Implementation</w:t>
            </w:r>
          </w:p>
        </w:tc>
        <w:tc>
          <w:tcPr>
            <w:tcW w:type="dxa" w:w="2592"/>
            <w:vAlign w:val="top"/>
          </w:tcPr>
          <w:p>
            <w:r>
              <w:rPr>
                <w:sz w:val="16"/>
              </w:rPr>
              <w:t>Added: FFmpeg samples the uploaded video at two frames per second and writes sequential JPEG images to the scan input directory. The fixed sampling rate limits the number of images passed to reconstruction while preserving overlapping viewpoints when the capture protocol is followed.</w:t>
            </w:r>
          </w:p>
        </w:tc>
        <w:tc>
          <w:tcPr>
            <w:tcW w:type="dxa" w:w="2592"/>
            <w:vAlign w:val="top"/>
          </w:tcPr>
          <w:p>
            <w:r>
              <w:rPr>
                <w:sz w:val="16"/>
              </w:rPr>
              <w:t>Recorded the implemented two-frames-per-second setting.</w:t>
            </w:r>
          </w:p>
        </w:tc>
      </w:tr>
      <w:tr>
        <w:tc>
          <w:tcPr>
            <w:tcW w:type="dxa" w:w="2592"/>
            <w:vAlign w:val="top"/>
          </w:tcPr>
          <w:p>
            <w:r>
              <w:rPr>
                <w:sz w:val="16"/>
              </w:rPr>
              <w:t>47</w:t>
            </w:r>
          </w:p>
        </w:tc>
        <w:tc>
          <w:tcPr>
            <w:tcW w:type="dxa" w:w="2592"/>
            <w:vAlign w:val="top"/>
          </w:tcPr>
          <w:p>
            <w:r>
              <w:rPr>
                <w:sz w:val="16"/>
              </w:rPr>
              <w:t>Chapter 3 – Algorithm Implementation</w:t>
            </w:r>
          </w:p>
        </w:tc>
        <w:tc>
          <w:tcPr>
            <w:tcW w:type="dxa" w:w="2592"/>
            <w:vAlign w:val="top"/>
          </w:tcPr>
          <w:p>
            <w:r>
              <w:rPr>
                <w:sz w:val="16"/>
              </w:rPr>
              <w:t>Added: Step 2 – Camera-Pose Estimation and Sparse Reconstruction</w:t>
            </w:r>
          </w:p>
        </w:tc>
        <w:tc>
          <w:tcPr>
            <w:tcW w:type="dxa" w:w="2592"/>
            <w:vAlign w:val="top"/>
          </w:tcPr>
          <w:p>
            <w:r>
              <w:rPr>
                <w:sz w:val="16"/>
              </w:rPr>
              <w:t>Documented the second implemented pipeline stage.</w:t>
            </w:r>
          </w:p>
        </w:tc>
      </w:tr>
      <w:tr>
        <w:tc>
          <w:tcPr>
            <w:tcW w:type="dxa" w:w="2592"/>
            <w:vAlign w:val="top"/>
          </w:tcPr>
          <w:p>
            <w:r>
              <w:rPr>
                <w:sz w:val="16"/>
              </w:rPr>
              <w:t>48</w:t>
            </w:r>
          </w:p>
        </w:tc>
        <w:tc>
          <w:tcPr>
            <w:tcW w:type="dxa" w:w="2592"/>
            <w:vAlign w:val="top"/>
          </w:tcPr>
          <w:p>
            <w:r>
              <w:rPr>
                <w:sz w:val="16"/>
              </w:rPr>
              <w:t>Chapter 3 – Algorithm Implementation</w:t>
            </w:r>
          </w:p>
        </w:tc>
        <w:tc>
          <w:tcPr>
            <w:tcW w:type="dxa" w:w="2592"/>
            <w:vAlign w:val="top"/>
          </w:tcPr>
          <w:p>
            <w:r>
              <w:rPr>
                <w:sz w:val="16"/>
              </w:rPr>
              <w:t>Added: COLMAP processes the extracted frames to detect and match visual features, estimate camera poses, and generate the sparse scene model required by 3DGS. The application stores the numbers of extracted and registered frames and computes the registration rate. Failure to produce the required camera-pose output stops the scan and records the error.</w:t>
            </w:r>
          </w:p>
        </w:tc>
        <w:tc>
          <w:tcPr>
            <w:tcW w:type="dxa" w:w="2592"/>
            <w:vAlign w:val="top"/>
          </w:tcPr>
          <w:p>
            <w:r>
              <w:rPr>
                <w:sz w:val="16"/>
              </w:rPr>
              <w:t>Documented the COLMAP inputs, outputs, and failure behavior.</w:t>
            </w:r>
          </w:p>
        </w:tc>
      </w:tr>
      <w:tr>
        <w:tc>
          <w:tcPr>
            <w:tcW w:type="dxa" w:w="2592"/>
            <w:vAlign w:val="top"/>
          </w:tcPr>
          <w:p>
            <w:r>
              <w:rPr>
                <w:sz w:val="16"/>
              </w:rPr>
              <w:t>49</w:t>
            </w:r>
          </w:p>
        </w:tc>
        <w:tc>
          <w:tcPr>
            <w:tcW w:type="dxa" w:w="2592"/>
            <w:vAlign w:val="top"/>
          </w:tcPr>
          <w:p>
            <w:r>
              <w:rPr>
                <w:sz w:val="16"/>
              </w:rPr>
              <w:t>Chapter 3 – Algorithm Implementation</w:t>
            </w:r>
          </w:p>
        </w:tc>
        <w:tc>
          <w:tcPr>
            <w:tcW w:type="dxa" w:w="2592"/>
            <w:vAlign w:val="top"/>
          </w:tcPr>
          <w:p>
            <w:r>
              <w:rPr>
                <w:sz w:val="16"/>
              </w:rPr>
              <w:t>Added: Step 3 – 3D Gaussian Splatting Optimization and Preview Rendering</w:t>
            </w:r>
          </w:p>
        </w:tc>
        <w:tc>
          <w:tcPr>
            <w:tcW w:type="dxa" w:w="2592"/>
            <w:vAlign w:val="top"/>
          </w:tcPr>
          <w:p>
            <w:r>
              <w:rPr>
                <w:sz w:val="16"/>
              </w:rPr>
              <w:t>Documented the optimization settings and visualization output.</w:t>
            </w:r>
          </w:p>
        </w:tc>
      </w:tr>
      <w:tr>
        <w:tc>
          <w:tcPr>
            <w:tcW w:type="dxa" w:w="2592"/>
            <w:vAlign w:val="top"/>
          </w:tcPr>
          <w:p>
            <w:r>
              <w:rPr>
                <w:sz w:val="16"/>
              </w:rPr>
              <w:t>50</w:t>
            </w:r>
          </w:p>
        </w:tc>
        <w:tc>
          <w:tcPr>
            <w:tcW w:type="dxa" w:w="2592"/>
            <w:vAlign w:val="top"/>
          </w:tcPr>
          <w:p>
            <w:r>
              <w:rPr>
                <w:sz w:val="16"/>
              </w:rPr>
              <w:t>Chapter 3 – Algorithm Implementation</w:t>
            </w:r>
          </w:p>
        </w:tc>
        <w:tc>
          <w:tcPr>
            <w:tcW w:type="dxa" w:w="2592"/>
            <w:vAlign w:val="top"/>
          </w:tcPr>
          <w:p>
            <w:r>
              <w:rPr>
                <w:sz w:val="16"/>
              </w:rPr>
              <w:t>Added: The stock 3D Gaussian Splatting implementation uses the COLMAP output as initialization. The Gaussian model is optimized for 30,000 iterations with a resolution factor of 2, then the final saved representation is rendered to produce preview images. The Gaussian representation supports interactive viewing, but it is not treated as the validated measurement surface.</w:t>
            </w:r>
          </w:p>
        </w:tc>
        <w:tc>
          <w:tcPr>
            <w:tcW w:type="dxa" w:w="2592"/>
            <w:vAlign w:val="top"/>
          </w:tcPr>
          <w:p>
            <w:r>
              <w:rPr>
                <w:sz w:val="16"/>
              </w:rPr>
              <w:t>Recorded the actual iteration and resolution settings and the role of the splat representation.</w:t>
            </w:r>
          </w:p>
        </w:tc>
      </w:tr>
      <w:tr>
        <w:tc>
          <w:tcPr>
            <w:tcW w:type="dxa" w:w="2592"/>
            <w:vAlign w:val="top"/>
          </w:tcPr>
          <w:p>
            <w:r>
              <w:rPr>
                <w:sz w:val="16"/>
              </w:rPr>
              <w:t>51</w:t>
            </w:r>
          </w:p>
        </w:tc>
        <w:tc>
          <w:tcPr>
            <w:tcW w:type="dxa" w:w="2592"/>
            <w:vAlign w:val="top"/>
          </w:tcPr>
          <w:p>
            <w:r>
              <w:rPr>
                <w:sz w:val="16"/>
              </w:rPr>
              <w:t>Chapter 3 – Algorithm Implementation</w:t>
            </w:r>
          </w:p>
        </w:tc>
        <w:tc>
          <w:tcPr>
            <w:tcW w:type="dxa" w:w="2592"/>
            <w:vAlign w:val="top"/>
          </w:tcPr>
          <w:p>
            <w:r>
              <w:rPr>
                <w:sz w:val="16"/>
              </w:rPr>
              <w:t>Added: Step 4 – Three-Dimensional Wound Isolation</w:t>
            </w:r>
          </w:p>
        </w:tc>
        <w:tc>
          <w:tcPr>
            <w:tcW w:type="dxa" w:w="2592"/>
            <w:vAlign w:val="top"/>
          </w:tcPr>
          <w:p>
            <w:r>
              <w:rPr>
                <w:sz w:val="16"/>
              </w:rPr>
              <w:t>Documented the wound-isolation algorithm.</w:t>
            </w:r>
          </w:p>
        </w:tc>
      </w:tr>
      <w:tr>
        <w:tc>
          <w:tcPr>
            <w:tcW w:type="dxa" w:w="2592"/>
            <w:vAlign w:val="top"/>
          </w:tcPr>
          <w:p>
            <w:r>
              <w:rPr>
                <w:sz w:val="16"/>
              </w:rPr>
              <w:t>52</w:t>
            </w:r>
          </w:p>
        </w:tc>
        <w:tc>
          <w:tcPr>
            <w:tcW w:type="dxa" w:w="2592"/>
            <w:vAlign w:val="top"/>
          </w:tcPr>
          <w:p>
            <w:r>
              <w:rPr>
                <w:sz w:val="16"/>
              </w:rPr>
              <w:t>Chapter 3 – Algorithm Implementation</w:t>
            </w:r>
          </w:p>
        </w:tc>
        <w:tc>
          <w:tcPr>
            <w:tcW w:type="dxa" w:w="2592"/>
            <w:vAlign w:val="top"/>
          </w:tcPr>
          <w:p>
            <w:r>
              <w:rPr>
                <w:sz w:val="16"/>
              </w:rPr>
              <w:t>Added: The final point cloud is filtered by Gaussian opacity and statistical outlier removal. A scale-adaptive DBSCAN procedure groups the remaining points. When sufficient saturated red tissue evidence is available, the cluster with the strongest tissue-color support is selected; otherwise, the largest valid cluster is used. A surrounding periwound margin is retained because the measurement algorithm requires nearby skin points for reference-plane estimation. The isolated cloud is saved separately from the optional viewer-oriented splat filtering.</w:t>
            </w:r>
          </w:p>
        </w:tc>
        <w:tc>
          <w:tcPr>
            <w:tcW w:type="dxa" w:w="2592"/>
            <w:vAlign w:val="top"/>
          </w:tcPr>
          <w:p>
            <w:r>
              <w:rPr>
                <w:sz w:val="16"/>
              </w:rPr>
              <w:t>Described the implemented filtering, clustering, color evidence, and periwound margin.</w:t>
            </w:r>
          </w:p>
        </w:tc>
      </w:tr>
      <w:tr>
        <w:tc>
          <w:tcPr>
            <w:tcW w:type="dxa" w:w="2592"/>
            <w:vAlign w:val="top"/>
          </w:tcPr>
          <w:p>
            <w:r>
              <w:rPr>
                <w:sz w:val="16"/>
              </w:rPr>
              <w:t>53</w:t>
            </w:r>
          </w:p>
        </w:tc>
        <w:tc>
          <w:tcPr>
            <w:tcW w:type="dxa" w:w="2592"/>
            <w:vAlign w:val="top"/>
          </w:tcPr>
          <w:p>
            <w:r>
              <w:rPr>
                <w:sz w:val="16"/>
              </w:rPr>
              <w:t>Chapter 3 – Algorithm Implementation</w:t>
            </w:r>
          </w:p>
        </w:tc>
        <w:tc>
          <w:tcPr>
            <w:tcW w:type="dxa" w:w="2592"/>
            <w:vAlign w:val="top"/>
          </w:tcPr>
          <w:p>
            <w:r>
              <w:rPr>
                <w:sz w:val="16"/>
              </w:rPr>
              <w:t>Added: Step 5 – Scale Calibration and Geometric Measurement</w:t>
            </w:r>
          </w:p>
        </w:tc>
        <w:tc>
          <w:tcPr>
            <w:tcW w:type="dxa" w:w="2592"/>
            <w:vAlign w:val="top"/>
          </w:tcPr>
          <w:p>
            <w:r>
              <w:rPr>
                <w:sz w:val="16"/>
              </w:rPr>
              <w:t>Documented the calibration and measurement algorithm.</w:t>
            </w:r>
          </w:p>
        </w:tc>
      </w:tr>
      <w:tr>
        <w:tc>
          <w:tcPr>
            <w:tcW w:type="dxa" w:w="2592"/>
            <w:vAlign w:val="top"/>
          </w:tcPr>
          <w:p>
            <w:r>
              <w:rPr>
                <w:sz w:val="16"/>
              </w:rPr>
              <w:t>54</w:t>
            </w:r>
          </w:p>
        </w:tc>
        <w:tc>
          <w:tcPr>
            <w:tcW w:type="dxa" w:w="2592"/>
            <w:vAlign w:val="top"/>
          </w:tcPr>
          <w:p>
            <w:r>
              <w:rPr>
                <w:sz w:val="16"/>
              </w:rPr>
              <w:t>Chapter 3 – Algorithm Implementation</w:t>
            </w:r>
          </w:p>
        </w:tc>
        <w:tc>
          <w:tcPr>
            <w:tcW w:type="dxa" w:w="2592"/>
            <w:vAlign w:val="top"/>
          </w:tcPr>
          <w:p>
            <w:r>
              <w:rPr>
                <w:sz w:val="16"/>
              </w:rPr>
              <w:t>Added: When the user selected a supported bank card or coin as the reference type, the calibration routine estimates centimeters per reconstruction unit from the captured reference. Failure to obtain a reliable scale does not automatically fail the scan; the resulting size-dependent values remain uncalibrated. For measurement, statistical outliers are removed, a periwound reference plane is fitted with RANSAC, and point depths are computed relative to that plane. Cavity points are projected to the plane and rasterized into a median depth heightfield. Internal gaps are filled, the largest connected footprint is retained, and the system calculates planar wound opening area, cavity volume, maximum depth, and PCA-derived width and height. The optional Poisson mesh is used for visualization only.</w:t>
            </w:r>
          </w:p>
        </w:tc>
        <w:tc>
          <w:tcPr>
            <w:tcW w:type="dxa" w:w="2592"/>
            <w:vAlign w:val="top"/>
          </w:tcPr>
          <w:p>
            <w:r>
              <w:rPr>
                <w:sz w:val="16"/>
              </w:rPr>
              <w:t>Documented the implemented RANSAC, heightfield, calibration, and metric calculations.</w:t>
            </w:r>
          </w:p>
        </w:tc>
      </w:tr>
      <w:tr>
        <w:tc>
          <w:tcPr>
            <w:tcW w:type="dxa" w:w="2592"/>
            <w:vAlign w:val="top"/>
          </w:tcPr>
          <w:p>
            <w:r>
              <w:rPr>
                <w:sz w:val="16"/>
              </w:rPr>
              <w:t>55</w:t>
            </w:r>
          </w:p>
        </w:tc>
        <w:tc>
          <w:tcPr>
            <w:tcW w:type="dxa" w:w="2592"/>
            <w:vAlign w:val="top"/>
          </w:tcPr>
          <w:p>
            <w:r>
              <w:rPr>
                <w:sz w:val="16"/>
              </w:rPr>
              <w:t>Chapter 3 – Algorithm Implementation</w:t>
            </w:r>
          </w:p>
        </w:tc>
        <w:tc>
          <w:tcPr>
            <w:tcW w:type="dxa" w:w="2592"/>
            <w:vAlign w:val="top"/>
          </w:tcPr>
          <w:p>
            <w:r>
              <w:rPr>
                <w:sz w:val="16"/>
              </w:rPr>
              <w:t>Added: Step 6 – Tissue Characterization</w:t>
            </w:r>
          </w:p>
        </w:tc>
        <w:tc>
          <w:tcPr>
            <w:tcW w:type="dxa" w:w="2592"/>
            <w:vAlign w:val="top"/>
          </w:tcPr>
          <w:p>
            <w:r>
              <w:rPr>
                <w:sz w:val="16"/>
              </w:rPr>
              <w:t>Documented the separate tissue-analysis process.</w:t>
            </w:r>
          </w:p>
        </w:tc>
      </w:tr>
      <w:tr>
        <w:tc>
          <w:tcPr>
            <w:tcW w:type="dxa" w:w="2592"/>
            <w:vAlign w:val="top"/>
          </w:tcPr>
          <w:p>
            <w:r>
              <w:rPr>
                <w:sz w:val="16"/>
              </w:rPr>
              <w:t>56</w:t>
            </w:r>
          </w:p>
        </w:tc>
        <w:tc>
          <w:tcPr>
            <w:tcW w:type="dxa" w:w="2592"/>
            <w:vAlign w:val="top"/>
          </w:tcPr>
          <w:p>
            <w:r>
              <w:rPr>
                <w:sz w:val="16"/>
              </w:rPr>
              <w:t>Chapter 3 – Algorithm Implementation</w:t>
            </w:r>
          </w:p>
        </w:tc>
        <w:tc>
          <w:tcPr>
            <w:tcW w:type="dxa" w:w="2592"/>
            <w:vAlign w:val="top"/>
          </w:tcPr>
          <w:p>
            <w:r>
              <w:rPr>
                <w:sz w:val="16"/>
              </w:rPr>
              <w:t>Added: After reconstruction, the operator opens a selected frame and draws a rectangular region containing the wound. The region is resized to 256 × 256 pixels and processed by a U-Net-style model with a MiT-b3 encoder, scSE attention, and four output classes: background, fibrin, granulation, and callus. The predicted class mask is resized back to the selected region. Tissue percentages use predicted non-background pixels as the denominator. If fewer than one percent of the selected pixels are predicted as wound tissue, the system records a no-wound result and withholds the three percentages. The selected frame, region, overlay, wound fraction, and result are stored for traceability.</w:t>
            </w:r>
          </w:p>
        </w:tc>
        <w:tc>
          <w:tcPr>
            <w:tcW w:type="dxa" w:w="2592"/>
            <w:vAlign w:val="top"/>
          </w:tcPr>
          <w:p>
            <w:r>
              <w:rPr>
                <w:sz w:val="16"/>
              </w:rPr>
              <w:t>Documented the actual model, preprocessing, denominator, threshold, and stored outputs.</w:t>
            </w:r>
          </w:p>
        </w:tc>
      </w:tr>
      <w:tr>
        <w:tc>
          <w:tcPr>
            <w:tcW w:type="dxa" w:w="2592"/>
            <w:vAlign w:val="top"/>
          </w:tcPr>
          <w:p>
            <w:r>
              <w:rPr>
                <w:sz w:val="16"/>
              </w:rPr>
              <w:t>57</w:t>
            </w:r>
          </w:p>
        </w:tc>
        <w:tc>
          <w:tcPr>
            <w:tcW w:type="dxa" w:w="2592"/>
            <w:vAlign w:val="top"/>
          </w:tcPr>
          <w:p>
            <w:r>
              <w:rPr>
                <w:sz w:val="16"/>
              </w:rPr>
              <w:t>Chapter 3 – Algorithm Implementation</w:t>
            </w:r>
          </w:p>
        </w:tc>
        <w:tc>
          <w:tcPr>
            <w:tcW w:type="dxa" w:w="2592"/>
            <w:vAlign w:val="top"/>
          </w:tcPr>
          <w:p>
            <w:r>
              <w:rPr>
                <w:sz w:val="16"/>
              </w:rPr>
              <w:t>Added: Step 7 – Persistence, Visualization, and Reporting</w:t>
            </w:r>
          </w:p>
        </w:tc>
        <w:tc>
          <w:tcPr>
            <w:tcW w:type="dxa" w:w="2592"/>
            <w:vAlign w:val="top"/>
          </w:tcPr>
          <w:p>
            <w:r>
              <w:rPr>
                <w:sz w:val="16"/>
              </w:rPr>
              <w:t>Documented final output handling.</w:t>
            </w:r>
          </w:p>
        </w:tc>
      </w:tr>
      <w:tr>
        <w:tc>
          <w:tcPr>
            <w:tcW w:type="dxa" w:w="2592"/>
            <w:vAlign w:val="top"/>
          </w:tcPr>
          <w:p>
            <w:r>
              <w:rPr>
                <w:sz w:val="16"/>
              </w:rPr>
              <w:t>58</w:t>
            </w:r>
          </w:p>
        </w:tc>
        <w:tc>
          <w:tcPr>
            <w:tcW w:type="dxa" w:w="2592"/>
            <w:vAlign w:val="top"/>
          </w:tcPr>
          <w:p>
            <w:r>
              <w:rPr>
                <w:sz w:val="16"/>
              </w:rPr>
              <w:t>Chapter 3 – Algorithm Implementation</w:t>
            </w:r>
          </w:p>
        </w:tc>
        <w:tc>
          <w:tcPr>
            <w:tcW w:type="dxa" w:w="2592"/>
            <w:vAlign w:val="top"/>
          </w:tcPr>
          <w:p>
            <w:r>
              <w:rPr>
                <w:sz w:val="16"/>
              </w:rPr>
              <w:t>Added: Structured patient, scan, measurement, and tissue-result data are stored in SQLite, while uploaded videos and generated files remain in scan-specific file-system directories. The browser retrieves the available point cloud, optional mesh, or Gaussian representation for interactive viewing. ReportLab generates the initial PDF after geometric measurement, and the report is rebuilt after successful tissue analysis. Required-stage exceptions mark the scan as failed and allow the worker to continue to the next queued scan. Longitudinal registration and Wagner and University of Texas classification support are not part of this implemented algorithm and remain planned for Thesis 2.</w:t>
            </w:r>
          </w:p>
        </w:tc>
        <w:tc>
          <w:tcPr>
            <w:tcW w:type="dxa" w:w="2592"/>
            <w:vAlign w:val="top"/>
          </w:tcPr>
          <w:p>
            <w:r>
              <w:rPr>
                <w:sz w:val="16"/>
              </w:rPr>
              <w:t>Documented storage, viewing, reporting, error handling, and the Thesis 2 boundary.</w:t>
            </w:r>
          </w:p>
        </w:tc>
      </w:tr>
      <w:tr>
        <w:tc>
          <w:tcPr>
            <w:tcW w:type="dxa" w:w="2592"/>
            <w:vAlign w:val="top"/>
          </w:tcPr>
          <w:p>
            <w:r>
              <w:rPr>
                <w:sz w:val="16"/>
              </w:rPr>
              <w:t>59</w:t>
            </w:r>
          </w:p>
        </w:tc>
        <w:tc>
          <w:tcPr>
            <w:tcW w:type="dxa" w:w="2592"/>
            <w:vAlign w:val="top"/>
          </w:tcPr>
          <w:p>
            <w:r>
              <w:rPr>
                <w:sz w:val="16"/>
              </w:rPr>
              <w:t>Chapter 3 – Constraint Definition</w:t>
            </w:r>
          </w:p>
        </w:tc>
        <w:tc>
          <w:tcPr>
            <w:tcW w:type="dxa" w:w="2592"/>
            <w:vAlign w:val="top"/>
          </w:tcPr>
          <w:p>
            <w:r>
              <w:rPr>
                <w:sz w:val="16"/>
              </w:rPr>
              <w:t>Before: This section defines the criteria that will be used to evaluate the Wound-Splat framework under its hardware, reconstruction, measurement, and dataset constraints. The evaluation focuses on processing time, image-registration success, and geometric measurem...</w:t>
              <w:br/>
              <w:t>After: This section defines the criteria that will be used to evaluate the Wound-Splat framework under its hardware, reconstruction, measurement, and dataset constraints. The evaluation focuses on processing time, image-registration success, geometric measurement error, scale calibration, tissue-segmentation performance, and pipeline reliabil...</w:t>
            </w:r>
          </w:p>
        </w:tc>
        <w:tc>
          <w:tcPr>
            <w:tcW w:type="dxa" w:w="2592"/>
            <w:vAlign w:val="top"/>
          </w:tcPr>
          <w:p>
            <w:r>
              <w:rPr>
                <w:sz w:val="16"/>
              </w:rPr>
              <w:t>Corrected grammar and a typographical error.</w:t>
            </w:r>
          </w:p>
        </w:tc>
      </w:tr>
      <w:tr>
        <w:tc>
          <w:tcPr>
            <w:tcW w:type="dxa" w:w="2592"/>
            <w:vAlign w:val="top"/>
          </w:tcPr>
          <w:p>
            <w:r>
              <w:rPr>
                <w:sz w:val="16"/>
              </w:rPr>
              <w:t>60</w:t>
            </w:r>
          </w:p>
        </w:tc>
        <w:tc>
          <w:tcPr>
            <w:tcW w:type="dxa" w:w="2592"/>
            <w:vAlign w:val="top"/>
          </w:tcPr>
          <w:p>
            <w:r>
              <w:rPr>
                <w:sz w:val="16"/>
              </w:rPr>
              <w:t>Chapter 3 – Formula 1</w:t>
            </w:r>
          </w:p>
        </w:tc>
        <w:tc>
          <w:tcPr>
            <w:tcW w:type="dxa" w:w="2592"/>
            <w:vAlign w:val="top"/>
          </w:tcPr>
          <w:p>
            <w:r>
              <w:rPr>
                <w:sz w:val="16"/>
              </w:rPr>
              <w:t>Before: Queue waiting time must be recorded separately because the system processes reconstruction jobs sequentially. This prevents scans waiting in the queue from being interpreted as having longer computational processing times.</w:t>
              <w:br/>
              <w:t>After: Queue waiting time must be recorded separately because the system processes reconstruction jobs sequentially. The current schema stores submission and completion times but does not yet store a dedicated active-processing start time; a started-at timestamp or an equivalent controlled timing log must therefore be added before Formula 1 i...</w:t>
            </w:r>
          </w:p>
        </w:tc>
        <w:tc>
          <w:tcPr>
            <w:tcW w:type="dxa" w:w="2592"/>
            <w:vAlign w:val="top"/>
          </w:tcPr>
          <w:p>
            <w:r>
              <w:rPr>
                <w:sz w:val="16"/>
              </w:rPr>
              <w:t>Identified the instrumentation required to calculate active processing time correctly.</w:t>
            </w:r>
          </w:p>
        </w:tc>
      </w:tr>
      <w:tr>
        <w:tc>
          <w:tcPr>
            <w:tcW w:type="dxa" w:w="2592"/>
            <w:vAlign w:val="top"/>
          </w:tcPr>
          <w:p>
            <w:r>
              <w:rPr>
                <w:sz w:val="16"/>
              </w:rPr>
              <w:t>61</w:t>
            </w:r>
          </w:p>
        </w:tc>
        <w:tc>
          <w:tcPr>
            <w:tcW w:type="dxa" w:w="2592"/>
            <w:vAlign w:val="top"/>
          </w:tcPr>
          <w:p>
            <w:r>
              <w:rPr>
                <w:sz w:val="16"/>
              </w:rPr>
              <w:t>Chapter 3 – Formula 4</w:t>
            </w:r>
          </w:p>
        </w:tc>
        <w:tc>
          <w:tcPr>
            <w:tcW w:type="dxa" w:w="2592"/>
            <w:vAlign w:val="top"/>
          </w:tcPr>
          <w:p>
            <w:r>
              <w:rPr>
                <w:sz w:val="16"/>
              </w:rPr>
              <w:t xml:space="preserve">Before: </w:t>
              <w:tab/>
              <w:t>The current synthetic-phantom test uses a maximum error tolerance of 10% for each evaluated geometric quantity. This criterion verifies the internal measurement calculations for the analytically defined point cloud. It does not validated the complete smart...</w:t>
              <w:br/>
              <w:t>After: The current synthetic-phantom test uses a maximum error tolerance of 10% for each evaluated geometric quantity. MAPE will be reported separately for planar opening area, cavity volume, maximum depth, width, and height before any overall summary is calculated. This criterion verifies the measurement calculations for analytically defined...</w:t>
            </w:r>
          </w:p>
        </w:tc>
        <w:tc>
          <w:tcPr>
            <w:tcW w:type="dxa" w:w="2592"/>
            <w:vAlign w:val="top"/>
          </w:tcPr>
          <w:p>
            <w:r>
              <w:rPr>
                <w:sz w:val="16"/>
              </w:rPr>
              <w:t>Corrected grammar and specified that MAPE is calculated per metric.</w:t>
            </w:r>
          </w:p>
        </w:tc>
      </w:tr>
      <w:tr>
        <w:tc>
          <w:tcPr>
            <w:tcW w:type="dxa" w:w="2592"/>
            <w:vAlign w:val="top"/>
          </w:tcPr>
          <w:p>
            <w:r>
              <w:rPr>
                <w:sz w:val="16"/>
              </w:rPr>
              <w:t>62</w:t>
            </w:r>
          </w:p>
        </w:tc>
        <w:tc>
          <w:tcPr>
            <w:tcW w:type="dxa" w:w="2592"/>
            <w:vAlign w:val="top"/>
          </w:tcPr>
          <w:p>
            <w:r>
              <w:rPr>
                <w:sz w:val="16"/>
              </w:rPr>
              <w:t>Chapter 3 – Formula 5</w:t>
            </w:r>
          </w:p>
        </w:tc>
        <w:tc>
          <w:tcPr>
            <w:tcW w:type="dxa" w:w="2592"/>
            <w:vAlign w:val="top"/>
          </w:tcPr>
          <w:p>
            <w:r>
              <w:rPr>
                <w:sz w:val="16"/>
              </w:rPr>
              <w:t>Before: s = Lreal / Lmodel</w:t>
              <w:br/>
              <w:t>After: s = Lref,real / Lref,model</w:t>
            </w:r>
          </w:p>
        </w:tc>
        <w:tc>
          <w:tcPr>
            <w:tcW w:type="dxa" w:w="2592"/>
            <w:vAlign w:val="top"/>
          </w:tcPr>
          <w:p>
            <w:r>
              <w:rPr>
                <w:sz w:val="16"/>
              </w:rPr>
              <w:t>Distinguished the reference-object dimension from a measured wound length.</w:t>
            </w:r>
          </w:p>
        </w:tc>
      </w:tr>
      <w:tr>
        <w:tc>
          <w:tcPr>
            <w:tcW w:type="dxa" w:w="2592"/>
            <w:vAlign w:val="top"/>
          </w:tcPr>
          <w:p>
            <w:r>
              <w:rPr>
                <w:sz w:val="16"/>
              </w:rPr>
              <w:t>63</w:t>
            </w:r>
          </w:p>
        </w:tc>
        <w:tc>
          <w:tcPr>
            <w:tcW w:type="dxa" w:w="2592"/>
            <w:vAlign w:val="top"/>
          </w:tcPr>
          <w:p>
            <w:r>
              <w:rPr>
                <w:sz w:val="16"/>
              </w:rPr>
              <w:t>Chapter 3 – Formula 5</w:t>
            </w:r>
          </w:p>
        </w:tc>
        <w:tc>
          <w:tcPr>
            <w:tcW w:type="dxa" w:w="2592"/>
            <w:vAlign w:val="top"/>
          </w:tcPr>
          <w:p>
            <w:r>
              <w:rPr>
                <w:sz w:val="16"/>
              </w:rPr>
              <w:t>Before: Lreal = known physical dimension of the reference object; and</w:t>
              <w:br/>
              <w:t>After: Lref,real = known physical dimension of the reference object; and</w:t>
            </w:r>
          </w:p>
        </w:tc>
        <w:tc>
          <w:tcPr>
            <w:tcW w:type="dxa" w:w="2592"/>
            <w:vAlign w:val="top"/>
          </w:tcPr>
          <w:p>
            <w:r>
              <w:rPr>
                <w:sz w:val="16"/>
              </w:rPr>
              <w:t>Matched the variable definition to the revised equation.</w:t>
            </w:r>
          </w:p>
        </w:tc>
      </w:tr>
      <w:tr>
        <w:tc>
          <w:tcPr>
            <w:tcW w:type="dxa" w:w="2592"/>
            <w:vAlign w:val="top"/>
          </w:tcPr>
          <w:p>
            <w:r>
              <w:rPr>
                <w:sz w:val="16"/>
              </w:rPr>
              <w:t>64</w:t>
            </w:r>
          </w:p>
        </w:tc>
        <w:tc>
          <w:tcPr>
            <w:tcW w:type="dxa" w:w="2592"/>
            <w:vAlign w:val="top"/>
          </w:tcPr>
          <w:p>
            <w:r>
              <w:rPr>
                <w:sz w:val="16"/>
              </w:rPr>
              <w:t>Chapter 3 – Formula 5</w:t>
            </w:r>
          </w:p>
        </w:tc>
        <w:tc>
          <w:tcPr>
            <w:tcW w:type="dxa" w:w="2592"/>
            <w:vAlign w:val="top"/>
          </w:tcPr>
          <w:p>
            <w:r>
              <w:rPr>
                <w:sz w:val="16"/>
              </w:rPr>
              <w:t>Before: Lmodel = corresponding reference-object dimension measured in reconstruction units.</w:t>
              <w:br/>
              <w:t>After: Lref,model = corresponding reference-object dimension measured in reconstruction units.</w:t>
            </w:r>
          </w:p>
        </w:tc>
        <w:tc>
          <w:tcPr>
            <w:tcW w:type="dxa" w:w="2592"/>
            <w:vAlign w:val="top"/>
          </w:tcPr>
          <w:p>
            <w:r>
              <w:rPr>
                <w:sz w:val="16"/>
              </w:rPr>
              <w:t>Matched the variable definition to the revised equation.</w:t>
            </w:r>
          </w:p>
        </w:tc>
      </w:tr>
      <w:tr>
        <w:tc>
          <w:tcPr>
            <w:tcW w:type="dxa" w:w="2592"/>
            <w:vAlign w:val="top"/>
          </w:tcPr>
          <w:p>
            <w:r>
              <w:rPr>
                <w:sz w:val="16"/>
              </w:rPr>
              <w:t>65</w:t>
            </w:r>
          </w:p>
        </w:tc>
        <w:tc>
          <w:tcPr>
            <w:tcW w:type="dxa" w:w="2592"/>
            <w:vAlign w:val="top"/>
          </w:tcPr>
          <w:p>
            <w:r>
              <w:rPr>
                <w:sz w:val="16"/>
              </w:rPr>
              <w:t>Chapter 3 – Formula 5</w:t>
            </w:r>
          </w:p>
        </w:tc>
        <w:tc>
          <w:tcPr>
            <w:tcW w:type="dxa" w:w="2592"/>
            <w:vAlign w:val="top"/>
          </w:tcPr>
          <w:p>
            <w:r>
              <w:rPr>
                <w:sz w:val="16"/>
              </w:rPr>
              <w:t>Before: Lcm = s × Lmodel</w:t>
              <w:br/>
              <w:t>After: Lcm = s × Lmeasured</w:t>
            </w:r>
          </w:p>
        </w:tc>
        <w:tc>
          <w:tcPr>
            <w:tcW w:type="dxa" w:w="2592"/>
            <w:vAlign w:val="top"/>
          </w:tcPr>
          <w:p>
            <w:r>
              <w:rPr>
                <w:sz w:val="16"/>
              </w:rPr>
              <w:t>Prevented the reference-object variable from being reused for a wound measurement.</w:t>
            </w:r>
          </w:p>
        </w:tc>
      </w:tr>
      <w:tr>
        <w:tc>
          <w:tcPr>
            <w:tcW w:type="dxa" w:w="2592"/>
            <w:vAlign w:val="top"/>
          </w:tcPr>
          <w:p>
            <w:r>
              <w:rPr>
                <w:sz w:val="16"/>
              </w:rPr>
              <w:t>66</w:t>
            </w:r>
          </w:p>
        </w:tc>
        <w:tc>
          <w:tcPr>
            <w:tcW w:type="dxa" w:w="2592"/>
            <w:vAlign w:val="top"/>
          </w:tcPr>
          <w:p>
            <w:r>
              <w:rPr>
                <w:sz w:val="16"/>
              </w:rPr>
              <w:t>Chapter 3 – Formula 5</w:t>
            </w:r>
          </w:p>
        </w:tc>
        <w:tc>
          <w:tcPr>
            <w:tcW w:type="dxa" w:w="2592"/>
            <w:vAlign w:val="top"/>
          </w:tcPr>
          <w:p>
            <w:r>
              <w:rPr>
                <w:sz w:val="16"/>
              </w:rPr>
              <w:t>Before: Lcm = calibrated length or depth in centimeters;</w:t>
              <w:br/>
              <w:t>After: Lmeasured = wound length or depth in reconstruction units; and Lcm = calibrated length or depth in centimeters;</w:t>
            </w:r>
          </w:p>
        </w:tc>
        <w:tc>
          <w:tcPr>
            <w:tcW w:type="dxa" w:w="2592"/>
            <w:vAlign w:val="top"/>
          </w:tcPr>
          <w:p>
            <w:r>
              <w:rPr>
                <w:sz w:val="16"/>
              </w:rPr>
              <w:t>Defined the distinct wound-measurement variable used in the conversion.</w:t>
            </w:r>
          </w:p>
        </w:tc>
      </w:tr>
      <w:tr>
        <w:tc>
          <w:tcPr>
            <w:tcW w:type="dxa" w:w="2592"/>
            <w:vAlign w:val="top"/>
          </w:tcPr>
          <w:p>
            <w:r>
              <w:rPr>
                <w:sz w:val="16"/>
              </w:rPr>
              <w:t>67</w:t>
            </w:r>
          </w:p>
        </w:tc>
        <w:tc>
          <w:tcPr>
            <w:tcW w:type="dxa" w:w="2592"/>
            <w:vAlign w:val="top"/>
          </w:tcPr>
          <w:p>
            <w:r>
              <w:rPr>
                <w:sz w:val="16"/>
              </w:rPr>
              <w:t>Chapter 3 – Formulas 6 and 7</w:t>
            </w:r>
          </w:p>
        </w:tc>
        <w:tc>
          <w:tcPr>
            <w:tcW w:type="dxa" w:w="2592"/>
            <w:vAlign w:val="top"/>
          </w:tcPr>
          <w:p>
            <w:r>
              <w:rPr>
                <w:sz w:val="16"/>
              </w:rPr>
              <w:t>Before: Dice and intersection over union will be reported for the available tissue classes. Their interpretation must consider that the DFUTissue contains only 110 labeled images and does not provide labels for every tissue appearance that may occur in clinical wou...</w:t>
              <w:br/>
              <w:t>After: Dice and Intersection over Union will be calculated from pooled test-set pixels for background, fibrin, granulation, and callus. The reported mean tissue score will exclude background and will omit a tissue class only when it is absent from both the prediction and the ground truth. Interpretation must consider that DFUTissue contains o...</w:t>
            </w:r>
          </w:p>
        </w:tc>
        <w:tc>
          <w:tcPr>
            <w:tcW w:type="dxa" w:w="2592"/>
            <w:vAlign w:val="top"/>
          </w:tcPr>
          <w:p>
            <w:r>
              <w:rPr>
                <w:sz w:val="16"/>
              </w:rPr>
              <w:t>Specified the actual averaging and absent-class rules used by the implementation.</w:t>
            </w:r>
          </w:p>
        </w:tc>
      </w:tr>
      <w:tr>
        <w:tc>
          <w:tcPr>
            <w:tcW w:type="dxa" w:w="2592"/>
            <w:vAlign w:val="top"/>
          </w:tcPr>
          <w:p>
            <w:r>
              <w:rPr>
                <w:sz w:val="16"/>
              </w:rPr>
              <w:t>68</w:t>
            </w:r>
          </w:p>
        </w:tc>
        <w:tc>
          <w:tcPr>
            <w:tcW w:type="dxa" w:w="2592"/>
            <w:vAlign w:val="top"/>
          </w:tcPr>
          <w:p>
            <w:r>
              <w:rPr>
                <w:sz w:val="16"/>
              </w:rPr>
              <w:t>Chapter 3 – Design Trade-offs</w:t>
            </w:r>
          </w:p>
        </w:tc>
        <w:tc>
          <w:tcPr>
            <w:tcW w:type="dxa" w:w="2592"/>
            <w:vAlign w:val="top"/>
          </w:tcPr>
          <w:p>
            <w:r>
              <w:rPr>
                <w:sz w:val="16"/>
              </w:rPr>
              <w:t xml:space="preserve">Before: </w:t>
              <w:tab/>
              <w:t>The selected pipeline combines COLMAP Structure-from-Motion with 3D Gaussian Splatting. COLMAP estimates the camera positions and produces the sparse initialization required by the 3DGS optimization. The Guassian-splat representation is then used in the br...</w:t>
              <w:br/>
              <w:t>After: The selected pipeline combines COLMAP Structure from Motion with 3D Gaussian Splatting. COLMAP estimates the camera positions and produces the sparse initialization required by 3DGS optimization. The Gaussian-splat representation is used in the browser viewer because it supports interactive inspection from different viewpoints.</w:t>
            </w:r>
          </w:p>
        </w:tc>
        <w:tc>
          <w:tcPr>
            <w:tcW w:type="dxa" w:w="2592"/>
            <w:vAlign w:val="top"/>
          </w:tcPr>
          <w:p>
            <w:r>
              <w:rPr>
                <w:sz w:val="16"/>
              </w:rPr>
              <w:t>Corrected spelling and terminology.</w:t>
            </w:r>
          </w:p>
        </w:tc>
      </w:tr>
      <w:tr>
        <w:tc>
          <w:tcPr>
            <w:tcW w:type="dxa" w:w="2592"/>
            <w:vAlign w:val="top"/>
          </w:tcPr>
          <w:p>
            <w:r>
              <w:rPr>
                <w:sz w:val="16"/>
              </w:rPr>
              <w:t>69</w:t>
            </w:r>
          </w:p>
        </w:tc>
        <w:tc>
          <w:tcPr>
            <w:tcW w:type="dxa" w:w="2592"/>
            <w:vAlign w:val="top"/>
          </w:tcPr>
          <w:p>
            <w:r>
              <w:rPr>
                <w:sz w:val="16"/>
              </w:rPr>
              <w:t>Chapter 3 – Design Trade-offs</w:t>
            </w:r>
          </w:p>
        </w:tc>
        <w:tc>
          <w:tcPr>
            <w:tcW w:type="dxa" w:w="2592"/>
            <w:vAlign w:val="top"/>
          </w:tcPr>
          <w:p>
            <w:r>
              <w:rPr>
                <w:sz w:val="16"/>
              </w:rPr>
              <w:t xml:space="preserve">Before: </w:t>
              <w:tab/>
              <w:t>The point-cloud heightfield was selected as the measurement representation because the optional POssing mesh may smooth the wound boundary or artificially close gaps in the reconstructed surface. The heightfield estimates the wound cavity relative to a ref...</w:t>
              <w:br/>
              <w:t>After: The point-cloud heightfield was selected as the measurement representation because the optional Poisson mesh may smooth the wound boundary or artificially close gaps in the reconstructed surface. The heightfield estimates the wound cavity relative to a reference plane fitted to the surrounding periwound region. However, this method ass...</w:t>
            </w:r>
          </w:p>
        </w:tc>
        <w:tc>
          <w:tcPr>
            <w:tcW w:type="dxa" w:w="2592"/>
            <w:vAlign w:val="top"/>
          </w:tcPr>
          <w:p>
            <w:r>
              <w:rPr>
                <w:sz w:val="16"/>
              </w:rPr>
              <w:t>Corrected the Poisson spelling.</w:t>
            </w:r>
          </w:p>
        </w:tc>
      </w:tr>
      <w:tr>
        <w:tc>
          <w:tcPr>
            <w:tcW w:type="dxa" w:w="2592"/>
            <w:vAlign w:val="top"/>
          </w:tcPr>
          <w:p>
            <w:r>
              <w:rPr>
                <w:sz w:val="16"/>
              </w:rPr>
              <w:t>70</w:t>
            </w:r>
          </w:p>
        </w:tc>
        <w:tc>
          <w:tcPr>
            <w:tcW w:type="dxa" w:w="2592"/>
            <w:vAlign w:val="top"/>
          </w:tcPr>
          <w:p>
            <w:r>
              <w:rPr>
                <w:sz w:val="16"/>
              </w:rPr>
              <w:t>Chapter 3 – Design Trade-offs</w:t>
            </w:r>
          </w:p>
        </w:tc>
        <w:tc>
          <w:tcPr>
            <w:tcW w:type="dxa" w:w="2592"/>
            <w:vAlign w:val="top"/>
          </w:tcPr>
          <w:p>
            <w:r>
              <w:rPr>
                <w:sz w:val="16"/>
              </w:rPr>
              <w:t>Before: For two-dimensional tissue characterization, the system uses an operator-selected rectangular region. This allows the clinician to identify the relevant wound region without requiring a separate automatic wound-localization model. However, the resulting tis...</w:t>
              <w:br/>
              <w:t>After: For two-dimensional tissue characterization, the system uses an operator-selected rectangular region. This allows the operator to identify the relevant wound region without requiring a separate automatic wound-localization model. Because the resulting tissue percentages may change with the selected frame or region, the selected frame, ...</w:t>
            </w:r>
          </w:p>
        </w:tc>
        <w:tc>
          <w:tcPr>
            <w:tcW w:type="dxa" w:w="2592"/>
            <w:vAlign w:val="top"/>
          </w:tcPr>
          <w:p>
            <w:r>
              <w:rPr>
                <w:sz w:val="16"/>
              </w:rPr>
              <w:t>Corrected a run-on sentence and avoided assuming the operator is necessarily a clinician.</w:t>
            </w:r>
          </w:p>
        </w:tc>
      </w:tr>
      <w:tr>
        <w:tc>
          <w:tcPr>
            <w:tcW w:type="dxa" w:w="2592"/>
            <w:vAlign w:val="top"/>
          </w:tcPr>
          <w:p>
            <w:r>
              <w:rPr>
                <w:sz w:val="16"/>
              </w:rPr>
              <w:t>71</w:t>
            </w:r>
          </w:p>
        </w:tc>
        <w:tc>
          <w:tcPr>
            <w:tcW w:type="dxa" w:w="2592"/>
            <w:vAlign w:val="top"/>
          </w:tcPr>
          <w:p>
            <w:r>
              <w:rPr>
                <w:sz w:val="16"/>
              </w:rPr>
              <w:t>Chapter 3 – Trade-off Analysis</w:t>
            </w:r>
          </w:p>
        </w:tc>
        <w:tc>
          <w:tcPr>
            <w:tcW w:type="dxa" w:w="2592"/>
            <w:vAlign w:val="top"/>
          </w:tcPr>
          <w:p>
            <w:r>
              <w:rPr>
                <w:sz w:val="16"/>
              </w:rPr>
              <w:t xml:space="preserve">Before: </w:t>
              <w:tab/>
              <w:t>The criteria will include geometric measurement error, processing time, peak GPU-memory consumption, registration rate, completion rate, Dice, and Intersection over Union are considered benefit criteria because higher values are preferred.</w:t>
              <w:br/>
              <w:t>After: The cost criteria are geometric measurement error, processing time, and peak GPU-memory consumption, for which lower values are preferred. The benefit criteria are registration rate, pipeline completion rate, Dice, and Intersection over Union, for which higher values are preferred.</w:t>
            </w:r>
          </w:p>
        </w:tc>
        <w:tc>
          <w:tcPr>
            <w:tcW w:type="dxa" w:w="2592"/>
            <w:vAlign w:val="top"/>
          </w:tcPr>
          <w:p>
            <w:r>
              <w:rPr>
                <w:sz w:val="16"/>
              </w:rPr>
              <w:t>Corrected the criterion classification and sentence structure.</w:t>
            </w:r>
          </w:p>
        </w:tc>
      </w:tr>
      <w:tr>
        <w:tc>
          <w:tcPr>
            <w:tcW w:type="dxa" w:w="2592"/>
            <w:vAlign w:val="top"/>
          </w:tcPr>
          <w:p>
            <w:r>
              <w:rPr>
                <w:sz w:val="16"/>
              </w:rPr>
              <w:t>72</w:t>
            </w:r>
          </w:p>
        </w:tc>
        <w:tc>
          <w:tcPr>
            <w:tcW w:type="dxa" w:w="2592"/>
            <w:vAlign w:val="top"/>
          </w:tcPr>
          <w:p>
            <w:r>
              <w:rPr>
                <w:sz w:val="16"/>
              </w:rPr>
              <w:t>Chapter 3 – Trade-off Analysis</w:t>
            </w:r>
          </w:p>
        </w:tc>
        <w:tc>
          <w:tcPr>
            <w:tcW w:type="dxa" w:w="2592"/>
            <w:vAlign w:val="top"/>
          </w:tcPr>
          <w:p>
            <w:r>
              <w:rPr>
                <w:sz w:val="16"/>
              </w:rPr>
              <w:t>Before: The configuration with the highest observed value receives a rank of 10.</w:t>
              <w:br/>
              <w:t>After: The configuration with the highest observed value receives a rank of 10. Tied best values receive the same rank. If all compared values are zero or a configuration fails to produce a valid value, the result will be reported as not applicable or failed rather than entered into a formula with an undefined denominator.</w:t>
            </w:r>
          </w:p>
        </w:tc>
        <w:tc>
          <w:tcPr>
            <w:tcW w:type="dxa" w:w="2592"/>
            <w:vAlign w:val="top"/>
          </w:tcPr>
          <w:p>
            <w:r>
              <w:rPr>
                <w:sz w:val="16"/>
              </w:rPr>
              <w:t>Added rules for ties, zeros, and failed configurations.</w:t>
            </w:r>
          </w:p>
        </w:tc>
      </w:tr>
      <w:tr>
        <w:tc>
          <w:tcPr>
            <w:tcW w:type="dxa" w:w="2592"/>
            <w:vAlign w:val="top"/>
          </w:tcPr>
          <w:p>
            <w:r>
              <w:rPr>
                <w:sz w:val="16"/>
              </w:rPr>
              <w:t>73</w:t>
            </w:r>
          </w:p>
        </w:tc>
        <w:tc>
          <w:tcPr>
            <w:tcW w:type="dxa" w:w="2592"/>
            <w:vAlign w:val="top"/>
          </w:tcPr>
          <w:p>
            <w:r>
              <w:rPr>
                <w:sz w:val="16"/>
              </w:rPr>
              <w:t>Chapter 3 – Sensitivity Analysis</w:t>
            </w:r>
          </w:p>
        </w:tc>
        <w:tc>
          <w:tcPr>
            <w:tcW w:type="dxa" w:w="2592"/>
            <w:vAlign w:val="top"/>
          </w:tcPr>
          <w:p>
            <w:r>
              <w:rPr>
                <w:sz w:val="16"/>
              </w:rPr>
              <w:t xml:space="preserve">Before: </w:t>
              <w:tab/>
              <w:t>Each criterion will be assigned a criterion weight. The sum of the weights for one trail equals 1.00. The criterion score will be obtained by dividing the criterion rank by 10 so that all criterion scores range from 0 to 1.</w:t>
              <w:br/>
              <w:t>After: Each criterion will be assigned a criterion weight, and the weights for one trial will sum to 1.00. Before weighting, multiple measures within one category will be averaged only after they have been normalized to the same 0-to-1 range. The criterion score will be obtained by dividing the criterion rank by 10.</w:t>
            </w:r>
          </w:p>
        </w:tc>
        <w:tc>
          <w:tcPr>
            <w:tcW w:type="dxa" w:w="2592"/>
            <w:vAlign w:val="top"/>
          </w:tcPr>
          <w:p>
            <w:r>
              <w:rPr>
                <w:sz w:val="16"/>
              </w:rPr>
              <w:t>Corrected 'trail' and defined how multiple measures are aggregated before category weighting.</w:t>
            </w:r>
          </w:p>
        </w:tc>
      </w:tr>
      <w:tr>
        <w:tc>
          <w:tcPr>
            <w:tcW w:type="dxa" w:w="2592"/>
            <w:vAlign w:val="top"/>
          </w:tcPr>
          <w:p>
            <w:r>
              <w:rPr>
                <w:sz w:val="16"/>
              </w:rPr>
              <w:t>74</w:t>
            </w:r>
          </w:p>
        </w:tc>
        <w:tc>
          <w:tcPr>
            <w:tcW w:type="dxa" w:w="2592"/>
            <w:vAlign w:val="top"/>
          </w:tcPr>
          <w:p>
            <w:r>
              <w:rPr>
                <w:sz w:val="16"/>
              </w:rPr>
              <w:t>Chapter 3 – Sensitivity Analysis</w:t>
            </w:r>
          </w:p>
        </w:tc>
        <w:tc>
          <w:tcPr>
            <w:tcW w:type="dxa" w:w="2592"/>
            <w:vAlign w:val="top"/>
          </w:tcPr>
          <w:p>
            <w:r>
              <w:rPr>
                <w:sz w:val="16"/>
              </w:rPr>
              <w:t>Before: Trial 5 assigns equal importance to all criteria. It provides a balanced assessment without favoring accuracy, processing time, resource consumption, or reliability.</w:t>
              <w:br/>
              <w:t>After: Trial 5 assigns equal importance to all criteria. It provides a balanced assessment without favoring accuracy, processing time, resource consumption, or reliability. The proposed weights in Table 12 must be reviewed with the thesis adviser before the controlled Thesis 2 evaluation and must not be changed after results are examined mere...</w:t>
            </w:r>
          </w:p>
        </w:tc>
        <w:tc>
          <w:tcPr>
            <w:tcW w:type="dxa" w:w="2592"/>
            <w:vAlign w:val="top"/>
          </w:tcPr>
          <w:p>
            <w:r>
              <w:rPr>
                <w:sz w:val="16"/>
              </w:rPr>
              <w:t>Marked the trial weights as proposed and added a pre-results approval rule.</w:t>
            </w:r>
          </w:p>
        </w:tc>
      </w:tr>
      <w:tr>
        <w:tc>
          <w:tcPr>
            <w:tcW w:type="dxa" w:w="2592"/>
            <w:vAlign w:val="top"/>
          </w:tcPr>
          <w:p>
            <w:r>
              <w:rPr>
                <w:sz w:val="16"/>
              </w:rPr>
              <w:t>75</w:t>
            </w:r>
          </w:p>
        </w:tc>
        <w:tc>
          <w:tcPr>
            <w:tcW w:type="dxa" w:w="2592"/>
            <w:vAlign w:val="top"/>
          </w:tcPr>
          <w:p>
            <w:r>
              <w:rPr>
                <w:sz w:val="16"/>
              </w:rPr>
              <w:t>Chapter 3 – Testing and Operating Procedure</w:t>
            </w:r>
          </w:p>
        </w:tc>
        <w:tc>
          <w:tcPr>
            <w:tcW w:type="dxa" w:w="2592"/>
            <w:vAlign w:val="top"/>
          </w:tcPr>
          <w:p>
            <w:r>
              <w:rPr>
                <w:sz w:val="16"/>
              </w:rPr>
              <w:t>Before: Two-paragraph combined procedure</w:t>
              <w:br/>
              <w:t>After: Separated Testing Procedure and Operating Procedure with defined checks</w:t>
            </w:r>
          </w:p>
        </w:tc>
        <w:tc>
          <w:tcPr>
            <w:tcW w:type="dxa" w:w="2592"/>
            <w:vAlign w:val="top"/>
          </w:tcPr>
          <w:p>
            <w:r>
              <w:rPr>
                <w:sz w:val="16"/>
              </w:rPr>
              <w:t>Completed the previously abbreviated procedure section.</w:t>
            </w:r>
          </w:p>
        </w:tc>
      </w:tr>
      <w:tr>
        <w:tc>
          <w:tcPr>
            <w:tcW w:type="dxa" w:w="2592"/>
            <w:vAlign w:val="top"/>
          </w:tcPr>
          <w:p>
            <w:r>
              <w:rPr>
                <w:sz w:val="16"/>
              </w:rPr>
              <w:t>76</w:t>
            </w:r>
          </w:p>
        </w:tc>
        <w:tc>
          <w:tcPr>
            <w:tcW w:type="dxa" w:w="2592"/>
            <w:vAlign w:val="top"/>
          </w:tcPr>
          <w:p>
            <w:r>
              <w:rPr>
                <w:sz w:val="16"/>
              </w:rPr>
              <w:t>Chapter 3 – Project Evaluation</w:t>
            </w:r>
          </w:p>
        </w:tc>
        <w:tc>
          <w:tcPr>
            <w:tcW w:type="dxa" w:w="2592"/>
            <w:vAlign w:val="top"/>
          </w:tcPr>
          <w:p>
            <w:r>
              <w:rPr>
                <w:sz w:val="16"/>
              </w:rPr>
              <w:t>Before: The evaluation design of the system is grounded in the ISO/IEC 25010:2023 Systems and Software Quality Requirements and Evaluation (SQuaRE) model, which provides a standardized framework for assessing software product quality. This internationally recognize...</w:t>
              <w:br/>
              <w:t>After: The planned software-quality evaluation is guided by ISO/IEC 25010:2023. The respondent instrument uses functional suitability, performance efficiency, interaction capability, reliability, and safety because these characteristics can be assessed through observable use of the prototype. Objective geometric accuracy, tissue-segmentation ...</w:t>
            </w:r>
          </w:p>
        </w:tc>
        <w:tc>
          <w:tcPr>
            <w:tcW w:type="dxa" w:w="2592"/>
            <w:vAlign w:val="top"/>
          </w:tcPr>
          <w:p>
            <w:r>
              <w:rPr>
                <w:sz w:val="16"/>
              </w:rPr>
              <w:t>Updated the standard terminology and separated respondent perception from objective technical evaluation.</w:t>
            </w:r>
          </w:p>
        </w:tc>
      </w:tr>
      <w:tr>
        <w:tc>
          <w:tcPr>
            <w:tcW w:type="dxa" w:w="2592"/>
            <w:vAlign w:val="top"/>
          </w:tcPr>
          <w:p>
            <w:r>
              <w:rPr>
                <w:sz w:val="16"/>
              </w:rPr>
              <w:t>77</w:t>
            </w:r>
          </w:p>
        </w:tc>
        <w:tc>
          <w:tcPr>
            <w:tcW w:type="dxa" w:w="2592"/>
            <w:vAlign w:val="top"/>
          </w:tcPr>
          <w:p>
            <w:r>
              <w:rPr>
                <w:sz w:val="16"/>
              </w:rPr>
              <w:t>Chapter 3 – Project Evaluation</w:t>
            </w:r>
          </w:p>
        </w:tc>
        <w:tc>
          <w:tcPr>
            <w:tcW w:type="dxa" w:w="2592"/>
            <w:vAlign w:val="top"/>
          </w:tcPr>
          <w:p>
            <w:r>
              <w:rPr>
                <w:sz w:val="16"/>
              </w:rPr>
              <w:t>Before: Functional Suitability. The system is designed to address the specific needs of both diabetic patients and healthcare providers by delivering accurate, volumetric wound assessments using standard smartphone videos. It integrates 3D Gaussian Splatting (3DGS)...</w:t>
              <w:br/>
              <w:t>After: Functional Suitability. Respondents will assess whether the prototype provides the functions demonstrated in the defined workflow: scan submission, progress monitoring, reconstruction viewing, calibration-status display, geometric measurement display, operator-guided tissue characterization, and report access. Longitudinal comparisons ...</w:t>
            </w:r>
          </w:p>
        </w:tc>
        <w:tc>
          <w:tcPr>
            <w:tcW w:type="dxa" w:w="2592"/>
            <w:vAlign w:val="top"/>
          </w:tcPr>
          <w:p>
            <w:r>
              <w:rPr>
                <w:sz w:val="16"/>
              </w:rPr>
              <w:t>Removed claims about accuracy, healing trajectories, and unfinished classification features.</w:t>
            </w:r>
          </w:p>
        </w:tc>
      </w:tr>
      <w:tr>
        <w:tc>
          <w:tcPr>
            <w:tcW w:type="dxa" w:w="2592"/>
            <w:vAlign w:val="top"/>
          </w:tcPr>
          <w:p>
            <w:r>
              <w:rPr>
                <w:sz w:val="16"/>
              </w:rPr>
              <w:t>78</w:t>
            </w:r>
          </w:p>
        </w:tc>
        <w:tc>
          <w:tcPr>
            <w:tcW w:type="dxa" w:w="2592"/>
            <w:vAlign w:val="top"/>
          </w:tcPr>
          <w:p>
            <w:r>
              <w:rPr>
                <w:sz w:val="16"/>
              </w:rPr>
              <w:t>Chapter 3 – Project Evaluation</w:t>
            </w:r>
          </w:p>
        </w:tc>
        <w:tc>
          <w:tcPr>
            <w:tcW w:type="dxa" w:w="2592"/>
            <w:vAlign w:val="top"/>
          </w:tcPr>
          <w:p>
            <w:r>
              <w:rPr>
                <w:sz w:val="16"/>
              </w:rPr>
              <w:t>Before: Functional Correctness. The framework ensures the provision of correct results and precise measurements through its rigorously tested computational pipeline. The geometric accuracy of the 3D reconstruction and the absolute scale calibration routine are vali...</w:t>
              <w:br/>
              <w:t>After: Interaction Capability. Respondents will assess whether capture guidance, form labels, status indicators, error messages, the interactive viewer, tissue-analysis controls, measurement labels, calibration warnings, and the generated report are understandable and usable for the tasks assigned to them.</w:t>
            </w:r>
          </w:p>
        </w:tc>
        <w:tc>
          <w:tcPr>
            <w:tcW w:type="dxa" w:w="2592"/>
            <w:vAlign w:val="top"/>
          </w:tcPr>
          <w:p>
            <w:r>
              <w:rPr>
                <w:sz w:val="16"/>
              </w:rPr>
              <w:t>Replaced a respondent-rated correctness claim with the selected ISO/IEC 25010:2023 interaction-capability characteristic.</w:t>
            </w:r>
          </w:p>
        </w:tc>
      </w:tr>
      <w:tr>
        <w:tc>
          <w:tcPr>
            <w:tcW w:type="dxa" w:w="2592"/>
            <w:vAlign w:val="top"/>
          </w:tcPr>
          <w:p>
            <w:r>
              <w:rPr>
                <w:sz w:val="16"/>
              </w:rPr>
              <w:t>79</w:t>
            </w:r>
          </w:p>
        </w:tc>
        <w:tc>
          <w:tcPr>
            <w:tcW w:type="dxa" w:w="2592"/>
            <w:vAlign w:val="top"/>
          </w:tcPr>
          <w:p>
            <w:r>
              <w:rPr>
                <w:sz w:val="16"/>
              </w:rPr>
              <w:t>Chapter 3 – Project Evaluation</w:t>
            </w:r>
          </w:p>
        </w:tc>
        <w:tc>
          <w:tcPr>
            <w:tcW w:type="dxa" w:w="2592"/>
            <w:vAlign w:val="top"/>
          </w:tcPr>
          <w:p>
            <w:r>
              <w:rPr>
                <w:sz w:val="16"/>
              </w:rPr>
              <w:t>Before: Performance Efficiency. The system is optimized to utilize available hardware resources effectively while managing user expectations during computationally intensive tasks. Although a complete 3D Gaussian Splatting reconstruction requires significant GPU pr...</w:t>
              <w:br/>
              <w:t>After: Performance Efficiency. Respondents will assess whether uploads, status updates, navigation, viewing, and report access remain responsive during the demonstrated workflow. Active processing time and peak GPU-memory consumption will be measured objectively on the designated hardware. The sequential worker reduces simultaneous GPU conten...</w:t>
            </w:r>
          </w:p>
        </w:tc>
        <w:tc>
          <w:tcPr>
            <w:tcW w:type="dxa" w:w="2592"/>
            <w:vAlign w:val="top"/>
          </w:tcPr>
          <w:p>
            <w:r>
              <w:rPr>
                <w:sz w:val="16"/>
              </w:rPr>
              <w:t>Removed the unsupported automatic cloud-offload and guaranteed memory-prevention claims.</w:t>
            </w:r>
          </w:p>
        </w:tc>
      </w:tr>
      <w:tr>
        <w:tc>
          <w:tcPr>
            <w:tcW w:type="dxa" w:w="2592"/>
            <w:vAlign w:val="top"/>
          </w:tcPr>
          <w:p>
            <w:r>
              <w:rPr>
                <w:sz w:val="16"/>
              </w:rPr>
              <w:t>80</w:t>
            </w:r>
          </w:p>
        </w:tc>
        <w:tc>
          <w:tcPr>
            <w:tcW w:type="dxa" w:w="2592"/>
            <w:vAlign w:val="top"/>
          </w:tcPr>
          <w:p>
            <w:r>
              <w:rPr>
                <w:sz w:val="16"/>
              </w:rPr>
              <w:t>Chapter 3 – Project Evaluation</w:t>
            </w:r>
          </w:p>
        </w:tc>
        <w:tc>
          <w:tcPr>
            <w:tcW w:type="dxa" w:w="2592"/>
            <w:vAlign w:val="top"/>
          </w:tcPr>
          <w:p>
            <w:r>
              <w:rPr>
                <w:sz w:val="16"/>
              </w:rPr>
              <w:t>Before: Reliability. The framework is designed to maintain a specified level of performance and availability under stated conditions, particularly when handling variable-quality smartphone inputs. If a stage in the processing pipeline fails, such as insufficient vi...</w:t>
              <w:br/>
              <w:t>After: Reliability. Respondents will assess whether the demonstrated workflow preserves submitted scans, reports status consistently, retains completed outputs, presents understandable errors, and remains usable after a required-stage failure. Required-stage exceptions mark the scan as failed and allow the worker to continue. Failure to detec...</w:t>
            </w:r>
          </w:p>
        </w:tc>
        <w:tc>
          <w:tcPr>
            <w:tcW w:type="dxa" w:w="2592"/>
            <w:vAlign w:val="top"/>
          </w:tcPr>
          <w:p>
            <w:r>
              <w:rPr>
                <w:sz w:val="16"/>
              </w:rPr>
              <w:t>Corrected the scale-reference behavior and avoided promising complete fault tolerance before testing.</w:t>
            </w:r>
          </w:p>
        </w:tc>
      </w:tr>
      <w:tr>
        <w:tc>
          <w:tcPr>
            <w:tcW w:type="dxa" w:w="2592"/>
            <w:vAlign w:val="top"/>
          </w:tcPr>
          <w:p>
            <w:r>
              <w:rPr>
                <w:sz w:val="16"/>
              </w:rPr>
              <w:t>81</w:t>
            </w:r>
          </w:p>
        </w:tc>
        <w:tc>
          <w:tcPr>
            <w:tcW w:type="dxa" w:w="2592"/>
            <w:vAlign w:val="top"/>
          </w:tcPr>
          <w:p>
            <w:r>
              <w:rPr>
                <w:sz w:val="16"/>
              </w:rPr>
              <w:t>Chapter 3 – Project Evaluation</w:t>
            </w:r>
          </w:p>
        </w:tc>
        <w:tc>
          <w:tcPr>
            <w:tcW w:type="dxa" w:w="2592"/>
            <w:vAlign w:val="top"/>
          </w:tcPr>
          <w:p>
            <w:r>
              <w:rPr>
                <w:sz w:val="16"/>
              </w:rPr>
              <w:t>Before: Safety. The system incorporates safeguards to prevent unacceptable risks of harm to patients or data breaches, recognizing its role as a clinical decision-support tool rather than an autonomous diagnostic device. To ensure clinical safety, the framework exp...</w:t>
              <w:br/>
              <w:t>After: Safety. Respondents will assess whether the interface and report identify the prototype as decision support, display calibration status, distinguish automated outputs from confirmed clinical findings, and avoid presenting planned longitudinal or classification functions as completed results. The present patient-code lookup is not secur...</w:t>
            </w:r>
          </w:p>
        </w:tc>
        <w:tc>
          <w:tcPr>
            <w:tcW w:type="dxa" w:w="2592"/>
            <w:vAlign w:val="top"/>
          </w:tcPr>
          <w:p>
            <w:r>
              <w:rPr>
                <w:sz w:val="16"/>
              </w:rPr>
              <w:t>Removed unsupported security claims and stated the current prototype limitation.</w:t>
            </w:r>
          </w:p>
        </w:tc>
      </w:tr>
      <w:tr>
        <w:tc>
          <w:tcPr>
            <w:tcW w:type="dxa" w:w="2592"/>
            <w:vAlign w:val="top"/>
          </w:tcPr>
          <w:p>
            <w:r>
              <w:rPr>
                <w:sz w:val="16"/>
              </w:rPr>
              <w:t>82</w:t>
            </w:r>
          </w:p>
        </w:tc>
        <w:tc>
          <w:tcPr>
            <w:tcW w:type="dxa" w:w="2592"/>
            <w:vAlign w:val="top"/>
          </w:tcPr>
          <w:p>
            <w:r>
              <w:rPr>
                <w:sz w:val="16"/>
              </w:rPr>
              <w:t>Chapter 3 – Survey Questionnaires</w:t>
            </w:r>
          </w:p>
        </w:tc>
        <w:tc>
          <w:tcPr>
            <w:tcW w:type="dxa" w:w="2592"/>
            <w:vAlign w:val="top"/>
          </w:tcPr>
          <w:p>
            <w:r>
              <w:rPr>
                <w:sz w:val="16"/>
              </w:rPr>
              <w:t>Before: First questionnaire incorrectly labeled Non-Information Technology</w:t>
              <w:br/>
              <w:t>After: Survey Questionnaire for Information Technology Respondents</w:t>
            </w:r>
          </w:p>
        </w:tc>
        <w:tc>
          <w:tcPr>
            <w:tcW w:type="dxa" w:w="2592"/>
            <w:vAlign w:val="top"/>
          </w:tcPr>
          <w:p>
            <w:r>
              <w:rPr>
                <w:sz w:val="16"/>
              </w:rPr>
              <w:t>Corrected the duplicated respondent-group title.</w:t>
            </w:r>
          </w:p>
        </w:tc>
      </w:tr>
      <w:tr>
        <w:tc>
          <w:tcPr>
            <w:tcW w:type="dxa" w:w="2592"/>
            <w:vAlign w:val="top"/>
          </w:tcPr>
          <w:p>
            <w:r>
              <w:rPr>
                <w:sz w:val="16"/>
              </w:rPr>
              <w:t>83</w:t>
            </w:r>
          </w:p>
        </w:tc>
        <w:tc>
          <w:tcPr>
            <w:tcW w:type="dxa" w:w="2592"/>
            <w:vAlign w:val="top"/>
          </w:tcPr>
          <w:p>
            <w:r>
              <w:rPr>
                <w:sz w:val="16"/>
              </w:rPr>
              <w:t>Chapter 3 – Survey Questionnaires</w:t>
            </w:r>
          </w:p>
        </w:tc>
        <w:tc>
          <w:tcPr>
            <w:tcW w:type="dxa" w:w="2592"/>
            <w:vAlign w:val="top"/>
          </w:tcPr>
          <w:p>
            <w:r>
              <w:rPr>
                <w:sz w:val="16"/>
              </w:rPr>
              <w:t>Before: Six-point rating columns without verbal anchors</w:t>
              <w:br/>
              <w:t>After: Five-point Likert scale with Strongly Agree to Strongly Disagree anchors</w:t>
            </w:r>
          </w:p>
        </w:tc>
        <w:tc>
          <w:tcPr>
            <w:tcW w:type="dxa" w:w="2592"/>
            <w:vAlign w:val="top"/>
          </w:tcPr>
          <w:p>
            <w:r>
              <w:rPr>
                <w:sz w:val="16"/>
              </w:rPr>
              <w:t>Matched the stated project-evaluation format and made the scale interpretable.</w:t>
            </w:r>
          </w:p>
        </w:tc>
      </w:tr>
      <w:tr>
        <w:tc>
          <w:tcPr>
            <w:tcW w:type="dxa" w:w="2592"/>
            <w:vAlign w:val="top"/>
          </w:tcPr>
          <w:p>
            <w:r>
              <w:rPr>
                <w:sz w:val="16"/>
              </w:rPr>
              <w:t>84</w:t>
            </w:r>
          </w:p>
        </w:tc>
        <w:tc>
          <w:tcPr>
            <w:tcW w:type="dxa" w:w="2592"/>
            <w:vAlign w:val="top"/>
          </w:tcPr>
          <w:p>
            <w:r>
              <w:rPr>
                <w:sz w:val="16"/>
              </w:rPr>
              <w:t>Chapter 3 – IT questionnaire</w:t>
            </w:r>
          </w:p>
        </w:tc>
        <w:tc>
          <w:tcPr>
            <w:tcW w:type="dxa" w:w="2592"/>
            <w:vAlign w:val="top"/>
          </w:tcPr>
          <w:p>
            <w:r>
              <w:rPr>
                <w:sz w:val="16"/>
              </w:rPr>
              <w:t>Before: Items asked respondents to judge algorithmic accuracy, security controls, GPU use, or unimplemented functions</w:t>
              <w:br/>
              <w:t>After: Revised five ISO-aligned tables with observable, role-appropriate statements</w:t>
            </w:r>
          </w:p>
        </w:tc>
        <w:tc>
          <w:tcPr>
            <w:tcW w:type="dxa" w:w="2592"/>
            <w:vAlign w:val="top"/>
          </w:tcPr>
          <w:p>
            <w:r>
              <w:rPr>
                <w:sz w:val="16"/>
              </w:rPr>
              <w:t>Prevented respondents from being used as substitutes for objective technical or security evaluation.</w:t>
            </w:r>
          </w:p>
        </w:tc>
      </w:tr>
      <w:tr>
        <w:tc>
          <w:tcPr>
            <w:tcW w:type="dxa" w:w="2592"/>
            <w:vAlign w:val="top"/>
          </w:tcPr>
          <w:p>
            <w:r>
              <w:rPr>
                <w:sz w:val="16"/>
              </w:rPr>
              <w:t>85</w:t>
            </w:r>
          </w:p>
        </w:tc>
        <w:tc>
          <w:tcPr>
            <w:tcW w:type="dxa" w:w="2592"/>
            <w:vAlign w:val="top"/>
          </w:tcPr>
          <w:p>
            <w:r>
              <w:rPr>
                <w:sz w:val="16"/>
              </w:rPr>
              <w:t>Chapter 3 – Non-IT questionnaire</w:t>
            </w:r>
          </w:p>
        </w:tc>
        <w:tc>
          <w:tcPr>
            <w:tcW w:type="dxa" w:w="2592"/>
            <w:vAlign w:val="top"/>
          </w:tcPr>
          <w:p>
            <w:r>
              <w:rPr>
                <w:sz w:val="16"/>
              </w:rPr>
              <w:t>Before: Items asked respondents to judge algorithmic accuracy, security controls, GPU use, or unimplemented functions</w:t>
              <w:br/>
              <w:t>After: Revised five ISO-aligned tables with observable, role-appropriate statements</w:t>
            </w:r>
          </w:p>
        </w:tc>
        <w:tc>
          <w:tcPr>
            <w:tcW w:type="dxa" w:w="2592"/>
            <w:vAlign w:val="top"/>
          </w:tcPr>
          <w:p>
            <w:r>
              <w:rPr>
                <w:sz w:val="16"/>
              </w:rPr>
              <w:t>Prevented respondents from being used as substitutes for objective technical or security evaluation.</w:t>
            </w:r>
          </w:p>
        </w:tc>
      </w:tr>
      <w:tr>
        <w:tc>
          <w:tcPr>
            <w:tcW w:type="dxa" w:w="2592"/>
            <w:vAlign w:val="top"/>
          </w:tcPr>
          <w:p>
            <w:r>
              <w:rPr>
                <w:sz w:val="16"/>
              </w:rPr>
              <w:t>86</w:t>
            </w:r>
          </w:p>
        </w:tc>
        <w:tc>
          <w:tcPr>
            <w:tcW w:type="dxa" w:w="2592"/>
            <w:vAlign w:val="top"/>
          </w:tcPr>
          <w:p>
            <w:r>
              <w:rPr>
                <w:sz w:val="16"/>
              </w:rPr>
              <w:t>Chapter 3 – Potential for Commercialization</w:t>
            </w:r>
          </w:p>
        </w:tc>
        <w:tc>
          <w:tcPr>
            <w:tcW w:type="dxa" w:w="2592"/>
            <w:vAlign w:val="top"/>
          </w:tcPr>
          <w:p>
            <w:r>
              <w:rPr>
                <w:sz w:val="16"/>
              </w:rPr>
              <w:t>Before: The system aims to revolutionize chronic wound management by transitioning from subjective 2D photographic assessments to objective 3D volumetric tracking. Utilizing 3D Gaussian Splatting (3DGS), the framework automates the extraction of precise wound depth...</w:t>
              <w:br/>
              <w:t>After: If controlled physical and clinical evaluation demonstrates acceptable accuracy, reliability, safety, and usability, Wound-Splat may support more objective documentation of wound geometry than two-dimensional photographs alone. The current prototype estimates planar wound opening area, cavity volume, maximum depth, width, and height an...</w:t>
            </w:r>
          </w:p>
        </w:tc>
        <w:tc>
          <w:tcPr>
            <w:tcW w:type="dxa" w:w="2592"/>
            <w:vAlign w:val="top"/>
          </w:tcPr>
          <w:p>
            <w:r>
              <w:rPr>
                <w:sz w:val="16"/>
              </w:rPr>
              <w:t>Removed promotional, diagnostic, access, and automatic-cloud claims that the current prototype and evidence do not support.</w:t>
            </w:r>
          </w:p>
        </w:tc>
      </w:tr>
      <w:tr>
        <w:tc>
          <w:tcPr>
            <w:tcW w:type="dxa" w:w="2592"/>
            <w:vAlign w:val="top"/>
          </w:tcPr>
          <w:p>
            <w:r>
              <w:rPr>
                <w:sz w:val="16"/>
              </w:rPr>
              <w:t>87</w:t>
            </w:r>
          </w:p>
        </w:tc>
        <w:tc>
          <w:tcPr>
            <w:tcW w:type="dxa" w:w="2592"/>
            <w:vAlign w:val="top"/>
          </w:tcPr>
          <w:p>
            <w:r>
              <w:rPr>
                <w:sz w:val="16"/>
              </w:rPr>
              <w:t>Chapter 3 – Business Model</w:t>
            </w:r>
          </w:p>
        </w:tc>
        <w:tc>
          <w:tcPr>
            <w:tcW w:type="dxa" w:w="2592"/>
            <w:vAlign w:val="top"/>
          </w:tcPr>
          <w:p>
            <w:r>
              <w:rPr>
                <w:sz w:val="16"/>
              </w:rPr>
              <w:t xml:space="preserve">Before: </w:t>
              <w:tab/>
              <w:t>The Business Model of the study focuses on a B2B health-tech platform developed to assist endocrinologists and healthcare institutions in monitoring diabetic foot ulcers objectively. It leverages cloud-based 3DGS rendering and tissue segmentation models tr...</w:t>
              <w:br/>
              <w:t>After: The proposed business model considers a future B2B health-technology platform for healthcare institutions, subject to successful technical and clinical validation. The prototype combines GPU-based 3DGS reconstruction with tissue characterization trained on DFUTissue (Dhar et al., 2024). Its potential value lies in structured wound docu...</w:t>
            </w:r>
          </w:p>
        </w:tc>
        <w:tc>
          <w:tcPr>
            <w:tcW w:type="dxa" w:w="2592"/>
            <w:vAlign w:val="top"/>
          </w:tcPr>
          <w:p>
            <w:r>
              <w:rPr>
                <w:sz w:val="16"/>
              </w:rPr>
              <w:t>Changed commercialization language from established performance to a conditional future proposition.</w:t>
            </w:r>
          </w:p>
        </w:tc>
      </w:tr>
      <w:tr>
        <w:tc>
          <w:tcPr>
            <w:tcW w:type="dxa" w:w="2592"/>
            <w:vAlign w:val="top"/>
          </w:tcPr>
          <w:p>
            <w:r>
              <w:rPr>
                <w:sz w:val="16"/>
              </w:rPr>
              <w:t>88</w:t>
            </w:r>
          </w:p>
        </w:tc>
        <w:tc>
          <w:tcPr>
            <w:tcW w:type="dxa" w:w="2592"/>
            <w:vAlign w:val="top"/>
          </w:tcPr>
          <w:p>
            <w:r>
              <w:rPr>
                <w:sz w:val="16"/>
              </w:rPr>
              <w:t>Chapter 3 – Business Model</w:t>
            </w:r>
          </w:p>
        </w:tc>
        <w:tc>
          <w:tcPr>
            <w:tcW w:type="dxa" w:w="2592"/>
            <w:vAlign w:val="top"/>
          </w:tcPr>
          <w:p>
            <w:r>
              <w:rPr>
                <w:sz w:val="16"/>
              </w:rPr>
              <w:t>Before: To make this platform a reality, the research relies on collaborations with organizations such as the Philippine Society of Endocrinology and Metabolism, the Department of Health, and academic health-tech institutions. The main tasks include optimizing the ...</w:t>
              <w:br/>
              <w:t>After: A future deployment would require documented partnerships, clinical validation, secure hosting, privacy governance, technical support, and regulatory review. The present application uses an in-process sequential queue and does not provide a managed cloud-compute service, automatic cloud offloading, EMR integration, or an established su...</w:t>
            </w:r>
          </w:p>
        </w:tc>
        <w:tc>
          <w:tcPr>
            <w:tcW w:type="dxa" w:w="2592"/>
            <w:vAlign w:val="top"/>
          </w:tcPr>
          <w:p>
            <w:r>
              <w:rPr>
                <w:sz w:val="16"/>
              </w:rPr>
              <w:t>Removed unverified partnerships, cloud-queue operation, support, EMR billing, and financing claims.</w:t>
            </w:r>
          </w:p>
        </w:tc>
      </w:tr>
      <w:tr>
        <w:tc>
          <w:tcPr>
            <w:tcW w:type="dxa" w:w="2592"/>
            <w:vAlign w:val="top"/>
          </w:tcPr>
          <w:p>
            <w:r>
              <w:rPr>
                <w:sz w:val="16"/>
              </w:rPr>
              <w:t>89</w:t>
            </w:r>
          </w:p>
        </w:tc>
        <w:tc>
          <w:tcPr>
            <w:tcW w:type="dxa" w:w="2592"/>
            <w:vAlign w:val="top"/>
          </w:tcPr>
          <w:p>
            <w:r>
              <w:rPr>
                <w:sz w:val="16"/>
              </w:rPr>
              <w:t>References</w:t>
            </w:r>
          </w:p>
        </w:tc>
        <w:tc>
          <w:tcPr>
            <w:tcW w:type="dxa" w:w="2592"/>
            <w:vAlign w:val="top"/>
          </w:tcPr>
          <w:p>
            <w:r>
              <w:rPr>
                <w:sz w:val="16"/>
              </w:rPr>
              <w:t>Before: Wang et al. (2025), unmatched to the in-text Liu et al. citation</w:t>
              <w:br/>
              <w:t>After: Schönberger and Frahm (2016), COLMAP Structure-from-Motion Revisited</w:t>
            </w:r>
          </w:p>
        </w:tc>
        <w:tc>
          <w:tcPr>
            <w:tcW w:type="dxa" w:w="2592"/>
            <w:vAlign w:val="top"/>
          </w:tcPr>
          <w:p>
            <w:r>
              <w:rPr>
                <w:sz w:val="16"/>
              </w:rPr>
              <w:t>Made the in-text COLMAP discussion and reference list consistent.</w:t>
            </w:r>
          </w:p>
        </w:tc>
      </w:tr>
      <w:tr>
        <w:tc>
          <w:tcPr>
            <w:tcW w:type="dxa" w:w="2592"/>
            <w:vAlign w:val="top"/>
          </w:tcPr>
          <w:p>
            <w:r>
              <w:rPr>
                <w:sz w:val="16"/>
              </w:rPr>
              <w:t>90</w:t>
            </w:r>
          </w:p>
        </w:tc>
        <w:tc>
          <w:tcPr>
            <w:tcW w:type="dxa" w:w="2592"/>
            <w:vAlign w:val="top"/>
          </w:tcPr>
          <w:p>
            <w:r>
              <w:rPr>
                <w:sz w:val="16"/>
              </w:rPr>
              <w:t>Chapter 3 – Trade-off tables</w:t>
            </w:r>
          </w:p>
        </w:tc>
        <w:tc>
          <w:tcPr>
            <w:tcW w:type="dxa" w:w="2592"/>
            <w:vAlign w:val="top"/>
          </w:tcPr>
          <w:p>
            <w:r>
              <w:rPr>
                <w:sz w:val="16"/>
              </w:rPr>
              <w:t>Before: Camera poses, sparse Initialization. And Gaussian-splat representation</w:t>
              <w:br/>
              <w:t>After: Camera poses, sparse initialization, and a Gaussian-splat representation</w:t>
            </w:r>
          </w:p>
        </w:tc>
        <w:tc>
          <w:tcPr>
            <w:tcW w:type="dxa" w:w="2592"/>
            <w:vAlign w:val="top"/>
          </w:tcPr>
          <w:p>
            <w:r>
              <w:rPr>
                <w:sz w:val="16"/>
              </w:rPr>
              <w:t>Corrected grammar, spelling, or metric terminology.</w:t>
            </w:r>
          </w:p>
        </w:tc>
      </w:tr>
      <w:tr>
        <w:tc>
          <w:tcPr>
            <w:tcW w:type="dxa" w:w="2592"/>
            <w:vAlign w:val="top"/>
          </w:tcPr>
          <w:p>
            <w:r>
              <w:rPr>
                <w:sz w:val="16"/>
              </w:rPr>
              <w:t>91</w:t>
            </w:r>
          </w:p>
        </w:tc>
        <w:tc>
          <w:tcPr>
            <w:tcW w:type="dxa" w:w="2592"/>
            <w:vAlign w:val="top"/>
          </w:tcPr>
          <w:p>
            <w:r>
              <w:rPr>
                <w:sz w:val="16"/>
              </w:rPr>
              <w:t>Chapter 3 – Trade-off tables</w:t>
            </w:r>
          </w:p>
        </w:tc>
        <w:tc>
          <w:tcPr>
            <w:tcW w:type="dxa" w:w="2592"/>
            <w:vAlign w:val="top"/>
          </w:tcPr>
          <w:p>
            <w:r>
              <w:rPr>
                <w:sz w:val="16"/>
              </w:rPr>
              <w:t>Before: Avoids measuring directly from a smoothed mesh and supports the calculation of area, volume,d epth, width, and height</w:t>
              <w:br/>
              <w:t>After: Avoids measuring directly from a smoothed mesh and supports calculation of planar opening area, volume, depth, width, and height</w:t>
            </w:r>
          </w:p>
        </w:tc>
        <w:tc>
          <w:tcPr>
            <w:tcW w:type="dxa" w:w="2592"/>
            <w:vAlign w:val="top"/>
          </w:tcPr>
          <w:p>
            <w:r>
              <w:rPr>
                <w:sz w:val="16"/>
              </w:rPr>
              <w:t>Corrected grammar, spelling, or metric terminology.</w:t>
            </w:r>
          </w:p>
        </w:tc>
      </w:tr>
      <w:tr>
        <w:tc>
          <w:tcPr>
            <w:tcW w:type="dxa" w:w="2592"/>
            <w:vAlign w:val="top"/>
          </w:tcPr>
          <w:p>
            <w:r>
              <w:rPr>
                <w:sz w:val="16"/>
              </w:rPr>
              <w:t>92</w:t>
            </w:r>
          </w:p>
        </w:tc>
        <w:tc>
          <w:tcPr>
            <w:tcW w:type="dxa" w:w="2592"/>
            <w:vAlign w:val="top"/>
          </w:tcPr>
          <w:p>
            <w:r>
              <w:rPr>
                <w:sz w:val="16"/>
              </w:rPr>
              <w:t>Chapter 3 – Trade-off tables</w:t>
            </w:r>
          </w:p>
        </w:tc>
        <w:tc>
          <w:tcPr>
            <w:tcW w:type="dxa" w:w="2592"/>
            <w:vAlign w:val="top"/>
          </w:tcPr>
          <w:p>
            <w:r>
              <w:rPr>
                <w:sz w:val="16"/>
              </w:rPr>
              <w:t>Before: Required no additional surface construction</w:t>
              <w:br/>
              <w:t>After: Requires no additional surface construction</w:t>
            </w:r>
          </w:p>
        </w:tc>
        <w:tc>
          <w:tcPr>
            <w:tcW w:type="dxa" w:w="2592"/>
            <w:vAlign w:val="top"/>
          </w:tcPr>
          <w:p>
            <w:r>
              <w:rPr>
                <w:sz w:val="16"/>
              </w:rPr>
              <w:t>Corrected grammar, spelling, or metric terminology.</w:t>
            </w:r>
          </w:p>
        </w:tc>
      </w:tr>
      <w:tr>
        <w:tc>
          <w:tcPr>
            <w:tcW w:type="dxa" w:w="2592"/>
            <w:vAlign w:val="top"/>
          </w:tcPr>
          <w:p>
            <w:r>
              <w:rPr>
                <w:sz w:val="16"/>
              </w:rPr>
              <w:t>93</w:t>
            </w:r>
          </w:p>
        </w:tc>
        <w:tc>
          <w:tcPr>
            <w:tcW w:type="dxa" w:w="2592"/>
            <w:vAlign w:val="top"/>
          </w:tcPr>
          <w:p>
            <w:r>
              <w:rPr>
                <w:sz w:val="16"/>
              </w:rPr>
              <w:t>Chapter 3 – Trade-off tables</w:t>
            </w:r>
          </w:p>
        </w:tc>
        <w:tc>
          <w:tcPr>
            <w:tcW w:type="dxa" w:w="2592"/>
            <w:vAlign w:val="top"/>
          </w:tcPr>
          <w:p>
            <w:r>
              <w:rPr>
                <w:sz w:val="16"/>
              </w:rPr>
              <w:t>Before: Main contain insufficient point density for stable wound measurement</w:t>
              <w:br/>
              <w:t>After: May contain insufficient point density for stable wound measurement</w:t>
            </w:r>
          </w:p>
        </w:tc>
        <w:tc>
          <w:tcPr>
            <w:tcW w:type="dxa" w:w="2592"/>
            <w:vAlign w:val="top"/>
          </w:tcPr>
          <w:p>
            <w:r>
              <w:rPr>
                <w:sz w:val="16"/>
              </w:rPr>
              <w:t>Corrected grammar, spelling, or metric terminology.</w:t>
            </w:r>
          </w:p>
        </w:tc>
      </w:tr>
      <w:tr>
        <w:tc>
          <w:tcPr>
            <w:tcW w:type="dxa" w:w="2592"/>
            <w:vAlign w:val="top"/>
          </w:tcPr>
          <w:p>
            <w:r>
              <w:rPr>
                <w:sz w:val="16"/>
              </w:rPr>
              <w:t>94</w:t>
            </w:r>
          </w:p>
        </w:tc>
        <w:tc>
          <w:tcPr>
            <w:tcW w:type="dxa" w:w="2592"/>
            <w:vAlign w:val="top"/>
          </w:tcPr>
          <w:p>
            <w:r>
              <w:rPr>
                <w:sz w:val="16"/>
              </w:rPr>
              <w:t>Chapter 3 – Trade-off tables</w:t>
            </w:r>
          </w:p>
        </w:tc>
        <w:tc>
          <w:tcPr>
            <w:tcW w:type="dxa" w:w="2592"/>
            <w:vAlign w:val="top"/>
          </w:tcPr>
          <w:p>
            <w:r>
              <w:rPr>
                <w:sz w:val="16"/>
              </w:rPr>
              <w:t>Before: designed primarily for rendering and does not directly define a validated measurement surface</w:t>
              <w:br/>
              <w:t>After: Designed primarily for rendering and does not directly define a validated measurement surface</w:t>
            </w:r>
          </w:p>
        </w:tc>
        <w:tc>
          <w:tcPr>
            <w:tcW w:type="dxa" w:w="2592"/>
            <w:vAlign w:val="top"/>
          </w:tcPr>
          <w:p>
            <w:r>
              <w:rPr>
                <w:sz w:val="16"/>
              </w:rPr>
              <w:t>Corrected grammar, spelling, or metric terminology.</w:t>
            </w:r>
          </w:p>
        </w:tc>
      </w:tr>
      <w:tr>
        <w:tc>
          <w:tcPr>
            <w:tcW w:type="dxa" w:w="2592"/>
          </w:tcPr>
          <w:p>
            <w:pPr>
              <w:spacing w:line="240" w:lineRule="auto" w:after="0"/>
            </w:pPr>
            <w:r>
              <w:rPr>
                <w:rFonts w:ascii="Times New Roman" w:hAnsi="Times New Roman" w:eastAsia="Times New Roman"/>
                <w:sz w:val="24"/>
              </w:rPr>
              <w:t>95</w:t>
            </w:r>
          </w:p>
        </w:tc>
        <w:tc>
          <w:tcPr>
            <w:tcW w:type="dxa" w:w="2592"/>
          </w:tcPr>
          <w:p>
            <w:pPr>
              <w:spacing w:line="240" w:lineRule="auto" w:after="0"/>
            </w:pPr>
            <w:r>
              <w:rPr>
                <w:rFonts w:ascii="Times New Roman" w:hAnsi="Times New Roman" w:eastAsia="Times New Roman"/>
                <w:sz w:val="24"/>
              </w:rPr>
              <w:t>Chapter 3 – Algorithm Implementation</w:t>
            </w:r>
          </w:p>
        </w:tc>
        <w:tc>
          <w:tcPr>
            <w:tcW w:type="dxa" w:w="2592"/>
          </w:tcPr>
          <w:p>
            <w:pPr>
              <w:spacing w:line="240" w:lineRule="auto" w:after="0"/>
            </w:pPr>
            <w:r>
              <w:rPr>
                <w:rFonts w:ascii="Times New Roman" w:hAnsi="Times New Roman" w:eastAsia="Times New Roman"/>
                <w:sz w:val="24"/>
              </w:rPr>
              <w:t>Normalized the added section to Times New Roman, 12-point text with double spacing, APA-style paragraph indentation, and the existing heading hierarchy.</w:t>
            </w:r>
          </w:p>
        </w:tc>
        <w:tc>
          <w:tcPr>
            <w:tcW w:type="dxa" w:w="2592"/>
          </w:tcPr>
          <w:p>
            <w:pPr>
              <w:spacing w:line="240" w:lineRule="auto" w:after="0"/>
            </w:pPr>
            <w:r>
              <w:rPr>
                <w:rFonts w:ascii="Times New Roman" w:hAnsi="Times New Roman" w:eastAsia="Times New Roman"/>
                <w:sz w:val="24"/>
              </w:rPr>
              <w:t>The added content previously inherited default Word formatting instead of the thesis document's direct formatting.</w:t>
            </w:r>
          </w:p>
        </w:tc>
      </w:tr>
      <w:tr>
        <w:tc>
          <w:tcPr>
            <w:tcW w:type="dxa" w:w="2592"/>
          </w:tcPr>
          <w:p>
            <w:pPr>
              <w:spacing w:line="240" w:lineRule="auto" w:after="0"/>
            </w:pPr>
            <w:r>
              <w:rPr>
                <w:rFonts w:ascii="Times New Roman" w:hAnsi="Times New Roman" w:eastAsia="Times New Roman"/>
                <w:sz w:val="24"/>
              </w:rPr>
              <w:t>96</w:t>
            </w:r>
          </w:p>
        </w:tc>
        <w:tc>
          <w:tcPr>
            <w:tcW w:type="dxa" w:w="2592"/>
          </w:tcPr>
          <w:p>
            <w:pPr>
              <w:spacing w:line="240" w:lineRule="auto" w:after="0"/>
            </w:pPr>
            <w:r>
              <w:rPr>
                <w:rFonts w:ascii="Times New Roman" w:hAnsi="Times New Roman" w:eastAsia="Times New Roman"/>
                <w:sz w:val="24"/>
              </w:rPr>
              <w:t>Chapter 3 – Formulas 1–15</w:t>
            </w:r>
          </w:p>
        </w:tc>
        <w:tc>
          <w:tcPr>
            <w:tcW w:type="dxa" w:w="2592"/>
          </w:tcPr>
          <w:p>
            <w:pPr>
              <w:spacing w:line="240" w:lineRule="auto" w:after="0"/>
            </w:pPr>
            <w:r>
              <w:rPr>
                <w:rFonts w:ascii="Times New Roman" w:hAnsi="Times New Roman" w:eastAsia="Times New Roman"/>
                <w:sz w:val="24"/>
              </w:rPr>
              <w:t>Separated each formula number and italicized title, then converted every displayed expression into a centered, editable native Word equation with structured fractions, subscripts, accents, and summation limits.</w:t>
            </w:r>
          </w:p>
        </w:tc>
        <w:tc>
          <w:tcPr>
            <w:tcW w:type="dxa" w:w="2592"/>
          </w:tcPr>
          <w:p>
            <w:pPr>
              <w:spacing w:line="240" w:lineRule="auto" w:after="0"/>
            </w:pPr>
            <w:r>
              <w:rPr>
                <w:rFonts w:ascii="Times New Roman" w:hAnsi="Times New Roman" w:eastAsia="Times New Roman"/>
                <w:sz w:val="24"/>
              </w:rPr>
              <w:t>This follows the document's formula presentation pattern and prevents LaTeX or plain-text equation residue when opened in Word or Google Docs.</w:t>
            </w:r>
          </w:p>
        </w:tc>
      </w:tr>
    </w:tbl>
    <w:p>
      <w:r>
        <w:t>Total logged changes: 94</w:t>
      </w:r>
    </w:p>
    <w:p>
      <w:r>
        <w:rPr>
          <w:rFonts w:ascii="Times New Roman" w:hAnsi="Times New Roman" w:eastAsia="Times New Roman"/>
          <w:sz w:val="24"/>
        </w:rPr>
        <w:t>Formatting follow-up: The revised document now contains 96 logged changes, including the Algorithm Implementation style correction and conversion of all 15 formulas to native equations.</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