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Deriving ontologies from OPC UA Standards(Specifications)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hd w:fill="ffe599" w:val="clear"/>
          <w:rtl w:val="0"/>
        </w:rPr>
        <w:t xml:space="preserve">This document is a draft version. Highlights should be 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946400"/>
            <wp:effectExtent b="0" l="0" r="0" t="0"/>
            <wp:docPr descr="Pcs2owl.png" id="2" name="image04.png"/>
            <a:graphic>
              <a:graphicData uri="http://schemas.openxmlformats.org/drawingml/2006/picture">
                <pic:pic>
                  <pic:nvPicPr>
                    <pic:cNvPr descr="Pcs2owl.png" id="0" name="image04.png"/>
                    <pic:cNvPicPr preferRelativeResize="0"/>
                  </pic:nvPicPr>
                  <pic:blipFill>
                    <a:blip r:embed="rId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OPC UA Standard would be parsed by the Custom Parser. </w:t>
      </w:r>
      <w:r w:rsidDel="00000000" w:rsidR="00000000" w:rsidRPr="00000000">
        <w:rPr>
          <w:i w:val="1"/>
          <w:shd w:fill="ffe599" w:val="clear"/>
          <w:rtl w:val="0"/>
        </w:rPr>
        <w:t xml:space="preserve">(image needs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Parse</w:t>
      </w:r>
    </w:p>
    <w:p w:rsidR="00000000" w:rsidDel="00000000" w:rsidP="00000000" w:rsidRDefault="00000000" w:rsidRPr="00000000">
      <w:pPr>
        <w:contextualSpacing w:val="0"/>
      </w:pPr>
      <w:r w:rsidDel="00000000" w:rsidR="00000000" w:rsidRPr="00000000">
        <w:rPr>
          <w:rtl w:val="0"/>
        </w:rPr>
        <w:t xml:space="preserve">To p</w:t>
      </w:r>
      <w:r w:rsidDel="00000000" w:rsidR="00000000" w:rsidRPr="00000000">
        <w:rPr>
          <w:rtl w:val="0"/>
        </w:rPr>
        <w:t xml:space="preserve">arse the schema into objects which are consist of classes, properties and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 OPC Unified Architecture</w:t>
      </w:r>
    </w:p>
    <w:p w:rsidR="00000000" w:rsidDel="00000000" w:rsidP="00000000" w:rsidRDefault="00000000" w:rsidRPr="00000000">
      <w:pPr>
        <w:contextualSpacing w:val="0"/>
      </w:pPr>
      <w:r w:rsidDel="00000000" w:rsidR="00000000" w:rsidRPr="00000000">
        <w:rPr>
          <w:b w:val="1"/>
          <w:rtl w:val="0"/>
        </w:rPr>
        <w:t xml:space="preserve">1.1.1 OPC UA 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asc_uamodel.png" id="3" name="image05.png"/>
            <a:graphic>
              <a:graphicData uri="http://schemas.openxmlformats.org/drawingml/2006/picture">
                <pic:pic>
                  <pic:nvPicPr>
                    <pic:cNvPr descr="asc_uamodel.png" id="0" name="image05.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1.1.2 OPC UA specifications</w:t>
      </w:r>
    </w:p>
    <w:p w:rsidR="00000000" w:rsidDel="00000000" w:rsidP="00000000" w:rsidRDefault="00000000" w:rsidRPr="00000000">
      <w:pPr>
        <w:contextualSpacing w:val="0"/>
      </w:pPr>
      <w:r w:rsidDel="00000000" w:rsidR="00000000" w:rsidRPr="00000000">
        <w:rPr>
          <w:rtl w:val="0"/>
        </w:rPr>
        <w:t xml:space="preserve">The OPC UA Specification is a multi-part specification and consists of the following parts: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Core Specifications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Access Type Specifications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Utility Type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441700"/>
            <wp:effectExtent b="0" l="0" r="0" t="0"/>
            <wp:docPr descr="asc_uaspecification.png" id="1" name="image03.png"/>
            <a:graphic>
              <a:graphicData uri="http://schemas.openxmlformats.org/drawingml/2006/picture">
                <pic:pic>
                  <pic:nvPicPr>
                    <pic:cNvPr descr="asc_uaspecification.png" id="0" name="image03.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particular, there are the following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Concepts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Security Model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Address Space Model</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Services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Information 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Service Mappings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Profiles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 Access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Alarms and Conditions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Programs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Historical Access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Discovery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Aggregates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 Parsing Rule</w:t>
      </w:r>
    </w:p>
    <w:p w:rsidR="00000000" w:rsidDel="00000000" w:rsidP="00000000" w:rsidRDefault="00000000" w:rsidRPr="00000000">
      <w:pPr>
        <w:contextualSpacing w:val="0"/>
      </w:pPr>
      <w:r w:rsidDel="00000000" w:rsidR="00000000" w:rsidRPr="00000000">
        <w:rPr>
          <w:rtl w:val="0"/>
        </w:rPr>
        <w:t xml:space="preserve">Need to be developed - by analyzing all the specifications.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Transformation</w:t>
      </w:r>
    </w:p>
    <w:p w:rsidR="00000000" w:rsidDel="00000000" w:rsidP="00000000" w:rsidRDefault="00000000" w:rsidRPr="00000000">
      <w:pPr>
        <w:contextualSpacing w:val="0"/>
      </w:pPr>
      <w:r w:rsidDel="00000000" w:rsidR="00000000" w:rsidRPr="00000000">
        <w:rPr>
          <w:b w:val="1"/>
          <w:rtl w:val="0"/>
        </w:rPr>
        <w:t xml:space="preserve">2.1 Transformation of a Product Classification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Creation of the classes in the resulting ontology based on the source OPC UA being processed. To create the ontology classes, the tool relies on the </w:t>
      </w:r>
      <w:r w:rsidDel="00000000" w:rsidR="00000000" w:rsidRPr="00000000">
        <w:rPr>
          <w:b w:val="1"/>
          <w:rtl w:val="0"/>
        </w:rPr>
        <w:t xml:space="preserve">GenTax approach*</w:t>
      </w:r>
      <w:r w:rsidDel="00000000" w:rsidR="00000000" w:rsidRPr="00000000">
        <w:rPr>
          <w:rtl w:val="0"/>
        </w:rPr>
        <w:t xml:space="preserve">, whereby it is possible to generate a consistent OWL ontology while preserving the taxonomic structure of the original categories in the OPC UA. In order to do so, the GenTax method creates two OWL classes in the target ontology from each category in the OPC UA. The first is a broader taxonomic class that represents the category from the OPC UA in the target ontology. The second is a context-specific class, in our case in the domain of products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GenTax approach</w:t>
        <w:br w:type="textWrapping"/>
        <w:t xml:space="preserve"> (http://www.heppnetz.de/files/hepp-de-bruijn-ESWC2007-gentax-CRC.pdf)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Converting Property Types and Related Values</w:t>
      </w:r>
    </w:p>
    <w:p w:rsidR="00000000" w:rsidDel="00000000" w:rsidP="00000000" w:rsidRDefault="00000000" w:rsidRPr="00000000">
      <w:pPr>
        <w:contextualSpacing w:val="0"/>
      </w:pPr>
      <w:r w:rsidDel="00000000" w:rsidR="00000000" w:rsidRPr="00000000">
        <w:rPr>
          <w:rtl w:val="0"/>
        </w:rPr>
        <w:t xml:space="preserve">converts features and feature values of PCS, thus contributing additional semantics to categories.</w:t>
      </w:r>
    </w:p>
    <w:p w:rsidR="00000000" w:rsidDel="00000000" w:rsidP="00000000" w:rsidRDefault="00000000" w:rsidRPr="00000000">
      <w:pPr>
        <w:contextualSpacing w:val="0"/>
      </w:pPr>
      <w:r w:rsidDel="00000000" w:rsidR="00000000" w:rsidRPr="00000000">
        <w:rPr>
          <w:rtl w:val="0"/>
        </w:rPr>
        <w:t xml:space="preserve">Custom rules and heuristics guide the distinction of the property types and related values. They have to be provided as part of the parser modules in order they can be applied in the subsequent transformation step where respective OWL properties are generated automatically.</w:t>
      </w:r>
    </w:p>
    <w:p w:rsidR="00000000" w:rsidDel="00000000" w:rsidP="00000000" w:rsidRDefault="00000000" w:rsidRPr="00000000">
      <w:pPr>
        <w:contextualSpacing w:val="0"/>
      </w:pPr>
      <w:r w:rsidDel="00000000" w:rsidR="00000000" w:rsidRPr="00000000">
        <w:rPr>
          <w:rtl w:val="0"/>
        </w:rPr>
        <w:t xml:space="preserve">Thus, the quality of the conversion strongly depends on the correctness of these logics: As a general rule of thumb, a numerical value accompanied by a unit code in the classification system yields a quantitative value in the resulting product ontology, and not a qualitative value or a datatype literal.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Serialization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classes and related entities in the ontologies obey a common URI pattern, which is comprised of (1) the base URI of the ontology; (2) a prefix to help humans distinguish URIs of different entity types, namely C for classes, P for properties, and V for values; (3) an identifier unique in the context of the category system, that for categories is typically the hierarchy code; and, for classes, (4) a suffix to distinguish generic (-gen) from taxonomic (-tax) classes.</w:t>
      </w:r>
    </w:p>
    <w:p w:rsidR="00000000" w:rsidDel="00000000" w:rsidP="00000000" w:rsidRDefault="00000000" w:rsidRPr="00000000">
      <w:pPr>
        <w:contextualSpacing w:val="0"/>
      </w:pPr>
      <w:r w:rsidDel="00000000" w:rsidR="00000000" w:rsidRPr="00000000">
        <w:rPr>
          <w:rtl w:val="0"/>
        </w:rPr>
        <w:t xml:space="preserve">Generates a single comprehensive dump of the RDF graph, which is serialized as RDF/XML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t xml:space="preserve">[1] PCS2OW:  </w:t>
      </w:r>
      <w:hyperlink r:id="rId8">
        <w:r w:rsidDel="00000000" w:rsidR="00000000" w:rsidRPr="00000000">
          <w:rPr>
            <w:color w:val="1155cc"/>
            <w:u w:val="single"/>
            <w:rtl w:val="0"/>
          </w:rPr>
          <w:t xml:space="preserve">http://wiki.goodrelations-vocabulary.org/Tools/PCS2OWL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yperlink" Target="http://wiki.goodrelations-vocabulary.org/Tools/PCS2OWL" TargetMode="External"/></Relationships>
</file>