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Chains App Design Engineering and Retention Playbook</w:t>
      </w:r>
    </w:p>
    <w:p>
      <w:pPr>
        <w:pStyle w:val="Subtitle"/>
      </w:pPr>
      <w:r>
        <w:t>Research backed requirements for a reliable application that people return to</w:t>
      </w:r>
    </w:p>
    <w:p>
      <w:r>
        <w:t>Prepared for Guillermo Garcia | 24 October 2026</w:t>
      </w:r>
    </w:p>
    <w:p>
      <w:bookmarkStart w:id="5" w:name="section_1"/>
      <w:pPr>
        <w:pStyle w:val="Heading1"/>
      </w:pPr>
      <w:r>
        <w:t>Purpose and main decisions</w:t>
      </w:r>
      <w:bookmarkEnd w:id="5"/>
    </w:p>
    <w:p>
      <w:r>
        <w:t>Chains needs a consistent application contract: people can find an activity, complete it without confusion, leave and return without losing work, and trust what the application tells them. Engagement features become valuable when that contract holds. This document specifies navigation, screen behavior, accessibility, architecture, data reliability, scalability, security, release practices, and retention measurement. It complements the separate Disc Golf Engagement Research document rather than replacing its challenge catalog.</w:t>
      </w:r>
    </w:p>
    <w:p>
      <w:r>
        <w:t>The recommended next investment is a dependable foundation for existing features. Establish one navigation model, distinguish local saves from server confirmation, validate permissions using a second account, isolate staging data, and measure actual load and interaction performance. Continue the documented build time compilation improvement. Introduce maintainable source boundaries incrementally rather than undertaking an untested full rewrite.</w:t>
      </w:r>
    </w:p>
    <w:p>
      <w:r>
        <w:t>This is a research informed engineering playbook and a limited repository review. Requirements describe the intended product standard; they are not claims that every screen currently passes or fails. Repository observations are identified separately from documentation claims and proposed changes. No production database, account, application file, or deployment was changed for this review.</w:t>
      </w:r>
    </w:p>
    <w:p>
      <w:r>
        <w:br w:type="page"/>
      </w:r>
    </w:p>
    <w:p>
      <w:pPr>
        <w:pStyle w:val="Heading1"/>
      </w:pPr>
      <w:r>
        <w:t>Contents</w:t>
      </w:r>
    </w:p>
    <w:p>
      <w:pPr>
        <w:spacing w:after="60" w:line="240" w:lineRule="auto"/>
      </w:pPr>
      <w:hyperlink w:anchor="section_2">
        <w:r>
          <w:rPr>
            <w:color w:val="174A6E"/>
          </w:rPr>
          <w:t>1 Evidence and review boundaries</w:t>
        </w:r>
      </w:hyperlink>
    </w:p>
    <w:p>
      <w:pPr>
        <w:spacing w:after="60" w:line="240" w:lineRule="auto"/>
      </w:pPr>
      <w:hyperlink w:anchor="section_3">
        <w:r>
          <w:rPr>
            <w:color w:val="174A6E"/>
          </w:rPr>
          <w:t>2 Current Chains structure and its implications</w:t>
        </w:r>
      </w:hyperlink>
    </w:p>
    <w:p>
      <w:pPr>
        <w:spacing w:after="60" w:line="240" w:lineRule="auto"/>
      </w:pPr>
      <w:hyperlink w:anchor="section_4">
        <w:r>
          <w:rPr>
            <w:color w:val="174A6E"/>
          </w:rPr>
          <w:t>3 Navigation contract</w:t>
        </w:r>
      </w:hyperlink>
    </w:p>
    <w:p>
      <w:pPr>
        <w:spacing w:after="60" w:line="240" w:lineRule="auto"/>
      </w:pPr>
      <w:hyperlink w:anchor="section_5">
        <w:r>
          <w:rPr>
            <w:color w:val="174A6E"/>
          </w:rPr>
          <w:t>4 A complete screen specification</w:t>
        </w:r>
      </w:hyperlink>
    </w:p>
    <w:p>
      <w:pPr>
        <w:spacing w:after="60" w:line="240" w:lineRule="auto"/>
      </w:pPr>
      <w:hyperlink w:anchor="section_6">
        <w:r>
          <w:rPr>
            <w:color w:val="174A6E"/>
          </w:rPr>
          <w:t>5 Consistent interface and accessible interaction</w:t>
        </w:r>
      </w:hyperlink>
    </w:p>
    <w:p>
      <w:pPr>
        <w:spacing w:after="60" w:line="240" w:lineRule="auto"/>
      </w:pPr>
      <w:hyperlink w:anchor="section_7">
        <w:r>
          <w:rPr>
            <w:color w:val="174A6E"/>
          </w:rPr>
          <w:t>6 Durable scoring and truthful save states</w:t>
        </w:r>
      </w:hyperlink>
    </w:p>
    <w:p>
      <w:pPr>
        <w:spacing w:after="60" w:line="240" w:lineRule="auto"/>
      </w:pPr>
      <w:hyperlink w:anchor="section_8">
        <w:r>
          <w:rPr>
            <w:color w:val="174A6E"/>
          </w:rPr>
          <w:t>7 Offline launch and application updates</w:t>
        </w:r>
      </w:hyperlink>
    </w:p>
    <w:p>
      <w:pPr>
        <w:spacing w:after="60" w:line="240" w:lineRule="auto"/>
      </w:pPr>
      <w:hyperlink w:anchor="section_9">
        <w:r>
          <w:rPr>
            <w:color w:val="174A6E"/>
          </w:rPr>
          <w:t>8 Maintainable architecture and source ownership</w:t>
        </w:r>
      </w:hyperlink>
    </w:p>
    <w:p>
      <w:pPr>
        <w:spacing w:after="60" w:line="240" w:lineRule="auto"/>
      </w:pPr>
      <w:hyperlink w:anchor="section_10">
        <w:r>
          <w:rPr>
            <w:color w:val="174A6E"/>
          </w:rPr>
          <w:t>9 Scalable data and predictable costs</w:t>
        </w:r>
      </w:hyperlink>
    </w:p>
    <w:p>
      <w:pPr>
        <w:spacing w:after="60" w:line="240" w:lineRule="auto"/>
      </w:pPr>
      <w:hyperlink w:anchor="section_11">
        <w:r>
          <w:rPr>
            <w:color w:val="174A6E"/>
          </w:rPr>
          <w:t>10 Performance and responsive behavior</w:t>
        </w:r>
      </w:hyperlink>
    </w:p>
    <w:p>
      <w:pPr>
        <w:spacing w:after="60" w:line="240" w:lineRule="auto"/>
      </w:pPr>
      <w:hyperlink w:anchor="section_12">
        <w:r>
          <w:rPr>
            <w:color w:val="174A6E"/>
          </w:rPr>
          <w:t>11 Security identity and permission tests</w:t>
        </w:r>
      </w:hyperlink>
    </w:p>
    <w:p>
      <w:pPr>
        <w:spacing w:after="60" w:line="240" w:lineRule="auto"/>
      </w:pPr>
      <w:hyperlink w:anchor="section_13">
        <w:r>
          <w:rPr>
            <w:color w:val="174A6E"/>
          </w:rPr>
          <w:t>12 Privacy deletion and community trust</w:t>
        </w:r>
      </w:hyperlink>
    </w:p>
    <w:p>
      <w:pPr>
        <w:spacing w:after="60" w:line="240" w:lineRule="auto"/>
      </w:pPr>
      <w:hyperlink w:anchor="section_14">
        <w:r>
          <w:rPr>
            <w:color w:val="174A6E"/>
          </w:rPr>
          <w:t>13 Sustained engagement as a product system</w:t>
        </w:r>
      </w:hyperlink>
    </w:p>
    <w:p>
      <w:pPr>
        <w:spacing w:after="60" w:line="240" w:lineRule="auto"/>
      </w:pPr>
      <w:hyperlink w:anchor="section_15">
        <w:r>
          <w:rPr>
            <w:color w:val="174A6E"/>
          </w:rPr>
          <w:t>14 Analytics that support decisions</w:t>
        </w:r>
      </w:hyperlink>
    </w:p>
    <w:p>
      <w:pPr>
        <w:spacing w:after="60" w:line="240" w:lineRule="auto"/>
      </w:pPr>
      <w:hyperlink w:anchor="section_16">
        <w:r>
          <w:rPr>
            <w:color w:val="174A6E"/>
          </w:rPr>
          <w:t>15 Testing and release discipline</w:t>
        </w:r>
      </w:hyperlink>
    </w:p>
    <w:p>
      <w:pPr>
        <w:spacing w:after="60" w:line="240" w:lineRule="auto"/>
      </w:pPr>
      <w:hyperlink w:anchor="section_17">
        <w:r>
          <w:rPr>
            <w:color w:val="174A6E"/>
          </w:rPr>
          <w:t>16 Operations and recovery</w:t>
        </w:r>
      </w:hyperlink>
    </w:p>
    <w:p>
      <w:pPr>
        <w:spacing w:after="60" w:line="240" w:lineRule="auto"/>
      </w:pPr>
      <w:hyperlink w:anchor="section_18">
        <w:r>
          <w:rPr>
            <w:color w:val="174A6E"/>
          </w:rPr>
          <w:t>17 Prioritized work for Chains</w:t>
        </w:r>
      </w:hyperlink>
    </w:p>
    <w:p>
      <w:pPr>
        <w:spacing w:after="60" w:line="240" w:lineRule="auto"/>
      </w:pPr>
      <w:hyperlink w:anchor="section_19">
        <w:r>
          <w:rPr>
            <w:color w:val="174A6E"/>
          </w:rPr>
          <w:t>18 Definition of a properly built feature</w:t>
        </w:r>
      </w:hyperlink>
    </w:p>
    <w:p>
      <w:pPr>
        <w:spacing w:after="60" w:line="240" w:lineRule="auto"/>
      </w:pPr>
      <w:hyperlink w:anchor="section_20">
        <w:r>
          <w:rPr>
            <w:color w:val="174A6E"/>
          </w:rPr>
          <w:t>References</w:t>
        </w:r>
      </w:hyperlink>
    </w:p>
    <w:p>
      <w:pPr>
        <w:spacing w:after="60" w:line="240" w:lineRule="auto"/>
      </w:pPr>
      <w:hyperlink w:anchor="section_21">
        <w:r>
          <w:rPr>
            <w:color w:val="174A6E"/>
          </w:rPr>
          <w:t>Repository evidence register</w:t>
        </w:r>
      </w:hyperlink>
    </w:p>
    <w:p>
      <w:pPr>
        <w:spacing w:after="60" w:line="240" w:lineRule="auto"/>
      </w:pPr>
      <w:hyperlink w:anchor="section_22">
        <w:r>
          <w:rPr>
            <w:color w:val="174A6E"/>
          </w:rPr>
          <w:t>Appendix A Screen review worksheet</w:t>
        </w:r>
      </w:hyperlink>
    </w:p>
    <w:p>
      <w:pPr>
        <w:spacing w:after="60" w:line="240" w:lineRule="auto"/>
      </w:pPr>
      <w:hyperlink w:anchor="section_23">
        <w:r>
          <w:rPr>
            <w:color w:val="174A6E"/>
          </w:rPr>
          <w:t>Appendix B First field verification session</w:t>
        </w:r>
      </w:hyperlink>
    </w:p>
    <w:p>
      <w:r>
        <w:br w:type="page"/>
      </w:r>
    </w:p>
    <w:p>
      <w:bookmarkStart w:id="13" w:name="section_2"/>
      <w:pPr>
        <w:pStyle w:val="Heading1"/>
      </w:pPr>
      <w:r>
        <w:t>1 Evidence and review boundaries</w:t>
      </w:r>
      <w:bookmarkEnd w:id="13"/>
    </w:p>
    <w:p>
      <w:r>
        <w:t>The review followed the requested order in Bonnaroo/chains-agent-log: README, HANDOFF.md, CHAINS_SYSTEM.md, recent AGENT_LOG entries, and ops/TODO.md, followed by DESIGN.md. OPERATIONS.md, selected app shell source, the round persistence module, and chains-app/sw.js supplied additional context. The two repositories were accessed through GitHub. Public platform guidance and research are linked in the references. [R1–R9]</w:t>
      </w:r>
    </w:p>
    <w:p>
      <w:r>
        <w:t>The handoff identifies v538 as current. The older system guide contains superseded descriptions, including browser compilation, feature status, and token capabilities. Recent logs describe build time compilation beginning with v537. Treat these discrepancies as documentation reconciliation work, not evidence that the deployed application is broken. File sizes vary across documents and may use different compression bases; measure exact current bytes instead of repeating a historical estimate.</w:t>
      </w:r>
    </w:p>
    <w:p>
      <w:r>
        <w:t>This review did not execute the application, verify deployed Firebase rules, inspect private infrastructure, conduct a penetration test, or validate all source modules against the live bundle. A repository rules file is not proof that those rules are deployed. A logged browser verification is historical evidence, not a new test performed here. Security and reliability items below therefore distinguish documented exposure, directly observed code behavior, and checks still needed.</w:t>
      </w:r>
    </w:p>
    <w:p>
      <w:r>
        <w:t>Evidence categories used throughout are: platform guidance for recommended patterns; research findings for measured behavioral outcomes; repository documentation for project intent and reported history; source observations for inspected implementation; and proposed requirements for decisions Chains should test and adopt. Their evidentiary strength is not interchangeable.</w:t>
      </w:r>
    </w:p>
    <w:p>
      <w:bookmarkStart w:id="23" w:name="section_3"/>
      <w:pPr>
        <w:pStyle w:val="Heading1"/>
      </w:pPr>
      <w:r>
        <w:t>2 Current Chains structure and its implications</w:t>
      </w:r>
      <w:bookmarkEnd w:id="23"/>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Component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Reviewed basis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Engineering implication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React web app on GitHub Pages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README and handoff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Design for browser history and direct links as well as phone use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Compressed modules inside a built HTML file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Handoff and recent log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Keep editable source authoritative and the build reproducible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JSX precompiled from v537</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Recent log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Measure the benefit and guard against returning compilation to phones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Two Firebase Realtime Database projects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Handoff and system guide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Define identity permissions and write authority separately for each</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Round data mirrored across several nodes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System guide and round source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Finalize corrections and deletion must reconcile every representation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Local round mirror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Inspected module 31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Some recovery exists but durable replay and failure reporting need tests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Noncaching service worker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Inspected sw.js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Registration alone does not establish offline launch support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Separate test.html on the production origin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Handoff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Staging filename alone does not isolate user data or browser storage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Design rulebook and operational procedures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DESIGN and OPERATIONS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Extend these contracts instead of inventing a second visual system</w:t>
            </w:r>
          </w:p>
        </w:tc>
      </w:tr>
    </w:tbl>
    <w:p>
      <w:pPr>
        <w:spacing w:after="40"/>
      </w:pPr>
    </w:p>
    <w:p>
      <w:r>
        <w:t>The existing architecture can support useful growth without immediately migrating platforms. Its risks are less about whether React or Firebase is acceptable and more about unclear state ownership, duplicated representations, broad reads, weak deployment boundaries, and insufficient evidence from independent devices. Those risks must be measured and tested rather than assumed to have already caused a failure.</w:t>
      </w:r>
    </w:p>
    <w:p>
      <w:bookmarkStart w:id="39" w:name="section_4"/>
      <w:pPr>
        <w:pStyle w:val="Heading1"/>
      </w:pPr>
      <w:r>
        <w:t>3 Navigation contract</w:t>
      </w:r>
      <w:bookmarkEnd w:id="39"/>
    </w:p>
    <w:p>
      <w:pPr>
        <w:pStyle w:val="Heading2"/>
      </w:pPr>
      <w:r>
        <w:t>3.1 Every location needs a predictable exit</w:t>
      </w:r>
    </w:p>
    <w:p>
      <w:r>
        <w:t>Preserve the established bottom bar: Home, Courses, Play, Challenges, and More. A top level destination uses the bar for switching; a pushed detail screen has a visible top left back control. A modal has an explicit close or cancel action. A multistep form has previous and cancel behavior appropriate to its state. Do not insert a redundant Back button on every root screen merely to satisfy a checklist. The objective is a predictable exit and recovery path. Apple's navigation guidance favors familiar structures that reduce confusion. [1]</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Context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Visible control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Expected result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 detail opened from search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Restore search term filters and position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Round detail opened from history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Restore the prior history list position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Score entry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Previous hole and round menu</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Move deliberately without discarding scores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Bag edit sheet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Cancel or Close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Preserve the bag and handle unsaved edits explicitly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League creation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 and Cancel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Restore draft steps or explain discard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Direct course link from a sticker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Course list or Home fallback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Stay within a meaningful app destination when no internal history exists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Confirmation dialog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Cancel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Return to the same control and data</w:t>
            </w:r>
          </w:p>
        </w:tc>
      </w:tr>
    </w:tbl>
    <w:p>
      <w:pPr>
        <w:spacing w:after="40"/>
      </w:pPr>
    </w:p>
    <w:p>
      <w:r>
        <w:t>App Back and browser Back must agree about the navigation stack. Do not blindly call history.back when the previous entry may be an unrelated website. Track whether an internal predecessor exists and provide a deterministic fallback. Keep Forward meaningful. A completed destructive operation must not repeat merely because the browser traverses history. The HTML navigation APIs provide the history primitives; the product must define the policy. [2]</w:t>
      </w:r>
    </w:p>
    <w:p>
      <w:pPr>
        <w:pStyle w:val="Heading2"/>
      </w:pPr>
      <w:r>
        <w:t>3.2 URLs state and return behavior</w:t>
      </w:r>
    </w:p>
    <w:p>
      <w:r>
        <w:t>Use a stable route representation for course, round, league, and profile destinations. Preserve existing course sticker links through compatibility redirects or parsing. On GitHub Pages, retain a hash based route strategy unless a tested deployment solution supports path fallback; changing to clean paths without host support can create refresh 404s. Authentication should preserve the intended safe in-app destination and resume it after login.</w:t>
      </w:r>
    </w:p>
    <w:p>
      <w:r>
        <w:t>The recent log describes retrying course navigation after several fixed delays during startup. That is a documented implementation, not a tested defect here. A stronger target is a single pending route consumed once authentication and catalog readiness are known. Make readiness explicit; avoid relying on a phone finishing work before a timer expires. Include missing course, invalid identifier, deleted league, and unauthorized invitation outcomes.</w:t>
      </w:r>
    </w:p>
    <w:p>
      <w:r>
        <w:t>Store route state separately from edit drafts and domain data. A route identifies what the user is viewing. A draft preserves unfinished work. Server data defines accepted shared facts. Restoring a scroll position must not accidentally reset a score. Selecting another bottom tab must not finalize a round.</w:t>
      </w:r>
    </w:p>
    <w:p>
      <w:pPr>
        <w:pStyle w:val="Heading2"/>
      </w:pPr>
      <w:r>
        <w:t>3.3 Navigation acceptance checks</w:t>
      </w:r>
    </w:p>
    <w:p>
      <w:r>
        <w:t>NAV01: every pushed screen has a visible working exit. NAV02: Back and Forward restore the expected route and context. NAV03: refresh at a shared destination returns to that destination or an explicit recoverable state. NAV04: login preserves the intended destination. NAV05: switching tabs preserves an active round. NAV06: a deleted or unauthorized item has a useful explanation and exit. NAV07: no navigation occurs automatically after entering a score. These are release requirements, not assertions about current test results.</w:t>
      </w:r>
    </w:p>
    <w:p>
      <w:bookmarkStart w:id="69" w:name="section_5"/>
      <w:pPr>
        <w:pStyle w:val="Heading1"/>
      </w:pPr>
      <w:r>
        <w:t>4 A complete screen specification</w:t>
      </w:r>
      <w:bookmarkEnd w:id="69"/>
    </w:p>
    <w:p>
      <w:r>
        <w:t>A screen is not complete when its happy path looks polished. Its specification must define initial loading, ready content, no results, first use, offline behavior, partial data, permission denial, failure, retry, successful save, pending save, and stale data where relevant. Design each state using the same components and plain words.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State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Example in Chains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Required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First use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No recorded rounds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Explain one useful next action without fabricated stats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No results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Course search has no match</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Keep query and filters visible with a recovery option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Loading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League standings requested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Reserve space and identify what is loading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Offline with local data</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Active round already on phone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Keep scoring and show the actual durability state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Offline without local data</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Unvisited course not cached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Explain availability and offer saved alternatives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Partial failure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Scores present map unavailable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Keep scoring usable and isolate the map error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Permission denied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Nonmember opens a private league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Explain access without exposing private data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Sync pending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Score saved locally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Distinguish local persistence from server acceptance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Conflict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Another scorer changed the same value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Preserve both revisions and ask for deliberate resolution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Stale feed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Poller has not updated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Show last update time rather than an unqualified Live label</w:t>
            </w:r>
          </w:p>
        </w:tc>
      </w:tr>
    </w:tbl>
    <w:p>
      <w:pPr>
        <w:spacing w:after="40"/>
      </w:pPr>
    </w:p>
    <w:p>
      <w:r>
        <w:t>Errors must say what failed, what remains saved, and what the player can do. Never display a success toast merely because an optimistic screen changed. Prevent duplicate submissions using operation identity, not only a temporarily disabled button. A retry must reuse the same logical operation. An empty response is not automatically an empty database; distinguish permission, network, parse, and legitimate no data outcomes.</w:t>
      </w:r>
    </w:p>
    <w:p>
      <w:bookmarkStart w:id="88" w:name="section_6"/>
      <w:pPr>
        <w:pStyle w:val="Heading1"/>
      </w:pPr>
      <w:r>
        <w:t>5 Consistent interface and accessible interaction</w:t>
      </w:r>
      <w:bookmarkEnd w:id="88"/>
    </w:p>
    <w:p>
      <w:r>
        <w:t>DESIGN.md already specifies app SVG icons, plain language, one action accent, consistent spacing, large targets, visible back controls, and portals for fixed elements. Keep those as Chains product requirements. Follow recent approved product decisions where an older screen outline differs, and reconcile the rulebook afterward. Do not describe crown as user facing copy when the rulebook prohibits it; use Course record, Most rounds, Your holes, or the approved title name. [R6]</w:t>
      </w:r>
    </w:p>
    <w:p>
      <w:r>
        <w:t>WCAG 2.2 supplies a web accessibility baseline including contrast, focus, target size, and alternatives to relying on a single sensory cue. Its AA target size rule has exceptions and is not identical to Chains' stronger 44 by 44 CSS pixel product target. Normal text generally needs 4.5 to 1 contrast, with specified exceptions. A color compliant mockup is not a full accessibility assessment. [3]</w:t>
      </w:r>
    </w:p>
    <w:p>
      <w:r>
        <w:t>Every actionable icon needs an accessible name. Score controls should announce the player, hole, and operation. Current tab and selected state must be programmatically exposed. Keyboard and screen reader users need logical headings, focus order, and announcements for asynchronous changes that do not overwhelm them. Under par, par, and over par require text or symbols as well as color. Maps need a usable list or text alternative for essential actions.</w:t>
      </w:r>
    </w:p>
    <w:p>
      <w:r>
        <w:t>Modal behavior needs focus management in addition to a portal. WAI's modal pattern moves focus inside, contains keyboard traversal, supports dismissal, and normally returns focus to the invoking control. Background content should not remain operable as if no modal existed. A portal solves placement, not these interaction requirements. [4]</w:t>
      </w:r>
    </w:p>
    <w:p>
      <w:r>
        <w:t>Test text enlargement, narrow viewports, long player names, landscape, on-screen keyboards, iPhone safe areas, and sunlight. The bottom bar and floating hole controls must not obscure focused content or the final row of a scorecard. Respect reduced motion and mute preferences. Celebration cannot block input. A consistent 400 pixel harness is useful but insufficient to prove use on real phones.</w:t>
      </w:r>
    </w:p>
    <w:p>
      <w:bookmarkStart w:id="100" w:name="section_7"/>
      <w:pPr>
        <w:pStyle w:val="Heading1"/>
      </w:pPr>
      <w:r>
        <w:t>6 Durable scoring and truthful save states</w:t>
      </w:r>
      <w:bookmarkEnd w:id="100"/>
    </w:p>
    <w:p>
      <w:r>
        <w:t>Firebase explicitly documents that its Realtime Database web APIs do not persist offline data outside the session. Native persistence and Firestore persistence guidance must not be applied to this web implementation by analogy. A local application store is needed if pending work must survive the tab closing before server synchronization. [5]</w:t>
      </w:r>
    </w:p>
    <w:p>
      <w:r>
        <w:t>Module 31 contains a localStorage mirror and incremental cloud writes. Its writeLocal function catches storage exceptions without surfacing an outcome in that function. This is a directly observed behavior at the reviewed source SHA, not proof that a player has lost a round. Audit every caller before claiming Saved on this phone: a failed local write must not be presented as durable. Whole mirror serialization also merits measurement as history grows. [R8]</w:t>
      </w:r>
    </w:p>
    <w:p>
      <w:r>
        <w:t>Define explicit states: edited in memory, committed to local durable storage, pending synchronization, accepted by server, and rejected or conflicted. Each visible message must correspond to an actual condition. Server acceptance is different from confirmation that another device has received the change. Pending operations must be inspectable and recoverable after restart or authentication renewal.</w:t>
      </w:r>
    </w:p>
    <w:p>
      <w:r>
        <w:t>Proposed local persistence contract: persist the round ID, schema version, player identity, selected layout, each hole value, revision, and pending operations before showing durable success. An IndexedDB based store is a suitable candidate to evaluate for structured transactional writes; migration from the current local mirror must be tested with old data. Storage can still be unavailable or evicted, so the app must report failures and avoid promising unconditional device durability.</w:t>
      </w:r>
    </w:p>
    <w:p>
      <w:r>
        <w:t>On reconnection, replay pending operations idempotently. A stable operation ID prevents a retry from creating a second round. Use server validation and revision expectations for competing changes. Path level writes reduce unrelated collisions but do not resolve two people changing the same hole at the same time. Explicitly assign scoring rights and define owner, participant, and observer capabilities.</w:t>
      </w:r>
    </w:p>
    <w:p>
      <w:r>
        <w:t>REL01: enter scores offline, terminate the page, reopen, and recover the same round ID and values where offline launch is supported. REL02: reconnect and verify one accepted logical round. REL03: reject a write deliberately in an emulator and retain recoverable local work. REL04: simulate full storage and do not report a durable save. REL05: two devices editing the same cell resolve according to the published policy. REL06: correcting a finalized round reconciles all authorized mirrors and derived statistics.</w:t>
      </w:r>
    </w:p>
    <w:p>
      <w:bookmarkStart w:id="114" w:name="section_8"/>
      <w:pPr>
        <w:pStyle w:val="Heading1"/>
      </w:pPr>
      <w:r>
        <w:t>7 Offline launch and application updates</w:t>
      </w:r>
      <w:bookmarkEnd w:id="114"/>
    </w:p>
    <w:p>
      <w:r>
        <w:t>The reviewed sw.js intentionally has no fetch handler, deletes existing caches during activation, and sends requests to the network. The README phrase offline shell therefore overstates what that worker alone provides. This does not establish that all browser revisits fail offline; ordinary HTTP caching may help. It establishes that controlled offline shell support has not been demonstrated by this worker. [R7]</w:t>
      </w:r>
    </w:p>
    <w:p>
      <w:r>
        <w:t>Specify offline capabilities independently: loading the shell, opening an existing draft, finding cached course information, recording scores, viewing past rounds, and receiving live updates. These capabilities have different dependencies. An offline scoring promise should enumerate which ones work after a restart. Never label a stale professional feed live when there is no connection.</w:t>
      </w:r>
    </w:p>
    <w:p>
      <w:r>
        <w:t>If controlled caching is added, retain a known coherent application version and cache only required shell resources and permitted public data. Avoid caching private database responses through a broad service worker rule. The service worker lifecycle includes waiting and activation behavior; aggressive activation can mix old pages with new resources if the application does not coordinate updates. [6]</w:t>
      </w:r>
    </w:p>
    <w:p>
      <w:r>
        <w:t>Offer an update at a safe point after local work is protected. Do not force a reload while someone is scoring. Keep schema compatibility across the update window and test an old open tab against the new backend rules. Cache cleanup must be scoped to this application's owned cache names rather than blindly deleting unrelated caches on the same origin. Staging and production should ideally use separate origins and databases.</w:t>
      </w:r>
    </w:p>
    <w:p>
      <w:bookmarkStart w:id="124" w:name="section_9"/>
      <w:pPr>
        <w:pStyle w:val="Heading1"/>
      </w:pPr>
      <w:r>
        <w:t>8 Maintainable architecture and source ownership</w:t>
      </w:r>
      <w:bookmarkEnd w:id="124"/>
    </w:p>
    <w:p>
      <w:r>
        <w:t>The handoff now identifies chains-agent-log/src as authoritative module source and ops/build.py as the reference build. Preserve that relationship. A compressed production HTML bundle is a deployable artifact, not the preferred editing surface. Record which source commit, build tool version, and rule version produced each release. Build the same source twice and compare outputs, allowing only intentionally variable metadata. [R2]</w:t>
      </w:r>
    </w:p>
    <w:p>
      <w:r>
        <w:t>React guidance recommends state structures that avoid contradictions, duplication, and unnecessary nesting, and explains how component position affects state preservation. Applied here, one round identity and one explicit edit state are safer than several loosely coordinated copies. These principles do not mandate one global store or a particular third party state library. [7]</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Boundary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Owns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Must not silently own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Navigation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Route history deep links return context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Authoritative scores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Round domain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Scoring rules eligibility finalization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Modal layout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Persistence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Local store sync replay failures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Achievement copy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Identity and permissions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Signed in identity access decisions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Public score fabrication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Competition domain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League rules titles deterministic calculations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Arbitrary client trust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Presentation components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Buttons rows dialogs tokens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Database authorization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Data adapters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Catalog and feed formats validation freshness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Product route timing</w:t>
            </w:r>
          </w:p>
        </w:tc>
      </w:tr>
    </w:tbl>
    <w:p>
      <w:pPr>
        <w:spacing w:after="40"/>
      </w:pPr>
    </w:p>
    <w:p>
      <w:r>
        <w:t>Refactor through narrow interfaces while preserving behavior and existing IDs. First document contracts around ChainsRounds, authentication, navigation, and shared UI. Then extract deterministic calculations into testable functions, consolidate duplicated handlers, and split oversized components when a concrete change becomes safer. Avoid a big migration that simultaneously changes routes, storage, scoring, and visual design.</w:t>
      </w:r>
    </w:p>
    <w:p>
      <w:r>
        <w:t>Continue build time JSX compilation. Add syntax and reference checks to the build, but do not equate them with functional verification. The existing temporal declaration checks address a documented class of crashes; route and persistence tests cover different risks. An exception boundary around nonessential features should keep a failed map or feed from blanking the scorecard, while reporting the underlying error.</w:t>
      </w:r>
    </w:p>
    <w:p>
      <w:bookmarkStart w:id="144" w:name="section_10"/>
      <w:pPr>
        <w:pStyle w:val="Heading1"/>
      </w:pPr>
      <w:r>
        <w:t>9 Scalable data and predictable costs</w:t>
      </w:r>
      <w:bookmarkEnd w:id="144"/>
    </w:p>
    <w:p>
      <w:r>
        <w:t>Scalability means the app remains responsive and affordable as histories, groups, courses, and concurrent players grow. It also means that an engineer can change one feature without breaking unrelated screens. No universal concurrent user capacity can be inferred from the framework or repository size.</w:t>
      </w:r>
    </w:p>
    <w:p>
      <w:r>
        <w:t>Firebase recommends bounded listeners, efficient queries, indexes, and monitoring usage when optimizing Realtime Database performance. A listener at a broad parent can still transfer excessive data. Replacing polling with a listener is not enough unless its scope and payload are appropriate. [8]</w:t>
      </w:r>
    </w:p>
    <w:p>
      <w:r>
        <w:t>Keep course and player indexes, fetch paginated history, request only needed fields or compact summaries through an appropriate data design, and detach listeners when the owning view ends. Resolve profiles in bounded batches or a maintained lookup rather than downloading all accounts for every leaderboard. A top eight list should not require loading every private profile. Course search should avoid pulling detailed geometry for every course before showing results.</w:t>
      </w:r>
    </w:p>
    <w:p>
      <w:r>
        <w:t>The system guide reports historical repeated downloads of the league snapshot, but this review did not measure current traffic. Use that entry as an investigation lead. Measure requests, transferred bytes, listener count, largest payload, and read amplification for one user journey. Track typical and high usage sessions separately. Include client overhead and reconnect behavior in estimates.</w:t>
      </w:r>
    </w:p>
    <w:p>
      <w:r>
        <w:t>Illustrative arithmetic, not observed Chains traffic: a 100 kB snapshot fetched every five seconds transfers about 72 MB per device hour before protocol overhead. One hundred device hours would transfer about 7.2 GB. This is why payload scope matters even when individual requests appear small. Validate actual response sizes and caching before using any cost estimate.</w:t>
      </w:r>
    </w:p>
    <w:p>
      <w:r>
        <w:t>Use configurable load scenarios of ten, one hundred, and one thousand simultaneous simulated scorers against an isolated test environment where provider limits and budget allow. Increase incrementally. Record latency, failures, bytes, and cost; do not claim the application supports that number until tested. Course count and simultaneous active scorers are different scale dimensions.</w:t>
      </w:r>
    </w:p>
    <w:p>
      <w:bookmarkStart w:id="158" w:name="section_11"/>
      <w:pPr>
        <w:pStyle w:val="Heading1"/>
      </w:pPr>
      <w:r>
        <w:t>10 Performance and responsive behavior</w:t>
      </w:r>
      <w:bookmarkEnd w:id="158"/>
    </w:p>
    <w:p>
      <w:r>
        <w:t>Core Web Vitals define good thresholds of LCP at or below 2.5 seconds, INP at or below 200 milliseconds, and CLS at or below 0.1, assessed at the 75th percentile of visits. These measure loading, responsiveness, and layout stability. They are not a complete measure of a long lived application's scoring reliability. [9]</w:t>
      </w:r>
    </w:p>
    <w:p>
      <w:r>
        <w:t>Instrument field performance with privacy appropriate aggregation and supplement it with lab testing. Measure time to usable score controls, local save completion, server acknowledgment, route transition, catalog search, and battery impact. Define the reference device, network, data size, percentile, and observation window for each budget. Do not present an aspirational budget as a measured current result.</w:t>
      </w:r>
    </w:p>
    <w:p>
      <w:r>
        <w:t>Start with an internal target of visible score feedback within 100 milliseconds at the 95th percentile on a declared reference phone. Measure local durability separately rather than delaying visual feedback indefinitely or falsely reporting a save. Optimize after identifying the bottleneck: long JavaScript tasks, full catalog work, repeated serialization, excess render work, network payload, or image decode. Load optional fantasy, map, and historical data when needed, while keeping an active round dependable.</w:t>
      </w:r>
    </w:p>
    <w:p>
      <w:r>
        <w:t>Avoid layout movement under a thumb. Reserve image and map space. Keep score control dimensions stable as labels change. When the keyboard opens, keep the active field and its completion control visible. Test slow CPU as well as slow network: a small download can still perform poorly when parsed or recomputed repeatedly.</w:t>
      </w:r>
    </w:p>
    <w:p>
      <w:bookmarkStart w:id="168" w:name="section_12"/>
      <w:pPr>
        <w:pStyle w:val="Heading1"/>
      </w:pPr>
      <w:r>
        <w:t>11 Security identity and permission tests</w:t>
      </w:r>
      <w:bookmarkEnd w:id="168"/>
    </w:p>
    <w:p>
      <w:r>
        <w:t>The system guide reports broadly writable legacy fantasy paths and permissive authenticated app nodes; the handoff and TODO say replacement rules still require publication. These are serious documented review items, but their present deployed status was not checked. Confirm the active rules in a controlled authorized review, test the replacements in an emulator, and plan a migration before changing access. A private token is unnecessary for writing this document. [R2–R5]</w:t>
      </w:r>
    </w:p>
    <w:p>
      <w:r>
        <w:t>Firebase rules enforce server side read, write, and validation conditions. A hidden button, staging label, or client side commissioner check is not an access boundary. Rules should validate the actor, affected identity, permitted fields, and data shape. Where a parent rule grants access, a more restrictive descendant rule does not simply undo that grant; review the entire permission path. [10]</w:t>
      </w:r>
    </w:p>
    <w:p>
      <w:r>
        <w:t>OWASP MASVS provides a structured verification baseline across mobile storage, cryptography, authentication, network communication, platform interaction, code, resilience, and privacy. For the current web app, apply relevant web controls too; a native security framework does not certify this application. HTTPS protects transport but is not equivalent to end to end encryption or correct authorization. [11]</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Actor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Permitted example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Required denial example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Signed out visitor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Public landing page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Private messages and account records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Player A</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Edit own authorized score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Edit Player B account or impersonate username mapping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Round participant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Access a shared card under its rules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Change another unrelated round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League organizer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Manage their league under published rules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Grant global administrator status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Nonmember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Public league summary if enabled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Private invite details or member messages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Trusted worker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Write validated official feed and finalized aggregates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Expose service credentials to browser code</w:t>
            </w:r>
          </w:p>
        </w:tc>
      </w:tr>
    </w:tbl>
    <w:p>
      <w:pPr>
        <w:spacing w:after="40"/>
      </w:pPr>
    </w:p>
    <w:p>
      <w:r>
        <w:t>Use Firebase's rules unit testing and emulators to exercise both allowed and denied operations. Include forged member keys, unauthorized multi path writes, malformed scores, oversized strings, changed ownership, deleted profiles, and expired authentication. Test anonymous and independent signed in contexts. Do not verify a denial by attacking real users or modifying production records. [12]</w:t>
      </w:r>
    </w:p>
    <w:p>
      <w:r>
        <w:t>Account recovery needs separate verification of request access, abuse limits, credential lifetime, and delivery. The handoff describes a queued worker requiring owner configuration; do not imply that its mere presence establishes working recovery. Prefer established provider supported recovery mechanisms when compatible with the identity design, and explicitly model the risks of synthetic email usernames. Any change needs a migration for existing players.</w:t>
      </w:r>
    </w:p>
    <w:p>
      <w:bookmarkStart w:id="189" w:name="section_13"/>
      <w:pPr>
        <w:pStyle w:val="Heading1"/>
      </w:pPr>
      <w:r>
        <w:t>12 Privacy deletion and community trust</w:t>
      </w:r>
      <w:bookmarkEnd w:id="189"/>
    </w:p>
    <w:p>
      <w:r>
        <w:t>Inventory profiles, recovery email, messages, photos, bags, rounds, precise location, device diagnostics, and public achievements separately. For each, identify who can read it, why it is stored, retention, export, deletion, and backup treatment. Default real time presence and precise location away from unintended public exposure. Separate participation in public standings from unrelated analytics consent.</w:t>
      </w:r>
    </w:p>
    <w:p>
      <w:r>
        <w:t>The v535 log says account deletion retains shared scores and may retain name fields pending follow up. That is a documented limitation to review, not a declaration of legal noncompliance. Define whether records are deleted, anonymized, or retained for shared sporting history, communicate that choice, and verify actual paths. Use a dedicated disposable test account to exercise deletion end to end. Never use the owner's real account as the deletion test. [R4]</w:t>
      </w:r>
    </w:p>
    <w:p>
      <w:r>
        <w:t>Backups containing private information need private storage, access controls, and retention. Public source history is durable and can retain deleted exports. Confirm what existing public backups contain before expanding export coverage. Do not copy live private records into a report, test fixture, error tracker, or public repository. A code rollback does not undo exposure or data mutation.</w:t>
      </w:r>
    </w:p>
    <w:p>
      <w:r>
        <w:t>Provide reporting and blocking for messages and community content. Publishing a record requires rules players can inspect, correction history, and an appeal path. Rate limits and spam controls should protect invitations, recovery requests, posting, and join codes. Keep moderation capabilities auditable and appropriately restricted.</w:t>
      </w:r>
    </w:p>
    <w:p>
      <w:bookmarkStart w:id="199" w:name="section_14"/>
      <w:pPr>
        <w:pStyle w:val="Heading1"/>
      </w:pPr>
      <w:r>
        <w:t>13 Sustained engagement as a product system</w:t>
      </w:r>
      <w:bookmarkEnd w:id="199"/>
    </w:p>
    <w:p>
      <w:r>
        <w:t>The companion research document establishes the detailed achievement theory. Here the broader requirement is that each return provides useful value: resume a round, check a real league update, see meaningful personal progress, or coordinate with friends. Do not require everyone to use fantasy, social posting, bag tracking, and competition to accomplish basic scoring.</w:t>
      </w:r>
    </w:p>
    <w:p>
      <w:r>
        <w:t>A randomized physical activity trial found competition, support, and collaboration could improve activity in its studied setting. That supports testing social mechanics; it does not guarantee disc golf retention. Points and leaderboards increased task output without increasing intrinsic motivation in another controlled task. These findings support separating usefulness, behavior quantity, and enjoyment. [13,14]</w:t>
      </w:r>
    </w:p>
    <w:p>
      <w:r>
        <w:t>Keep permanent trophies, private goals, recurring challenges, and public competitive titles distinct. Preserve all time accumulation titles until legitimately surpassed under the published rule. Add seasonal participation opportunities alongside them. Respect the existing implementation described in the recent log rather than recommending already shipped features as if absent. The next work is consistency, comprehension, trustworthy progress, and measured benefit.</w:t>
      </w:r>
    </w:p>
    <w:p>
      <w:r>
        <w:t>Onboarding should reach first value quickly: course selection or invitation, an understandable layout, and a first score. Ask for location when nearby discovery is requested and notifications when a meaningful event type is chosen. Make bag inventory optional. A returning player should find their current context instead of repeating a promotional introduction.</w:t>
      </w:r>
    </w:p>
    <w:p>
      <w:r>
        <w:t>Use notifications for selected events and real changes. Category controls, quiet hours, batching, and useful destination links are product requirements. Do not score success solely by opens. A notification trial in a health setting showed that increased application engagement can occur without improved short term activity, underscoring the need to measure the intended outcome. [15]</w:t>
      </w:r>
    </w:p>
    <w:p>
      <w:bookmarkStart w:id="211" w:name="section_15"/>
      <w:pPr>
        <w:pStyle w:val="Heading1"/>
      </w:pPr>
      <w:r>
        <w:t>14 Analytics that support decisions</w:t>
      </w:r>
      <w:bookmarkEnd w:id="211"/>
    </w:p>
    <w:p>
      <w:r>
        <w:t>Google's HEART framework links user centered goals to signals and metrics across happiness, engagement, adoption, retention, and task success. Use those dimensions as a structure, not a requirement to collect every available event or a benchmark proving success. [16]</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Goal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Primary signal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Guardrail</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Easy first use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First eligible round completed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Setup abandonment and support requests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Dependable scoring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Round recovered and accepted without loss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Unresolved conflicts and duplicate round IDs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Sustained play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Second eligible round within 30 days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Enjoyment and opportunity to play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Useful social features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Multiple members complete a shared event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Unwanted invites and blocked contacts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Meaningful progress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Goals used and understood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Dismissals pressure and irrelevant suggestions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Scalable delivery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Bounded bytes and acceptable latency per journey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Error rates and provider cost</w:t>
            </w:r>
          </w:p>
        </w:tc>
      </w:tr>
    </w:tbl>
    <w:p>
      <w:pPr>
        <w:spacing w:after="40"/>
      </w:pPr>
    </w:p>
    <w:p>
      <w:r>
        <w:t>Define denominators and observation windows before reporting percentages. Distinguish fantasy only users, recreational scorers, and organizers. Separate lab timings from field distributions. Recent players without a complete follow up window are not failures. Michigan winter and summer require contextual interpretation.</w:t>
      </w:r>
    </w:p>
    <w:p>
      <w:r>
        <w:t>Start with a small documented event taxonomy: route entered, round started, local write committed, sync accepted, write rejected, round resumed, round finalized, goal selected, group event completed, and notification preference changed. Prevent duplicate analytics delivery from counting extra rounds. Avoid raw message text, recovery email, precise location, tokens, and private profile data in event payloads.</w:t>
      </w:r>
    </w:p>
    <w:p>
      <w:r>
        <w:t>Test one change at a time where practical. Compare contextual recaps with ordinary recaps or simplified onboarding with existing onboarding. Social experiments may need group level assignment because friends affect each other. Predefine the primary outcome and stopping plan; small pilots establish comprehension and feasibility, not definitive retention lifts. Preserve negative findings and distinguish association from causation.</w:t>
      </w:r>
    </w:p>
    <w:p>
      <w:bookmarkStart w:id="230" w:name="section_16"/>
      <w:pPr>
        <w:pStyle w:val="Heading1"/>
      </w:pPr>
      <w:r>
        <w:t>15 Testing and release discipline</w:t>
      </w:r>
      <w:bookmarkEnd w:id="230"/>
    </w:p>
    <w:p>
      <w:r>
        <w:t>Keep the project's staging first workflow for future code work. This document did not deploy a no-op build because it is a read-only research deliverable. Before any actual application edit, follow the handoff's workbench and verification requirements. Local build success, staging deployment, live URL, and a real user session establish different facts. [R2,R9]</w:t>
      </w:r>
    </w:p>
    <w:p>
      <w:r>
        <w:t>Staging should use a separate backend or emulators with synthetic accounts and data. test.html shares an origin with index.html, so cookies, localStorage, service worker scope, and backend configuration need explicit isolation. A staging filename alone does not make writes safe. Disable outbound invitations and real messages in test environments.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Test class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Required focus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Representative case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Deterministic logic</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Scores eligibility ties dates titles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Equal totals do not displace an incumbent under the rule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Permission tests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Allowed and denied paths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Player A cannot write Player B profile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Persistence integration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Local store queue backend reconciliation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Offline restart then one successful replay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Navigation integration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Back deep links refresh authentication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Sticker link resumes after login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Real two device checks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Shared scoring friends messages invites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One player updates while another observes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Accessibility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Keyboard screen reader text size focus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Dialog closes and returns focus correctly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Release regression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 journeys old data old tabs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Prior saved round survives a new build</w:t>
            </w:r>
          </w:p>
        </w:tc>
      </w:tr>
    </w:tbl>
    <w:p>
      <w:pPr>
        <w:spacing w:after="40"/>
      </w:pPr>
    </w:p>
    <w:p>
      <w:r>
        <w:t>A browser session signed in as the owner cannot establish authorization boundaries for another player. The TODO explicitly identifies incomplete two device validation; retain that as an open verification item until independent accounts and phones pass. If a task is incomplete, report the missing evidence rather than substituting a zero console error count for it.</w:t>
      </w:r>
    </w:p>
    <w:p>
      <w:r>
        <w:t>Every release record should identify source and artifact SHAs, version, schema compatibility, changed areas, automated checks, manual checks, environments, rule dependencies, and rollback plan. Source map and diagnostic publication should balance useful debugging with exposure of internals. No secrets belong in the browser artifact.</w:t>
      </w:r>
    </w:p>
    <w:p>
      <w:bookmarkStart w:id="250" w:name="section_17"/>
      <w:pPr>
        <w:pStyle w:val="Heading1"/>
      </w:pPr>
      <w:r>
        <w:t>16 Operations and recovery</w:t>
      </w:r>
      <w:bookmarkEnd w:id="250"/>
    </w:p>
    <w:p>
      <w:r>
        <w:t>OPERATIONS.md already defines deployment, rollback, backups, incident steps, and monitoring plans. Extend it with verified backup restoration and explicit data migration compatibility. Its broad statement that app rollback never needs data rollback should be qualified: a previous binary may be incompatible with newly written data or a changed rule. Test compatibility for each relevant release. [R9]</w:t>
      </w:r>
    </w:p>
    <w:p>
      <w:r>
        <w:t>Set proposed recovery objectives before broader use. A starting decision might be recovery of accepted shared data to within the last daily backup and restoration of essential scoring service within a few hours; these are business choices requiring verified infrastructure, not existing guarantees. Pending local scores need their own recovery behavior. Practice restoration into an isolated environment and compare representative records and counts.</w:t>
      </w:r>
    </w:p>
    <w:p>
      <w:r>
        <w:t>Monitor application availability, authenticated journey health, write failures, sync queue age, poller freshness, backup completion, and quota trends. A database returning HTTP success does not prove users can sign in or save scores. Use synthetic nonproduction accounts and privacy appropriate crash reporting. A delayed feed should degrade visibly rather than silently mislead.</w:t>
      </w:r>
    </w:p>
    <w:p>
      <w:bookmarkStart w:id="258" w:name="section_18"/>
      <w:pPr>
        <w:pStyle w:val="Heading1"/>
      </w:pPr>
      <w:r>
        <w:t>17 Prioritized work for Chains</w:t>
      </w:r>
      <w:bookmarkEnd w:id="258"/>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Priority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Work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Completion evidence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Before broader promotion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Verify active permissions and tested replacement rules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Allowed and denied test matrix plus recorded deployment state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Before broader promotion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Private backup coverage and restore rehearsal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Successful isolated restore with retention and access documented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Before broader promotion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Independent two phone shared flow tests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Scoring friend request message invite and title update all checked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Next foundation work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Navigation and screen state inventory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NAV01–NAV07 and state matrix applied to every route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Next foundation work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Truthful local and cloud save contract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REL01–REL06 including storage failure and replay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Next foundation work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Staging isolation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Distinct data and storage boundaries verified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Next performance work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Field metrics and bounded data access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Recorded baseline with payload and listener budgets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Incremental architecture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Reproducible source build and narrow interfaces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Source to artifact trace plus regression checks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After baseline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Controlled engagement experiments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Defined outcomes confidence intervals and guardrails</w:t>
            </w:r>
          </w:p>
        </w:tc>
      </w:tr>
    </w:tbl>
    <w:p>
      <w:pPr>
        <w:spacing w:after="40"/>
      </w:pPr>
    </w:p>
    <w:p>
      <w:r>
        <w:t>These priorities are recommendations based on the reviewed evidence, not permission to change production. Some owner tasks may already have been completed since the documents were written; verify their current state before creating duplicate work. Retire stale TODOs after evidence is recorded and reconcile conflicting documentation in a separately authorized code or documentation task.</w:t>
      </w:r>
    </w:p>
    <w:p>
      <w:bookmarkStart w:id="274" w:name="section_19"/>
      <w:pPr>
        <w:pStyle w:val="Heading1"/>
      </w:pPr>
      <w:r>
        <w:t>18 Definition of a properly built feature</w:t>
      </w:r>
      <w:bookmarkEnd w:id="274"/>
    </w:p>
    <w:p>
      <w:r>
        <w:t>A feature is ready when its purpose and user action are clear; its route, back behavior, and direct link work; its components follow the design contract; all relevant screen states are defined; edits survive the promised interruptions; permissions hold against unauthorized actors; data access is bounded; accessibility checks pass; failures are diagnosable; and release and rollback behavior are understood. Engagement features additionally need comprehensible criteria and measurements tied to user value.</w:t>
      </w:r>
    </w:p>
    <w:p>
      <w:r>
        <w:t>This definition scales with consequence. A cosmetic spacing change does not need the same test depth as shared scoring or account deletion. Data loss, identity, permission, and cross device changes require meaningful automated and manual evidence. Fast iteration remains possible when common components and testable contracts prevent each new screen from inventing its own rules.</w:t>
      </w:r>
    </w:p>
    <w:p>
      <w:bookmarkStart w:id="280" w:name="section_20"/>
      <w:pPr>
        <w:pStyle w:val="Heading1"/>
      </w:pPr>
      <w:r>
        <w:t>References</w:t>
      </w:r>
      <w:bookmarkEnd w:id="280"/>
    </w:p>
    <w:p>
      <w:r>
        <w:t>Platform and research sources were checked on 24 October 2026. Recommendations and acceptance identifiers are proposed Chains requirements. Sources establish patterns or findings within their scope rather than certifying the application.</w:t>
      </w:r>
    </w:p>
    <w:p>
      <w:pPr>
        <w:spacing w:after="180"/>
      </w:pPr>
      <w:r>
        <w:rPr>
          <w:sz w:val="20"/>
        </w:rPr>
        <w:t xml:space="preserve">[1] Apple Developer. Explore navigation design for iOS. WWDC 2022. Official navigation patterns and pitfalls. </w:t>
      </w:r>
      <w:hyperlink r:id="rId10">
        <w:r>
          <w:rPr>
            <w:color w:val="174A6E"/>
          </w:rPr>
          <w:t>https://developer.apple.com/videos/play/wwdc2022/10001/</w:t>
        </w:r>
      </w:hyperlink>
      <w:r>
        <w:rPr>
          <w:sz w:val="20"/>
        </w:rPr>
      </w:r>
    </w:p>
    <w:p>
      <w:pPr>
        <w:spacing w:after="180"/>
      </w:pPr>
      <w:r>
        <w:rPr>
          <w:sz w:val="20"/>
        </w:rPr>
        <w:t xml:space="preserve">[2] WHATWG. HTML Standard Edition for Web Developers Navigation and session history APIs. Browser history primitives and same origin navigation behavior. </w:t>
      </w:r>
      <w:hyperlink r:id="rId11">
        <w:r>
          <w:rPr>
            <w:color w:val="174A6E"/>
          </w:rPr>
          <w:t>https://html.spec.whatwg.org/dev/nav-history-apis.html</w:t>
        </w:r>
      </w:hyperlink>
      <w:r>
        <w:rPr>
          <w:sz w:val="20"/>
        </w:rPr>
      </w:r>
    </w:p>
    <w:p>
      <w:pPr>
        <w:spacing w:after="180"/>
      </w:pPr>
      <w:r>
        <w:rPr>
          <w:sz w:val="20"/>
        </w:rPr>
        <w:t xml:space="preserve">[3] W3C. Web Content Accessibility Guidelines 2.2. Official web accessibility recommendation. </w:t>
      </w:r>
      <w:hyperlink r:id="rId12">
        <w:r>
          <w:rPr>
            <w:color w:val="174A6E"/>
          </w:rPr>
          <w:t>https://www.w3.org/TR/WCAG22/</w:t>
        </w:r>
      </w:hyperlink>
      <w:r>
        <w:rPr>
          <w:sz w:val="20"/>
        </w:rPr>
      </w:r>
    </w:p>
    <w:p>
      <w:pPr>
        <w:spacing w:after="180"/>
      </w:pPr>
      <w:r>
        <w:rPr>
          <w:sz w:val="20"/>
        </w:rPr>
        <w:t xml:space="preserve">[4] W3C WAI. ARIA Authoring Practices Guide Dialog Modal Pattern. Keyboard focus semantics and dismissal behavior. </w:t>
      </w:r>
      <w:hyperlink r:id="rId13">
        <w:r>
          <w:rPr>
            <w:color w:val="174A6E"/>
          </w:rPr>
          <w:t>https://www.w3.org/WAI/ARIA/apg/patterns/dialog-modal/</w:t>
        </w:r>
      </w:hyperlink>
      <w:r>
        <w:rPr>
          <w:sz w:val="20"/>
        </w:rPr>
      </w:r>
    </w:p>
    <w:p>
      <w:pPr>
        <w:spacing w:after="180"/>
      </w:pPr>
      <w:r>
        <w:rPr>
          <w:sz w:val="20"/>
        </w:rPr>
        <w:t xml:space="preserve">[5] Firebase. Read and Write Data on the Web Realtime Database. Includes the web session persistence limitation and multi path update behavior. </w:t>
      </w:r>
      <w:hyperlink r:id="rId14">
        <w:r>
          <w:rPr>
            <w:color w:val="174A6E"/>
          </w:rPr>
          <w:t>https://firebase.google.com/docs/database/web/read-and-write</w:t>
        </w:r>
      </w:hyperlink>
      <w:r>
        <w:rPr>
          <w:sz w:val="20"/>
        </w:rPr>
      </w:r>
    </w:p>
    <w:p>
      <w:pPr>
        <w:spacing w:after="180"/>
      </w:pPr>
      <w:r>
        <w:rPr>
          <w:sz w:val="20"/>
        </w:rPr>
        <w:t xml:space="preserve">[6] Google web.dev. The service worker lifecycle. Activation waiting and update coordination. </w:t>
      </w:r>
      <w:hyperlink r:id="rId15">
        <w:r>
          <w:rPr>
            <w:color w:val="174A6E"/>
          </w:rPr>
          <w:t>https://web.dev/articles/service-worker-lifecycle</w:t>
        </w:r>
      </w:hyperlink>
      <w:r>
        <w:rPr>
          <w:sz w:val="20"/>
        </w:rPr>
      </w:r>
    </w:p>
    <w:p>
      <w:pPr>
        <w:spacing w:after="180"/>
      </w:pPr>
      <w:r>
        <w:rPr>
          <w:sz w:val="20"/>
        </w:rPr>
        <w:t xml:space="preserve">[7] React documentation. Choosing the State Structure and Preserving and Resetting State. State design and lifecycle behavior. </w:t>
      </w:r>
      <w:hyperlink r:id="rId16">
        <w:r>
          <w:rPr>
            <w:color w:val="174A6E"/>
          </w:rPr>
          <w:t>https://react.dev/learn/choosing-the-state-structure</w:t>
        </w:r>
      </w:hyperlink>
      <w:r>
        <w:rPr>
          <w:sz w:val="20"/>
        </w:rPr>
        <w:t xml:space="preserve"> and </w:t>
      </w:r>
      <w:hyperlink r:id="rId17">
        <w:r>
          <w:rPr>
            <w:color w:val="174A6E"/>
          </w:rPr>
          <w:t>https://react.dev/learn/preserving-and-resetting-state</w:t>
        </w:r>
      </w:hyperlink>
      <w:r>
        <w:rPr>
          <w:sz w:val="20"/>
        </w:rPr>
      </w:r>
    </w:p>
    <w:p>
      <w:pPr>
        <w:spacing w:after="180"/>
      </w:pPr>
      <w:r>
        <w:rPr>
          <w:sz w:val="20"/>
        </w:rPr>
        <w:t xml:space="preserve">[8] Firebase. Optimize Database Performance Realtime Database. Query listener index and usage guidance. </w:t>
      </w:r>
      <w:hyperlink r:id="rId18">
        <w:r>
          <w:rPr>
            <w:color w:val="174A6E"/>
          </w:rPr>
          <w:t>https://firebase.google.com/docs/database/usage/optimize</w:t>
        </w:r>
      </w:hyperlink>
      <w:r>
        <w:rPr>
          <w:sz w:val="20"/>
        </w:rPr>
      </w:r>
    </w:p>
    <w:p>
      <w:pPr>
        <w:spacing w:after="180"/>
      </w:pPr>
      <w:r>
        <w:rPr>
          <w:sz w:val="20"/>
        </w:rPr>
        <w:t xml:space="preserve">[9] Google web.dev. How the Core Web Vitals metrics thresholds were defined. Thresholds and 75th percentile assessment. </w:t>
      </w:r>
      <w:hyperlink r:id="rId19">
        <w:r>
          <w:rPr>
            <w:color w:val="174A6E"/>
          </w:rPr>
          <w:t>https://web.dev/articles/defining-core-web-vitals-thresholds</w:t>
        </w:r>
      </w:hyperlink>
      <w:r>
        <w:rPr>
          <w:sz w:val="20"/>
        </w:rPr>
      </w:r>
    </w:p>
    <w:p>
      <w:pPr>
        <w:spacing w:after="180"/>
      </w:pPr>
      <w:r>
        <w:rPr>
          <w:sz w:val="20"/>
        </w:rPr>
        <w:t xml:space="preserve">[10] Firebase. Understand Firebase Realtime Database Security Rules. Server enforced access and validation model. </w:t>
      </w:r>
      <w:hyperlink r:id="rId20">
        <w:r>
          <w:rPr>
            <w:color w:val="174A6E"/>
          </w:rPr>
          <w:t>https://firebase.google.com/docs/database/security</w:t>
        </w:r>
      </w:hyperlink>
      <w:r>
        <w:rPr>
          <w:sz w:val="20"/>
        </w:rPr>
      </w:r>
    </w:p>
    <w:p>
      <w:pPr>
        <w:spacing w:after="180"/>
      </w:pPr>
      <w:r>
        <w:rPr>
          <w:sz w:val="20"/>
        </w:rPr>
        <w:t xml:space="preserve">[11] OWASP. Mobile Application Security Verification Standard. Security control framework with scope limitations for a web application. </w:t>
      </w:r>
      <w:hyperlink r:id="rId21">
        <w:r>
          <w:rPr>
            <w:color w:val="174A6E"/>
          </w:rPr>
          <w:t>https://mas.owasp.org/MASVS/</w:t>
        </w:r>
      </w:hyperlink>
      <w:r>
        <w:rPr>
          <w:sz w:val="20"/>
        </w:rPr>
      </w:r>
    </w:p>
    <w:p>
      <w:pPr>
        <w:spacing w:after="180"/>
      </w:pPr>
      <w:r>
        <w:rPr>
          <w:sz w:val="20"/>
        </w:rPr>
        <w:t xml:space="preserve">[12] Firebase. Build unit tests and Set up the Local Emulator Suite. Isolated authorization tests. </w:t>
      </w:r>
      <w:hyperlink r:id="rId22">
        <w:r>
          <w:rPr>
            <w:color w:val="174A6E"/>
          </w:rPr>
          <w:t>https://firebase.google.com/docs/rules/unit-tests</w:t>
        </w:r>
      </w:hyperlink>
      <w:r>
        <w:rPr>
          <w:sz w:val="20"/>
        </w:rPr>
        <w:t xml:space="preserve"> and </w:t>
      </w:r>
      <w:hyperlink r:id="rId23">
        <w:r>
          <w:rPr>
            <w:color w:val="174A6E"/>
          </w:rPr>
          <w:t>https://firebase.google.com/docs/rules/emulator-setup</w:t>
        </w:r>
      </w:hyperlink>
      <w:r>
        <w:rPr>
          <w:sz w:val="20"/>
        </w:rPr>
      </w:r>
    </w:p>
    <w:p>
      <w:pPr>
        <w:spacing w:after="180"/>
      </w:pPr>
      <w:r>
        <w:rPr>
          <w:sz w:val="20"/>
        </w:rPr>
        <w:t xml:space="preserve">[13] Patel MS and colleagues. 2019. STEP UP Randomized Clinical Trial. JAMA Internal Medicine 179, 1624–1632. DOI 10.1001/jamainternmed.2019.3505. Physical activity intervention evidence with population and sport transfer limitations. </w:t>
      </w:r>
      <w:hyperlink r:id="rId24">
        <w:r>
          <w:rPr>
            <w:color w:val="174A6E"/>
          </w:rPr>
          <w:t>https://pubmed.ncbi.nlm.nih.gov/31498375/</w:t>
        </w:r>
      </w:hyperlink>
      <w:r>
        <w:rPr>
          <w:sz w:val="20"/>
        </w:rPr>
      </w:r>
    </w:p>
    <w:p>
      <w:pPr>
        <w:spacing w:after="180"/>
      </w:pPr>
      <w:r>
        <w:rPr>
          <w:sz w:val="20"/>
        </w:rPr>
        <w:t xml:space="preserve">[14] Mekler ED and colleagues. 2017. Towards understanding the effects of individual gamification elements on intrinsic motivation and performance. Computers in Human Behavior 71, 525–534. DOI 10.1016/j.chb.2015.08.048. Controlled task evidence rather than a disc golf trial. </w:t>
      </w:r>
      <w:hyperlink r:id="rId25">
        <w:r>
          <w:rPr>
            <w:color w:val="174A6E"/>
          </w:rPr>
          <w:t>https://research.aalto.fi/en/publications/towards-understanding-the-effects-of-individual-gamification-elem/</w:t>
        </w:r>
      </w:hyperlink>
      <w:r>
        <w:rPr>
          <w:sz w:val="20"/>
        </w:rPr>
      </w:r>
    </w:p>
    <w:p>
      <w:pPr>
        <w:spacing w:after="180"/>
      </w:pPr>
      <w:r>
        <w:rPr>
          <w:sz w:val="20"/>
        </w:rPr>
        <w:t xml:space="preserve">[15] Golbus JR and colleagues. 2026. Impact of Push Notifications on Physical Activity and Sodium Intake Among Patients with Hypertension. Journal of Medical Internet Research 28, e78218. DOI 10.2196/78218. Short term notification effects in a health setting. </w:t>
      </w:r>
      <w:hyperlink r:id="rId26">
        <w:r>
          <w:rPr>
            <w:color w:val="174A6E"/>
          </w:rPr>
          <w:t>https://www.jmir.org/2026/1/e78218</w:t>
        </w:r>
      </w:hyperlink>
      <w:r>
        <w:rPr>
          <w:sz w:val="20"/>
        </w:rPr>
      </w:r>
    </w:p>
    <w:p>
      <w:pPr>
        <w:spacing w:after="180"/>
      </w:pPr>
      <w:r>
        <w:rPr>
          <w:sz w:val="20"/>
        </w:rPr>
        <w:t xml:space="preserve">[16] Rodden K, Hutchinson H, Fu X. 2010. Measuring the User Experience on a Large Scale User Centered Metrics for Web Applications. CHI 2010. HEART framework. </w:t>
      </w:r>
      <w:hyperlink r:id="rId27">
        <w:r>
          <w:rPr>
            <w:color w:val="174A6E"/>
          </w:rPr>
          <w:t>https://research.google/pubs/measuring-the-user-experience-on-a-large-scale-user-centered-metrics-for-web-applications/</w:t>
        </w:r>
      </w:hyperlink>
      <w:r>
        <w:rPr>
          <w:sz w:val="20"/>
        </w:rPr>
      </w:r>
    </w:p>
    <w:p>
      <w:bookmarkStart w:id="316" w:name="section_21"/>
      <w:pPr>
        <w:pStyle w:val="Heading1"/>
      </w:pPr>
      <w:r>
        <w:t>Repository evidence register</w:t>
      </w:r>
      <w:bookmarkEnd w:id="316"/>
    </w:p>
    <w:p>
      <w:r>
        <w:t>GitHub links open the current branch file. The recorded SHA identifies the file content reviewed and can be compared with later revisions. Documentation reflects what the project reported at that revision. It is not a substitute for current production verification. Source snippets were reviewed without reading credentials.</w:t>
      </w:r>
    </w:p>
    <w:p>
      <w:r>
        <w:t xml:space="preserve">[R1] chains-app README.md. SHA 05e5120e3bfce6555451f0db765bffe43d09ff8d. App inventory and deployment intent. </w:t>
      </w:r>
      <w:hyperlink r:id="rId28">
        <w:r>
          <w:rPr>
            <w:color w:val="174A6E"/>
          </w:rPr>
          <w:t>https://github.com/Bonnaroo/chains-app/blob/main/README.md</w:t>
        </w:r>
      </w:hyperlink>
      <w:r/>
    </w:p>
    <w:p>
      <w:r>
        <w:t xml:space="preserve">[R2] chains-agent-log HANDOFF.md. SHA 06fe1f8227d4991053557edf718343de3cd5efd3. Current state build workflow product constraints and backend layout. </w:t>
      </w:r>
      <w:hyperlink r:id="rId29">
        <w:r>
          <w:rPr>
            <w:color w:val="174A6E"/>
          </w:rPr>
          <w:t>https://github.com/Bonnaroo/chains-agent-log/blob/main/HANDOFF.md</w:t>
        </w:r>
      </w:hyperlink>
      <w:r/>
    </w:p>
    <w:p>
      <w:r>
        <w:t xml:space="preserve">[R3] chains-agent-log CHAINS_SYSTEM.md. SHA 1a902d4c382071d13c74f76abade8318b9f6e915. Older architecture data model and documented risks. </w:t>
      </w:r>
      <w:hyperlink r:id="rId30">
        <w:r>
          <w:rPr>
            <w:color w:val="174A6E"/>
          </w:rPr>
          <w:t>https://github.com/Bonnaroo/chains-agent-log/blob/main/CHAINS_SYSTEM.md</w:t>
        </w:r>
      </w:hyperlink>
      <w:r/>
    </w:p>
    <w:p>
      <w:r>
        <w:t xml:space="preserve">[R4] chains-agent-log AGENT_LOG.md. SHA 5fa31389b38b50b42e6849f3b55a3ea3b2c64689. Recent entries through v538 including compilation navigation and deletion changes. </w:t>
      </w:r>
      <w:hyperlink r:id="rId31">
        <w:r>
          <w:rPr>
            <w:color w:val="174A6E"/>
          </w:rPr>
          <w:t>https://github.com/Bonnaroo/chains-agent-log/blob/main/AGENT_LOG.md</w:t>
        </w:r>
      </w:hyperlink>
      <w:r/>
    </w:p>
    <w:p>
      <w:r>
        <w:t xml:space="preserve">[R5] chains-agent-log ops/TODO.md. SHA b3a62dba4f71d8f5fd92fe77f1fc45c2964cd9be. Reported verification and operational tasks. </w:t>
      </w:r>
      <w:hyperlink r:id="rId32">
        <w:r>
          <w:rPr>
            <w:color w:val="174A6E"/>
          </w:rPr>
          <w:t>https://github.com/Bonnaroo/chains-agent-log/blob/main/ops/TODO.md</w:t>
        </w:r>
      </w:hyperlink>
      <w:r/>
    </w:p>
    <w:p>
      <w:r>
        <w:t xml:space="preserve">[R6] chains-agent-log DESIGN.md. SHA e7a561d50ff28201e461e9ca024875adc66cd9e2. Existing visual interaction and copy contract. </w:t>
      </w:r>
      <w:hyperlink r:id="rId33">
        <w:r>
          <w:rPr>
            <w:color w:val="174A6E"/>
          </w:rPr>
          <w:t>https://github.com/Bonnaroo/chains-agent-log/blob/main/DESIGN.md</w:t>
        </w:r>
      </w:hyperlink>
      <w:r/>
    </w:p>
    <w:p>
      <w:r>
        <w:t xml:space="preserve">[R7] chains-app sw.js. SHA 5eeff9ad947846041019da68760f3b7a84e25e92. Direct observation of deliberately absent fetch caching and activation cache deletion. </w:t>
      </w:r>
      <w:hyperlink r:id="rId34">
        <w:r>
          <w:rPr>
            <w:color w:val="174A6E"/>
          </w:rPr>
          <w:t>https://github.com/Bonnaroo/chains-app/blob/main/sw.js</w:t>
        </w:r>
      </w:hyperlink>
      <w:r/>
    </w:p>
    <w:p>
      <w:r>
        <w:t xml:space="preserve">[R8] chains-agent-log src/module_031.js. SHA 7b2e8d595c2e47b6927173b7c4ae6a562ff916e9. Inspected round persistence source including localStorage mirror and writeLocal exception handling. </w:t>
      </w:r>
      <w:hyperlink r:id="rId35">
        <w:r>
          <w:rPr>
            <w:color w:val="174A6E"/>
          </w:rPr>
          <w:t>https://github.com/Bonnaroo/chains-agent-log/blob/main/src/module_031.js</w:t>
        </w:r>
      </w:hyperlink>
      <w:r/>
    </w:p>
    <w:p>
      <w:r>
        <w:t xml:space="preserve">[R9] chains-agent-log OPERATIONS.md and selected src/module_047.js. Operational policy and app shell context. Operations source was read by path on the review date; its SHA was not retained. Shell SHA abf66b7e03e2712dab8b6ee8ab48d5ab46393c2e. </w:t>
      </w:r>
      <w:hyperlink r:id="rId36">
        <w:r>
          <w:rPr>
            <w:color w:val="174A6E"/>
          </w:rPr>
          <w:t>https://github.com/Bonnaroo/chains-agent-log/blob/main/OPERATIONS.md</w:t>
        </w:r>
      </w:hyperlink>
      <w:r>
        <w:t xml:space="preserve"> and </w:t>
      </w:r>
      <w:hyperlink r:id="rId37">
        <w:r>
          <w:rPr>
            <w:color w:val="174A6E"/>
          </w:rPr>
          <w:t>https://github.com/Bonnaroo/chains-agent-log/blob/main/src/module_047.js</w:t>
        </w:r>
      </w:hyperlink>
      <w:r/>
    </w:p>
    <w:p>
      <w:bookmarkStart w:id="338" w:name="section_22"/>
      <w:pPr>
        <w:pStyle w:val="Heading1"/>
      </w:pPr>
      <w:r>
        <w:t>Appendix A Screen review worksheet</w:t>
      </w:r>
      <w:bookmarkEnd w:id="338"/>
    </w:p>
    <w:p>
      <w:r>
        <w:t>For each route record its purpose, entry points, visible exit, browser history behavior, direct link, authentication requirement, draft policy, local and cloud data sources, loading and empty states, permission and error states, offline availability, save acknowledgment, destructive actions, focus behavior, accessible labels, viewport behavior, query limits, analytics, owner, and acceptance evidence. Track results as verified, failed, or not tested. Do not turn not tested into passed.</w:t>
      </w:r>
    </w:p>
    <w:p>
      <w:bookmarkStart w:id="342" w:name="section_23"/>
      <w:pPr>
        <w:pStyle w:val="Heading1"/>
      </w:pPr>
      <w:r>
        <w:t>Appendix B First field verification session</w:t>
      </w:r>
      <w:bookmarkEnd w:id="342"/>
    </w:p>
    <w:p>
      <w:r>
        <w:t>Use two independent disposable accounts and two phones in an isolated environment. Start a shared round, enter different players' scores, edit the same score concurrently, temporarily remove connectivity, navigate away and return, restart the page, reconnect, finish, and correct the result. Confirm the round ID, each saved score, participant access, index consistency, and derived title behavior. Then check invitation acceptance and a message between those accounts. Record device browser build versions and exact outcomes. A later separately authorized controlled production smoke test may confirm deployment behavior without using real private data as test material.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Chains design and engineering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pple.com/videos/play/wwdc2022/10001/" TargetMode="External"/><Relationship Id="rId11" Type="http://schemas.openxmlformats.org/officeDocument/2006/relationships/hyperlink" Target="https://html.spec.whatwg.org/dev/nav-history-apis.html" TargetMode="External"/><Relationship Id="rId12" Type="http://schemas.openxmlformats.org/officeDocument/2006/relationships/hyperlink" Target="https://www.w3.org/TR/WCAG22/" TargetMode="External"/><Relationship Id="rId13" Type="http://schemas.openxmlformats.org/officeDocument/2006/relationships/hyperlink" Target="https://www.w3.org/WAI/ARIA/apg/patterns/dialog-modal/" TargetMode="External"/><Relationship Id="rId14" Type="http://schemas.openxmlformats.org/officeDocument/2006/relationships/hyperlink" Target="https://firebase.google.com/docs/database/web/read-and-write" TargetMode="External"/><Relationship Id="rId15" Type="http://schemas.openxmlformats.org/officeDocument/2006/relationships/hyperlink" Target="https://web.dev/articles/service-worker-lifecycle" TargetMode="External"/><Relationship Id="rId16" Type="http://schemas.openxmlformats.org/officeDocument/2006/relationships/hyperlink" Target="https://react.dev/learn/choosing-the-state-structure" TargetMode="External"/><Relationship Id="rId17" Type="http://schemas.openxmlformats.org/officeDocument/2006/relationships/hyperlink" Target="https://react.dev/learn/preserving-and-resetting-state" TargetMode="External"/><Relationship Id="rId18" Type="http://schemas.openxmlformats.org/officeDocument/2006/relationships/hyperlink" Target="https://firebase.google.com/docs/database/usage/optimize" TargetMode="External"/><Relationship Id="rId19" Type="http://schemas.openxmlformats.org/officeDocument/2006/relationships/hyperlink" Target="https://web.dev/articles/defining-core-web-vitals-thresholds" TargetMode="External"/><Relationship Id="rId20" Type="http://schemas.openxmlformats.org/officeDocument/2006/relationships/hyperlink" Target="https://firebase.google.com/docs/database/security" TargetMode="External"/><Relationship Id="rId21" Type="http://schemas.openxmlformats.org/officeDocument/2006/relationships/hyperlink" Target="https://mas.owasp.org/MASVS/" TargetMode="External"/><Relationship Id="rId22" Type="http://schemas.openxmlformats.org/officeDocument/2006/relationships/hyperlink" Target="https://firebase.google.com/docs/rules/unit-tests" TargetMode="External"/><Relationship Id="rId23" Type="http://schemas.openxmlformats.org/officeDocument/2006/relationships/hyperlink" Target="https://firebase.google.com/docs/rules/emulator-setup" TargetMode="External"/><Relationship Id="rId24" Type="http://schemas.openxmlformats.org/officeDocument/2006/relationships/hyperlink" Target="https://pubmed.ncbi.nlm.nih.gov/31498375/" TargetMode="External"/><Relationship Id="rId25" Type="http://schemas.openxmlformats.org/officeDocument/2006/relationships/hyperlink" Target="https://research.aalto.fi/en/publications/towards-understanding-the-effects-of-individual-gamification-elem/" TargetMode="External"/><Relationship Id="rId26" Type="http://schemas.openxmlformats.org/officeDocument/2006/relationships/hyperlink" Target="https://www.jmir.org/2026/1/e78218" TargetMode="External"/><Relationship Id="rId27" Type="http://schemas.openxmlformats.org/officeDocument/2006/relationships/hyperlink" Target="https://research.google/pubs/measuring-the-user-experience-on-a-large-scale-user-centered-metrics-for-web-applications/" TargetMode="External"/><Relationship Id="rId28" Type="http://schemas.openxmlformats.org/officeDocument/2006/relationships/hyperlink" Target="https://github.com/Bonnaroo/chains-app/blob/main/README.md" TargetMode="External"/><Relationship Id="rId29" Type="http://schemas.openxmlformats.org/officeDocument/2006/relationships/hyperlink" Target="https://github.com/Bonnaroo/chains-agent-log/blob/main/HANDOFF.md" TargetMode="External"/><Relationship Id="rId30" Type="http://schemas.openxmlformats.org/officeDocument/2006/relationships/hyperlink" Target="https://github.com/Bonnaroo/chains-agent-log/blob/main/CHAINS_SYSTEM.md" TargetMode="External"/><Relationship Id="rId31" Type="http://schemas.openxmlformats.org/officeDocument/2006/relationships/hyperlink" Target="https://github.com/Bonnaroo/chains-agent-log/blob/main/AGENT_LOG.md" TargetMode="External"/><Relationship Id="rId32" Type="http://schemas.openxmlformats.org/officeDocument/2006/relationships/hyperlink" Target="https://github.com/Bonnaroo/chains-agent-log/blob/main/ops/TODO.md" TargetMode="External"/><Relationship Id="rId33" Type="http://schemas.openxmlformats.org/officeDocument/2006/relationships/hyperlink" Target="https://github.com/Bonnaroo/chains-agent-log/blob/main/DESIGN.md" TargetMode="External"/><Relationship Id="rId34" Type="http://schemas.openxmlformats.org/officeDocument/2006/relationships/hyperlink" Target="https://github.com/Bonnaroo/chains-app/blob/main/sw.js" TargetMode="External"/><Relationship Id="rId35" Type="http://schemas.openxmlformats.org/officeDocument/2006/relationships/hyperlink" Target="https://github.com/Bonnaroo/chains-agent-log/blob/main/src/module_031.js" TargetMode="External"/><Relationship Id="rId36" Type="http://schemas.openxmlformats.org/officeDocument/2006/relationships/hyperlink" Target="https://github.com/Bonnaroo/chains-agent-log/blob/main/OPERATIONS.md" TargetMode="External"/><Relationship Id="rId37" Type="http://schemas.openxmlformats.org/officeDocument/2006/relationships/hyperlink" Target="https://github.com/Bonnaroo/chains-agent-log/blob/main/src/module_047.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 App Design Engineering and Retention Playbook</dc:title>
  <dc:subject>Research synthesis and testable product design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