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Chains: Visual and Interaction Design</w:t>
      </w:r>
    </w:p>
    <w:p>
      <w:r>
        <w:t>A research paper and practical design specification</w:t>
      </w:r>
    </w:p>
    <w:p>
      <w:r>
        <w:t>Prepared 24 October 2026 • Scope: mobile interface aesthetics, readability, layout and navigation</w:t>
      </w:r>
    </w:p>
    <w:p>
      <w:bookmarkStart w:id="4" w:name="section_0"/>
      <w:pPr>
        <w:pStyle w:val="Heading1"/>
      </w:pPr>
      <w:r>
        <w:t>Purpose and main findings</w:t>
      </w:r>
      <w:bookmarkEnd w:id="4"/>
    </w:p>
    <w:p>
      <w:r>
        <w:t>A useful app makes three things apparent: where the person is, what matters here, and what happens when they act. Visual craft makes these relationships legible. Typography, spacing, color and navigation should work together so that a player can enter a score in sunlight, return to a previous screen without anxiety, and understand a challenge without decoding the interface.</w:t>
      </w:r>
    </w:p>
    <w:p>
      <w:r>
        <w:t>This paper separates empirical findings, published design guidance and proposed Chains decisions. It is a focused research synthesis, not a systematic review or an original experiment. It does not establish that a particular font, radius or spacing value increases retention. Those effects require testing in Chains. No production interface was changed or audited on a device for this paper.</w:t>
      </w:r>
    </w:p>
    <w:p>
      <w:r>
        <w:t>The central recommendation is to create a small visual language and a few predictable screen templates, then test them on the course. A clean interface has a clear hierarchy and visible essentials. Removing useful labels, shrinking text or burying common actions can make a screenshot look quieter while increasing effort.</w:t>
      </w:r>
    </w:p>
    <w:p>
      <w:r>
        <w:t>The strongest immediate finding is a documented color risk: white text on the brand orange produces approximately 3.12:1 contrast, below the 4.5:1 threshold for normal text. Several muted combinations also need review. These are calculations on brand specifications, not findings about every rendered screen.</w:t>
      </w:r>
    </w:p>
    <w:p>
      <w:r>
        <w:t>The paper complements the earlier engagement study and engineering playbook. Its subject is the detailed craft of what people see, read, touch and navigate.</w:t>
      </w:r>
    </w:p>
    <w:p>
      <w:r>
        <w:br w:type="page"/>
      </w:r>
    </w:p>
    <w:p>
      <w:pPr>
        <w:pStyle w:val="Heading1"/>
      </w:pPr>
      <w:r>
        <w:t>Contents</w:t>
      </w:r>
    </w:p>
    <w:p>
      <w:pPr>
        <w:spacing w:after="60" w:line="240" w:lineRule="auto"/>
      </w:pPr>
      <w:hyperlink w:anchor="section_0">
        <w:r>
          <w:rPr>
            <w:color w:val="174A6E"/>
          </w:rPr>
          <w:t>Purpose and main findings</w:t>
        </w:r>
      </w:hyperlink>
    </w:p>
    <w:p>
      <w:pPr>
        <w:spacing w:after="60" w:line="240" w:lineRule="auto"/>
      </w:pPr>
      <w:hyperlink w:anchor="section_1">
        <w:r>
          <w:rPr>
            <w:color w:val="174A6E"/>
          </w:rPr>
          <w:t>1 Evidence: what aesthetics research actually supports</w:t>
        </w:r>
      </w:hyperlink>
    </w:p>
    <w:p>
      <w:pPr>
        <w:spacing w:after="60" w:line="240" w:lineRule="auto"/>
      </w:pPr>
      <w:hyperlink w:anchor="section_2">
        <w:r>
          <w:rPr>
            <w:color w:val="174A6E"/>
          </w:rPr>
          <w:t>2 Visual simplicity: remove competition, preserve meaning</w:t>
        </w:r>
      </w:hyperlink>
    </w:p>
    <w:p>
      <w:pPr>
        <w:spacing w:after="60" w:line="240" w:lineRule="auto"/>
      </w:pPr>
      <w:hyperlink w:anchor="section_3">
        <w:r>
          <w:rPr>
            <w:color w:val="174A6E"/>
          </w:rPr>
          <w:t>3 Typography: a system of roles</w:t>
        </w:r>
      </w:hyperlink>
    </w:p>
    <w:p>
      <w:pPr>
        <w:spacing w:after="60" w:line="240" w:lineRule="auto"/>
      </w:pPr>
      <w:hyperlink w:anchor="section_4">
        <w:r>
          <w:rPr>
            <w:color w:val="174A6E"/>
          </w:rPr>
          <w:t>4 Spacing, alignment and the position of words</w:t>
        </w:r>
      </w:hyperlink>
    </w:p>
    <w:p>
      <w:pPr>
        <w:spacing w:after="60" w:line="240" w:lineRule="auto"/>
      </w:pPr>
      <w:hyperlink w:anchor="section_5">
        <w:r>
          <w:rPr>
            <w:color w:val="174A6E"/>
          </w:rPr>
          <w:t>5 Back, close, cancel and navigation</w:t>
        </w:r>
      </w:hyperlink>
    </w:p>
    <w:p>
      <w:pPr>
        <w:spacing w:after="60" w:line="240" w:lineRule="auto"/>
      </w:pPr>
      <w:hyperlink w:anchor="section_6">
        <w:r>
          <w:rPr>
            <w:color w:val="174A6E"/>
          </w:rPr>
          <w:t>6 Color and contrast: a concrete Chains finding</w:t>
        </w:r>
      </w:hyperlink>
    </w:p>
    <w:p>
      <w:pPr>
        <w:spacing w:after="60" w:line="240" w:lineRule="auto"/>
      </w:pPr>
      <w:hyperlink w:anchor="section_7">
        <w:r>
          <w:rPr>
            <w:color w:val="174A6E"/>
          </w:rPr>
          <w:t>7 Proposed screen templates and visual examples</w:t>
        </w:r>
      </w:hyperlink>
    </w:p>
    <w:p>
      <w:pPr>
        <w:spacing w:after="60" w:line="240" w:lineRule="auto"/>
      </w:pPr>
      <w:hyperlink w:anchor="section_8">
        <w:r>
          <w:rPr>
            <w:color w:val="174A6E"/>
          </w:rPr>
          <w:t>8 Interaction states are part of the aesthetic system</w:t>
        </w:r>
      </w:hyperlink>
    </w:p>
    <w:p>
      <w:pPr>
        <w:spacing w:after="60" w:line="240" w:lineRule="auto"/>
      </w:pPr>
      <w:hyperlink w:anchor="section_9">
        <w:r>
          <w:rPr>
            <w:color w:val="174A6E"/>
          </w:rPr>
          <w:t>9 Build a system that stays clean as the app grows</w:t>
        </w:r>
      </w:hyperlink>
    </w:p>
    <w:p>
      <w:pPr>
        <w:spacing w:after="60" w:line="240" w:lineRule="auto"/>
      </w:pPr>
      <w:hyperlink w:anchor="section_10">
        <w:r>
          <w:rPr>
            <w:color w:val="174A6E"/>
          </w:rPr>
          <w:t>10 Validation: test clarity, preference and field performance separately</w:t>
        </w:r>
      </w:hyperlink>
    </w:p>
    <w:p>
      <w:pPr>
        <w:spacing w:after="60" w:line="240" w:lineRule="auto"/>
      </w:pPr>
      <w:hyperlink w:anchor="section_11">
        <w:r>
          <w:rPr>
            <w:color w:val="174A6E"/>
          </w:rPr>
          <w:t>References</w:t>
        </w:r>
      </w:hyperlink>
    </w:p>
    <w:p>
      <w:r>
        <w:br w:type="page"/>
      </w:r>
    </w:p>
    <w:p>
      <w:bookmarkStart w:id="11" w:name="section_1"/>
      <w:pPr>
        <w:pStyle w:val="Heading1"/>
      </w:pPr>
      <w:r>
        <w:t>1 Evidence: what aesthetics research actually supports</w:t>
      </w:r>
      <w:bookmarkEnd w:id="11"/>
    </w:p>
    <w:p>
      <w:pPr>
        <w:pStyle w:val="Heading2"/>
      </w:pPr>
      <w:r>
        <w:t>First impressions matter, but they are not task performance</w:t>
      </w:r>
    </w:p>
    <w:p>
      <w:r>
        <w:t>Tuch and colleagues varied visual complexity and familiarity of website screenshots and measured aesthetic judgments at very short exposures. Lower complexity and more familiar organization generally supported favorable first impressions. These were judgments of screenshots, not disc golf tasks, retention measurements or proof that fewer controls always work better. The defensible transfer to Chains is to make the initial structure easy to recognize, then evaluate task performance separately. [1]</w:t>
      </w:r>
    </w:p>
    <w:p>
      <w:r>
        <w:t>Tractinsky, Katz and Ikar studied the relationship between perceived aesthetics and usability in an experimental interface context. Their work supports taking visual appeal seriously as part of perceived quality. It does not justify treating an attractive screen as evidence that scoring is accurate or navigation is understandable. Ask both whether people like the screen and whether they can complete the task. [2]</w:t>
      </w:r>
    </w:p>
    <w:p>
      <w:pPr>
        <w:pStyle w:val="Heading2"/>
      </w:pPr>
      <w:r>
        <w:t>Typeface performance differs between readers</w:t>
      </w:r>
    </w:p>
    <w:p>
      <w:r>
        <w:t>Wallace and colleagues investigated reading performance across fonts. Their results show substantial individual differences; a single universally best font was not established. Long-form reading experiments also differ from scanning a scorecard. For Chains, preserve familiar brand roles, support enlargement and verify difficult text rather than promise that switching font families will improve every player's performance. [3]</w:t>
      </w:r>
    </w:p>
    <w:p>
      <w:r>
        <w:t>Beier and Larson investigated familiarity, reading performance and preference. Their findings reinforce the need to distinguish liking a typeface from reading effectively with it. Branding preferences should be tested against recognition of numbers, names and short labels. [4]</w:t>
      </w:r>
    </w:p>
    <w:p>
      <w:pPr>
        <w:pStyle w:val="Heading2"/>
      </w:pPr>
      <w:r>
        <w:t>Hiding navigation can create measurable costs</w:t>
      </w:r>
    </w:p>
    <w:p>
      <w:r>
        <w:t>A Nielsen Norman Group study used 179 participants across six existing websites on desktop and mobile. On mobile, tasks were reported as 15% slower with hidden navigation than with combined visible and hidden navigation. Fully visible mobile navigation was not tested. This is contextual evidence, not a forecast for Chains, but it challenges the assumption that a hidden menu is automatically simpler. [5]</w:t>
      </w:r>
    </w:p>
    <w:p>
      <w:pPr>
        <w:pStyle w:val="Heading2"/>
      </w:pPr>
      <w:r>
        <w:t>How to weigh the evidence</w:t>
      </w:r>
    </w:p>
    <w:tbl>
      <w:tblPr>
        <w:tblW w:type="auto" w:w="0"/>
        <w:jc w:val="center"/>
        <w:tblLayout w:type="fixed"/>
        <w:tblLook w:firstColumn="1" w:firstRow="1" w:lastColumn="0" w:lastRow="0" w:noHBand="0" w:noVBand="1" w:val="04A0"/>
      </w:tblPr>
      <w:tblGrid>
        <w:gridCol w:w="2376"/>
        <w:gridCol w:w="3672"/>
        <w:gridCol w:w="3888"/>
      </w:tblGrid>
      <w:tr>
        <w:trPr>
          <w:cantSplit/>
          <w:tblHeader/>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ED"/>
          </w:tcPr>
          <w:p>
            <w:pPr>
              <w:spacing w:after="0" w:line="240" w:lineRule="auto"/>
            </w:pPr>
            <w:r>
              <w:rPr>
                <w:b/>
                <w:sz w:val="20"/>
              </w:rPr>
              <w:t>Evidence class</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ED"/>
          </w:tcPr>
          <w:p>
            <w:pPr>
              <w:spacing w:after="0" w:line="240" w:lineRule="auto"/>
            </w:pPr>
            <w:r>
              <w:rPr>
                <w:b/>
                <w:sz w:val="20"/>
              </w:rPr>
              <w:t>What it can support</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ED"/>
          </w:tcPr>
          <w:p>
            <w:pPr>
              <w:spacing w:after="0" w:line="240" w:lineRule="auto"/>
            </w:pPr>
            <w:r>
              <w:rPr>
                <w:b/>
                <w:sz w:val="20"/>
              </w:rPr>
              <w:t>What it cannot establish here</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Controlled research [1–4]</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Relationships under defined study conditions</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A guaranteed improvement in Chains retention</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Applied usability study [5]</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Observed problems and useful design hypotheses</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A universal percentage gain for every app</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W3C standards [6–9]</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Specific accessibility criteria and test procedures</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A complete definition of beauty or ease</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Apple and Material guidance [10–16]</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Familiar conventions and platform patterns</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Automatic suitability for a custom web app</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Chains documents [21–22]</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Current intended visual language</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Proof that the live product implements it</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Proposals in this paper</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Concrete starting specifications</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Validated outcomes before testing</w:t>
            </w:r>
          </w:p>
        </w:tc>
      </w:tr>
    </w:tbl>
    <w:p>
      <w:pPr>
        <w:spacing w:after="40"/>
      </w:pPr>
    </w:p>
    <w:p>
      <w:r>
        <w:t>The practical rule is to use standards for measurable requirements, platform guidance for conventions, research for hypotheses and field testing for final decisions. Do not label a preference “scientifically proven.”</w:t>
      </w:r>
    </w:p>
    <w:p>
      <w:bookmarkStart w:id="31" w:name="section_2"/>
      <w:pPr>
        <w:pStyle w:val="Heading1"/>
      </w:pPr>
      <w:r>
        <w:t>2 Visual simplicity: remove competition, preserve meaning</w:t>
      </w:r>
      <w:bookmarkEnd w:id="31"/>
    </w:p>
    <w:p>
      <w:pPr>
        <w:pStyle w:val="Heading2"/>
      </w:pPr>
      <w:r>
        <w:t>Organize by the task at hand</w:t>
      </w:r>
    </w:p>
    <w:p>
      <w:r>
        <w:t>The scoring screen should prioritize the current hole, players, scores and how to move between holes. A fantasy roster screen should prioritize picks, eligibility and the save or lock state. A home-course page should prioritize the course, current conditions of the data, and the relevant next action. All three can share a brand without sharing the same composition.</w:t>
      </w:r>
    </w:p>
    <w:p>
      <w:r>
        <w:t>A proposed content inventory classifies each element as essential to the current task, helpful in context, or optional detail. Essential information stays visible. Helpful information sits near the thing it explains. Optional detail opens through a named control. This classification is a product decision, not an empirical law.</w:t>
      </w:r>
    </w:p>
    <w:p>
      <w:pPr>
        <w:pStyle w:val="Heading2"/>
      </w:pPr>
      <w:r>
        <w:t>Use progressive disclosure selectively</w:t>
      </w:r>
    </w:p>
    <w:p>
      <w:r>
        <w:t>Progressive disclosure defers advanced or less frequent features until needed. Nielsen's guidance is useful when an app has many capabilities but each visit has a narrower purpose. [17] For Chains, optional putting statistics can expand from a score row, and full trophy history can open from a small summary. The current score, back navigation and whether edits are saved should remain apparent.</w:t>
      </w:r>
    </w:p>
    <w:p>
      <w:r>
        <w:t>Do not replace a readable label with an unexplained icon merely to save a few pixels. A clean page can contain many items if their grouping and priority are clear. Conversely, a page with only five floating buttons can be confusing if their purposes are ambiguous.</w:t>
      </w:r>
    </w:p>
    <w:p>
      <w:pPr>
        <w:pStyle w:val="Heading2"/>
      </w:pPr>
      <w:r>
        <w:t>Choose hierarchy before decoration</w:t>
      </w:r>
    </w:p>
    <w:p>
      <w:r>
        <w:t>Scale and contrast help direct attention; grouping helps communicate relationships. These are established design principles summarized in practitioner guidance. [18] The Chains proposal is to reserve the strongest treatment for the task with the highest immediate importance. Secondary controls remain legible and easy to find, but do not all compete with the primary action.</w:t>
      </w:r>
    </w:p>
    <w:p>
      <w:r>
        <w:t>“One primary action” means one visual priority when a decision has a clear next step. It must not mean that only one player's score control is usable, or that Back becomes faint. Equivalent controls can be equally prominent when the task requires repeated parallel actions.</w:t>
      </w:r>
    </w:p>
    <w:p>
      <w:pPr>
        <w:pStyle w:val="Heading2"/>
      </w:pPr>
      <w:r>
        <w:t>Reduce containers before reducing readability</w:t>
      </w:r>
    </w:p>
    <w:p>
      <w:r>
        <w:t>Use a section heading, spacing and a divider for an ordinary list. Use a card when its boundary communicates a meaningful unit, such as a round or a challenge. Avoid putting a card inside a card inside another card just to create layers. This follows the existing Chains preference for restrained surfaces. [21]</w:t>
      </w:r>
    </w:p>
    <w:p>
      <w:r>
        <w:t>Suggested review question: if the border vanished, would people lose a meaningful grouping? If not, spacing may be enough. Keep elevation for floating controls or overlays whose relationship to the underlying page needs explanation. These are design proposals to validate, not universal rules.</w:t>
      </w:r>
    </w:p>
    <w:p>
      <w:bookmarkStart w:id="45" w:name="section_3"/>
      <w:pPr>
        <w:pStyle w:val="Heading1"/>
      </w:pPr>
      <w:r>
        <w:t>3 Typography: a system of roles</w:t>
      </w:r>
      <w:bookmarkEnd w:id="45"/>
    </w:p>
    <w:p>
      <w:pPr>
        <w:pStyle w:val="Heading2"/>
      </w:pPr>
      <w:r>
        <w:t>Preserve the established brand, clarify its jobs</w:t>
      </w:r>
    </w:p>
    <w:p>
      <w:r>
        <w:t>Chains already specifies Saira Condensed for display, Archivo for readable interface text and JetBrains Mono for numerical information. [22] The useful next step is consistency of role, not a search for fashionable fonts. Condensed uppercase display text can identify a short heading. It should not carry explanations, error messages or dense player names. Use the readable body family for instructions and labels.</w:t>
      </w:r>
    </w:p>
    <w:p>
      <w:r>
        <w:t>Material's type system provides distinct roles such as display, headline, title, body and label. [15] Chains can adopt the role-based approach without copying every Material size or making its web interface look like Android. A token should describe purpose, for example text.body, rather than merely the current pixel value.</w:t>
      </w:r>
    </w:p>
    <w:tbl>
      <w:tblPr>
        <w:tblW w:type="auto" w:w="0"/>
        <w:jc w:val="center"/>
        <w:tblLayout w:type="fixed"/>
        <w:tblLook w:firstColumn="1" w:firstRow="1" w:lastColumn="0" w:lastRow="0" w:noHBand="0" w:noVBand="1" w:val="04A0"/>
      </w:tblPr>
      <w:tblGrid>
        <w:gridCol w:w="2376"/>
        <w:gridCol w:w="3672"/>
        <w:gridCol w:w="3888"/>
      </w:tblGrid>
      <w:tr>
        <w:trPr>
          <w:cantSplit/>
          <w:tblHeader/>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ED"/>
          </w:tcPr>
          <w:p>
            <w:pPr>
              <w:spacing w:after="0" w:line="240" w:lineRule="auto"/>
            </w:pPr>
            <w:r>
              <w:rPr>
                <w:b/>
                <w:sz w:val="20"/>
              </w:rPr>
              <w:t>Proposed role</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ED"/>
          </w:tcPr>
          <w:p>
            <w:pPr>
              <w:spacing w:after="0" w:line="240" w:lineRule="auto"/>
            </w:pPr>
            <w:r>
              <w:rPr>
                <w:b/>
                <w:sz w:val="20"/>
              </w:rPr>
              <w:t>Starting web size and weight</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ED"/>
          </w:tcPr>
          <w:p>
            <w:pPr>
              <w:spacing w:after="0" w:line="240" w:lineRule="auto"/>
            </w:pPr>
            <w:r>
              <w:rPr>
                <w:b/>
                <w:sz w:val="20"/>
              </w:rPr>
              <w:t>Use and behavior</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Screen title</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22–24 CSS px, 700</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Short destination title; wrap rather than collide</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Section title</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17–18 CSS px, 700</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Group heading close to its content</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Body and essential label</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16 CSS px, 400–600</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Instructions, player names, field labels</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Supporting detail</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14 CSS px, 400</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Nonessential context, with sufficient contrast</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Compact metadata</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12–13 CSS px, 400–600</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Limited use; never the only place for a critical state</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Score or key metric</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24–32 CSS px, 600–700</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Stable numeral width; units or meaning remain explicit</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Main button label</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16 CSS px, 600–700</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Direct verb; enough room for translated text</w:t>
            </w:r>
          </w:p>
        </w:tc>
      </w:tr>
    </w:tbl>
    <w:p>
      <w:pPr>
        <w:spacing w:after="40"/>
      </w:pPr>
    </w:p>
    <w:p>
      <w:r>
        <w:t>These are proposed starting tokens at default browser scale, not accessibility minima or experimentally optimal values. The existing design document includes smaller sizes; review those deliberately for outdoor use rather than treating them as immutable. Native iOS points, Android dp/sp and CSS pixels are different systems. Apple's native guidance should not be copied as web pixel values. [10]</w:t>
      </w:r>
    </w:p>
    <w:p>
      <w:pPr>
        <w:pStyle w:val="Heading2"/>
      </w:pPr>
      <w:r>
        <w:t>Numbers must be easy to distinguish</w:t>
      </w:r>
    </w:p>
    <w:p>
      <w:r>
        <w:t>Test 0/O, 1/I/l, 3/8, minus signs and decimal marks. In score tables, consider tabular numerals so columns do not shift as values change. A monospaced font is one option, but tabular numerals in a proportional family can also solve alignment. Label totals and relative-to-par values distinctly: “Strokes 54” and “To par −2” are less ambiguous than two large unlabeled numbers.</w:t>
      </w:r>
    </w:p>
    <w:p>
      <w:r>
        <w:t>Do not use a heavy display face for every number merely because it feels sporty. Player names and numerical values have different scanning needs. Align text labels to a common leading edge and numerical columns consistently, with units in the header or repeated where ambiguity remains.</w:t>
      </w:r>
    </w:p>
    <w:p>
      <w:pPr>
        <w:pStyle w:val="Heading2"/>
      </w:pPr>
      <w:r>
        <w:t>Design for enlargement and wrapping</w:t>
      </w:r>
    </w:p>
    <w:p>
      <w:r>
        <w:t>Allow text to grow without losing actions. Prefer content-driven row height to fixed-height boxes for multi-line labels. Do not truncate an error, a player's distinguishing name or the consequence of a destructive action. Optional previews can truncate if the complete content is accessible through a clear path.</w:t>
      </w:r>
    </w:p>
    <w:p>
      <w:r>
        <w:t>WCAG's text-spacing criterion concerns surviving user overrides, including 1.5 times font-size line height, paragraph spacing of twice font size, letter spacing of 0.12em and word spacing of 0.16em. It does not require all of those as the authored default. [7] A proposed body default near 1.4–1.5 line height should still be tested with the actual font and short mobile content.</w:t>
      </w:r>
    </w:p>
    <w:p>
      <w:r>
        <w:t>For long help pages, constrain the text column on wide screens. For score entry, optimize scan alignment instead of imposing an essay line-length target. There is no one line length suitable for every interface element.</w:t>
      </w:r>
    </w:p>
    <w:p>
      <w:bookmarkStart w:id="67" w:name="section_4"/>
      <w:pPr>
        <w:pStyle w:val="Heading1"/>
      </w:pPr>
      <w:r>
        <w:t>4 Spacing, alignment and the position of words</w:t>
      </w:r>
      <w:bookmarkEnd w:id="67"/>
    </w:p>
    <w:p>
      <w:pPr>
        <w:pStyle w:val="Heading2"/>
      </w:pPr>
      <w:r>
        <w:t>Spacing communicates relationships</w:t>
      </w:r>
    </w:p>
    <w:p>
      <w:r>
        <w:t>A label should sit nearer its own field than the next field. A heading should sit nearer the section it introduces than the previous section. Related metadata should cluster with its parent item. These relationships matter more than enforcing the same gap everywhere.</w:t>
      </w:r>
    </w:p>
    <w:p>
      <w:r>
        <w:t>The existing Chains system uses an 8-pixel grid with 4-pixel increments inside components. [21] Proposed tokens are 4, 8, 12, 16, 24 and 32 CSS px. Use 16 for typical narrow-screen gutters as a starting point, 8 for close relationships, and 24 or more between larger sections. These values are coordination tools, not scientific constants. Allow exceptions when text, safe areas or touch targets require them.</w:t>
      </w:r>
    </w:p>
    <w:p>
      <w:pPr>
        <w:pStyle w:val="Heading2"/>
      </w:pPr>
      <w:r>
        <w:t>Establish a few shared alignment lines</w:t>
      </w:r>
    </w:p>
    <w:p>
      <w:r>
        <w:t>Align the screen title, section headings, list text and form labels to consistent gutters where their roles permit. An icon can occupy a separate leading column while text still aligns across rows. Avoid centering every paragraph: centered blocks produce ragged starting points and can make scanning a list harder.</w:t>
      </w:r>
    </w:p>
    <w:p>
      <w:r>
        <w:t>A short centered screen title is compatible with leading-aligned content, but it needs a layout that reserves space for controls on both sides. Do not simulate centering with arbitrary left margins that work for only one title. Test long titles and localized labels.</w:t>
      </w:r>
    </w:p>
    <w:p>
      <w:pPr>
        <w:pStyle w:val="Heading2"/>
      </w:pPr>
      <w:r>
        <w:t>Forms need persistent labels</w:t>
      </w:r>
    </w:p>
    <w:p>
      <w:r>
        <w:t>Place a clear field label above its input on narrow screens. W3C's design-system guidance is a useful implementation reference. [19] Placeholder text is an example or hint, not the only label: it disappears when someone types. Keep help text near the field. Place an error beside the affected field and provide an error summary when a long form needs one.</w:t>
      </w:r>
    </w:p>
    <w:p>
      <w:r>
        <w:t>For a new-round form, show course, layout and players in an understandable sequence. Reveal advanced settings under a named section. Show the selected layout clearly because the same course can have materially different pars and distances. A tidy form that hides the selected layout is not sufficiently clear.</w:t>
      </w:r>
    </w:p>
    <w:p>
      <w:pPr>
        <w:pStyle w:val="Heading2"/>
      </w:pPr>
      <w:r>
        <w:t>Responsive layout should change composition</w:t>
      </w:r>
    </w:p>
    <w:p>
      <w:r>
        <w:t>On larger screens, additional width can support a detail panel or broader score table. On phones, stack related sections in task order. Do not merely shrink a desktop dashboard until everything fits. At narrow widths, keep the task and essential controls accessible; consider a focused view for a large table rather than compressing names beyond recognition.</w:t>
      </w:r>
    </w:p>
    <w:p>
      <w:r>
        <w:t>WCAG reflow guidance uses a 320 CSS pixel width reference for vertically scrolling content. Some inherently two-dimensional content, such as maps and data tables, has exceptions; that does not exempt the surrounding interface. [8]</w:t>
      </w:r>
    </w:p>
    <w:p>
      <w:bookmarkStart w:id="81" w:name="section_5"/>
      <w:pPr>
        <w:pStyle w:val="Heading1"/>
      </w:pPr>
      <w:r>
        <w:t>5 Back, close, cancel and navigation</w:t>
      </w:r>
      <w:bookmarkEnd w:id="81"/>
    </w:p>
    <w:p>
      <w:pPr>
        <w:pStyle w:val="Heading2"/>
      </w:pPr>
      <w:r>
        <w:t>The controls have different meanings</w:t>
      </w:r>
    </w:p>
    <w:tbl>
      <w:tblPr>
        <w:tblW w:type="auto" w:w="0"/>
        <w:jc w:val="center"/>
        <w:tblLayout w:type="fixed"/>
        <w:tblLook w:firstColumn="1" w:firstRow="1" w:lastColumn="0" w:lastRow="0" w:noHBand="0" w:noVBand="1" w:val="04A0"/>
      </w:tblPr>
      <w:tblGrid>
        <w:gridCol w:w="2376"/>
        <w:gridCol w:w="3672"/>
        <w:gridCol w:w="3888"/>
      </w:tblGrid>
      <w:tr>
        <w:trPr>
          <w:cantSplit/>
          <w:tblHeader/>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ED"/>
          </w:tcPr>
          <w:p>
            <w:pPr>
              <w:spacing w:after="0" w:line="240" w:lineRule="auto"/>
            </w:pPr>
            <w:r>
              <w:rPr>
                <w:b/>
                <w:sz w:val="20"/>
              </w:rPr>
              <w:t>Control</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ED"/>
          </w:tcPr>
          <w:p>
            <w:pPr>
              <w:spacing w:after="0" w:line="240" w:lineRule="auto"/>
            </w:pPr>
            <w:r>
              <w:rPr>
                <w:b/>
                <w:sz w:val="20"/>
              </w:rPr>
              <w:t>Intended behavior</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ED"/>
          </w:tcPr>
          <w:p>
            <w:pPr>
              <w:spacing w:after="0" w:line="240" w:lineRule="auto"/>
            </w:pPr>
            <w:r>
              <w:rPr>
                <w:b/>
                <w:sz w:val="20"/>
              </w:rPr>
              <w:t>Chains example</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Back</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Return within the navigation path</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Course details to course results, preserving the search</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Close</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Dismiss a temporary surface</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Close a trophy detail overlay</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Cancel</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Abandon the current unfinished operation</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Leave a new challenge setup without creating it</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Done or Save</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Complete or persist an explicit edit</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Save a profile change, with an understandable result</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Tab destination</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Move to a major app section</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Courses or Challenges</w:t>
            </w:r>
          </w:p>
        </w:tc>
      </w:tr>
    </w:tbl>
    <w:p>
      <w:pPr>
        <w:spacing w:after="40"/>
      </w:pPr>
    </w:p>
    <w:p>
      <w:r>
        <w:t>These are a proposed semantic contract. If score edits autosave, leaving the screen should not silently discard them. If an edit needs explicit saving, navigation must handle unsaved work. A back control is not an instruction to reset every screen to Home.</w:t>
      </w:r>
    </w:p>
    <w:p>
      <w:pPr>
        <w:pStyle w:val="Heading2"/>
      </w:pPr>
      <w:r>
        <w:t>Put Back in a predictable leading position</w:t>
      </w:r>
    </w:p>
    <w:p>
      <w:r>
        <w:t>Apple's toolbar guidance supports familiar leading navigation and consistent toolbar organization. [11] Chains already requires a visible top-left back control on pushed screens. [21] For left-to-right layouts, use a stable leading position within the header, below any browser or device safe area. In right-to-left interfaces, follow the appropriate leading direction rather than hard-coding every layout to left.</w:t>
      </w:r>
    </w:p>
    <w:p>
      <w:r>
        <w:t>Proposed anatomy: at least a 44-by-44 CSS pixel interactive box around a smaller visible arrow, a clear accessible name, and a title that cannot overlap it. A 24-pixel icon does not mean a 24-pixel touch target. The larger target is a Chains product standard; WCAG 2.2 AA's target-size criterion is 24 by 24 CSS pixels with defined exceptions, while its enhanced AAA criterion uses 44 by 44. [9]</w:t>
      </w:r>
    </w:p>
    <w:p>
      <w:r>
        <w:t>Do not move Back to the bottom solely because a thumb can reach it. Stable convention can matter as much as proximity. Put frequent scoring controls in a comfortable working region and test reachability across hands and phones. Provide a predictable fallback for a deep link with no internal history, such as returning to its parent course or list.</w:t>
      </w:r>
    </w:p>
    <w:p>
      <w:pPr>
        <w:pStyle w:val="Heading2"/>
      </w:pPr>
      <w:r>
        <w:t>Use visible destinations for frequent movement</w:t>
      </w:r>
    </w:p>
    <w:p>
      <w:r>
        <w:t>Apple's tab guidance and its design-foundations session distinguish destinations from actions. [12–13] A persistent bottom destination should take someone somewhere predictable. If the raised Chains Play item opens a Play destination, that can serve navigation. If it immediately creates a round, it is an action embedded in navigation and deserves explicit testing. This paper does not prescribe changing the existing implementation without seeing its behavior.</w:t>
      </w:r>
    </w:p>
    <w:p>
      <w:r>
        <w:t>Keep text labels on major destinations. An unfamiliar trophy outline, chain shape or disc symbol should not carry the entire meaning. NN/G's icon guidance explains why labels help disambiguate icons. [20] Use the existing SVG family rather than emoji, consistent with Chains rules. [21]</w:t>
      </w:r>
    </w:p>
    <w:p>
      <w:pPr>
        <w:pStyle w:val="Heading2"/>
      </w:pPr>
      <w:r>
        <w:t>Keep context when people return</w:t>
      </w:r>
    </w:p>
    <w:p>
      <w:r>
        <w:t>Proposed behavior: preserve scroll position, selected course filters and the current hole after visiting details. Keep destination changes out of score-entry taps unless the person requested navigation. Avoid auto-advancing to the next hole while someone is still checking the card. Repeated successful use should build an expectation of where controls and information will be.</w:t>
      </w:r>
    </w:p>
    <w:p>
      <w:r>
        <w:t>Temporary sheets should have a visible dismissal control and understandable completion behavior. Apple's sheet guidance is a useful pattern reference. [14] Browser Back, keyboard dismissal where appropriate, and on-screen controls should cooperate rather than send people through contradictory paths.</w:t>
      </w:r>
    </w:p>
    <w:p>
      <w:bookmarkStart w:id="102" w:name="section_6"/>
      <w:pPr>
        <w:pStyle w:val="Heading1"/>
      </w:pPr>
      <w:r>
        <w:t>6 Color and contrast: a concrete Chains finding</w:t>
      </w:r>
      <w:bookmarkEnd w:id="102"/>
    </w:p>
    <w:p>
      <w:pPr>
        <w:pStyle w:val="Heading2"/>
      </w:pPr>
      <w:r>
        <w:t>Method and scope</w:t>
      </w:r>
    </w:p>
    <w:p>
      <w:r>
        <w:t>The following ratios were calculated from opaque hexadecimal colors in BRAND.md using WCAG relative luminance: convert each sRGB channel to linear light, calculate luminance as 0.2126R + 0.7152G + 0.0722B, then divide the lighter luminance plus 0.05 by the darker plus 0.05. Values are rounded for display; threshold decisions use unrounded values. [6,22]</w:t>
      </w:r>
    </w:p>
    <w:p>
      <w:r>
        <w:t>This is a token-pair calculation. Actual gradients, transparency, images, hover states, disabled states and rendered font sizes must be checked separately. It is not a claim that every current Chains button fails.</w:t>
      </w:r>
    </w:p>
    <w:tbl>
      <w:tblPr>
        <w:tblW w:type="auto" w:w="0"/>
        <w:jc w:val="center"/>
        <w:tblLayout w:type="fixed"/>
        <w:tblLook w:firstColumn="1" w:firstRow="1" w:lastColumn="0" w:lastRow="0" w:noHBand="0" w:noVBand="1" w:val="04A0"/>
      </w:tblPr>
      <w:tblGrid>
        <w:gridCol w:w="2376"/>
        <w:gridCol w:w="3672"/>
        <w:gridCol w:w="3888"/>
      </w:tblGrid>
      <w:tr>
        <w:trPr>
          <w:cantSplit/>
          <w:tblHeader/>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ED"/>
          </w:tcPr>
          <w:p>
            <w:pPr>
              <w:spacing w:after="0" w:line="240" w:lineRule="auto"/>
            </w:pPr>
            <w:r>
              <w:rPr>
                <w:b/>
                <w:sz w:val="20"/>
              </w:rPr>
              <w:t>Documented foreground / background</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ED"/>
          </w:tcPr>
          <w:p>
            <w:pPr>
              <w:spacing w:after="0" w:line="240" w:lineRule="auto"/>
            </w:pPr>
            <w:r>
              <w:rPr>
                <w:b/>
                <w:sz w:val="20"/>
              </w:rPr>
              <w:t>Approximate ratio</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ED"/>
          </w:tcPr>
          <w:p>
            <w:pPr>
              <w:spacing w:after="0" w:line="240" w:lineRule="auto"/>
            </w:pPr>
            <w:r>
              <w:rPr>
                <w:b/>
                <w:sz w:val="20"/>
              </w:rPr>
              <w:t>Normal-text assessment</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White #FFFFFF / orange #FF5A1F</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3.12:1</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Below 4.5:1</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White #FFFFFF / pressed #E84A14</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3.87:1</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Below 4.5:1</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Muted #7C8882 / bone #FBFAF6</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3.53:1</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Below 4.5:1</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Text #2E3833 / orange #FF5A1F</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3.89:1</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Below 4.5:1</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Green #205539 / bone #FBFAF6</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8.31:1</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Above 4.5:1</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Gold #B8860B / bone #FBFAF6</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3.12:1</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Below 4.5:1</w:t>
            </w:r>
          </w:p>
        </w:tc>
      </w:tr>
    </w:tbl>
    <w:p>
      <w:pPr>
        <w:spacing w:after="40"/>
      </w:pPr>
    </w:p>
    <w:p>
      <w:r>
        <w:t>For ordinary text, WCAG AA uses 4.5:1; large text has a 3:1 threshold. “Large” has a defined size and weight meaning, not merely an uppercase or bold treatment. Rough web equivalents are 24 CSS px regular or about 18.7 CSS px bold. [6] A 15-pixel uppercase button label does not qualify just because it looks emphatic.</w:t>
      </w:r>
    </w:p>
    <w:p>
      <w:pPr>
        <w:pStyle w:val="Heading2"/>
      </w:pPr>
      <w:r>
        <w:t>Proposed resolution</w:t>
      </w:r>
    </w:p>
    <w:p>
      <w:r>
        <w:t>Keep orange as a brand accent, then choose a verified foreground/background pair for each text role. Candidate approaches include a darker action fill with white text, sufficiently dark text on the orange, or an orange accent around a readable neutral button. Do not assume the ordinary dark body token works: its orange pairing also falls short in the calculation above.</w:t>
      </w:r>
    </w:p>
    <w:p>
      <w:r>
        <w:t>For muted text, reduce emphasis through placement and weight as well as color; do not make essential information too faint. Green and gold should communicate meaning alongside words or shapes. “Saved,” “Pending sync” and “Could not save” need explicit labels rather than three unlabeled colored dots.</w:t>
      </w:r>
    </w:p>
    <w:p>
      <w:r>
        <w:t>Use a documented color-pair matrix covering default, pressed, focus, error and selected states. Test at the least favorable point of any gradient. Check focus indicators and meaningful non-text controls separately. Passing text contrast alone is not a complete accessibility audit.</w:t>
      </w:r>
    </w:p>
    <w:p>
      <w:bookmarkStart w:id="120" w:name="section_7"/>
      <w:pPr>
        <w:pStyle w:val="Heading1"/>
      </w:pPr>
      <w:r>
        <w:t>7 Proposed screen templates and visual examples</w:t>
      </w:r>
      <w:bookmarkEnd w:id="120"/>
    </w:p>
    <w:p>
      <w:r>
        <w:t>The accompanying schematic is an original proposal, not a screenshot of the current application. It uses a neutral diagram font rather than representing exact brand typography. Dimensions are suggested CSS values at default scale; the printed figure is not a physical-size reference.</w:t>
      </w:r>
    </w:p>
    <w:p>
      <w:r>
        <w:drawing>
          <wp:inline xmlns:a="http://schemas.openxmlformats.org/drawingml/2006/main" xmlns:pic="http://schemas.openxmlformats.org/drawingml/2006/picture">
            <wp:extent cx="6217920" cy="4476902"/>
            <wp:docPr id="1" name="Picture 1"/>
            <wp:cNvGraphicFramePr>
              <a:graphicFrameLocks noChangeAspect="1"/>
            </wp:cNvGraphicFramePr>
            <a:graphic>
              <a:graphicData uri="http://schemas.openxmlformats.org/drawingml/2006/picture">
                <pic:pic>
                  <pic:nvPicPr>
                    <pic:cNvPr id="0" name="scoring_anatomy.png"/>
                    <pic:cNvPicPr/>
                  </pic:nvPicPr>
                  <pic:blipFill>
                    <a:blip r:embed="rId10"/>
                    <a:stretch>
                      <a:fillRect/>
                    </a:stretch>
                  </pic:blipFill>
                  <pic:spPr>
                    <a:xfrm>
                      <a:off x="0" y="0"/>
                      <a:ext cx="6217920" cy="4476902"/>
                    </a:xfrm>
                    <a:prstGeom prst="rect"/>
                  </pic:spPr>
                </pic:pic>
              </a:graphicData>
            </a:graphic>
          </wp:inline>
        </w:drawing>
      </w:r>
    </w:p>
    <w:p>
      <w:r>
        <w:t>Figure 1. Separate navigation, task context and score entry. The visible arrow sits inside a larger touch area; optional information follows the scoring controls. Use this to discuss hierarchy, then test a working prototype.</w:t>
      </w:r>
    </w:p>
    <w:p>
      <w:pPr>
        <w:pStyle w:val="Heading2"/>
      </w:pPr>
      <w:r>
        <w:t>Home: give the visit a useful starting point</w:t>
      </w:r>
    </w:p>
    <w:p>
      <w:r>
        <w:t>Proposed order: resume an unfinished round when relevant; otherwise show the clearest route to Play; then a compact home-course item and one relevant challenge. Fantasy and live event content can have summaries with explicit destinations. Do not place every module, every trophy and every statistic above the fold.</w:t>
      </w:r>
    </w:p>
    <w:p>
      <w:r>
        <w:t>A personal greeting is optional. It should not displace the reason someone opened the app. A blank new account should still explain what to do, while a returning player should not repeatedly navigate through onboarding.</w:t>
      </w:r>
    </w:p>
    <w:p>
      <w:pPr>
        <w:pStyle w:val="Heading2"/>
      </w:pPr>
      <w:r>
        <w:t>Scoring: protect the working surface</w:t>
      </w:r>
    </w:p>
    <w:p>
      <w:r>
        <w:t>Keep hole context, player identities and score changes visually stable. Give plus and minus controls enough separation to reduce wrong taps. Show the player's score between them or in an equally clear association. A visible save or sync state should not shove the entire layout up and down as it changes.</w:t>
      </w:r>
    </w:p>
    <w:p>
      <w:r>
        <w:t>Optional statistics, map detail and achievements should not crowd the repeated scoring action. A trophy reveal can wait until an appropriate pause, consistent with the existing design rules. [21] This is where visual design supports the earlier engagement strategy: rewards should not interrupt the activity they celebrate.</w:t>
      </w:r>
    </w:p>
    <w:p>
      <w:pPr>
        <w:pStyle w:val="Heading2"/>
      </w:pPr>
      <w:r>
        <w:t>Courses and challenges: show comparable information consistently</w:t>
      </w:r>
    </w:p>
    <w:p>
      <w:r>
        <w:t>Use repeated row anatomy for comparable items: title, brief context, relevant status and the way to open details. Show a course's layout or distance only where it helps the choice. For challenges, make progress concrete, for example “4 of 6 qualifying rounds,” and explain qualification in details.</w:t>
      </w:r>
    </w:p>
    <w:p>
      <w:r>
        <w:t>Territory or home-course status should not depend on a tiny colored map. Provide a readable list or summary as an alternative. Avoid crowns and exaggerated language where the brand rules call for plain words. Distinguish a proposed competitive status from a verified record.</w:t>
      </w:r>
    </w:p>
    <w:p>
      <w:pPr>
        <w:pStyle w:val="Heading2"/>
      </w:pPr>
      <w:r>
        <w:t>Fantasy and live scores: prioritize interpretation</w:t>
      </w:r>
    </w:p>
    <w:p>
      <w:r>
        <w:t>Show the event name, timing or freshness of the data, and the score's meaning. Preserve readable player names and stable numeric columns. Put rules and scoring explanations nearby without repeating them in every row. Live updates should not reorder a list while someone is tapping it without a clear strategy for maintaining orientation.</w:t>
      </w:r>
    </w:p>
    <w:p>
      <w:r>
        <w:t>These are proposed templates. Their value is that designers and developers can reuse a tested arrangement rather than invent a new navigation pattern for each module.</w:t>
      </w:r>
    </w:p>
    <w:p>
      <w:bookmarkStart w:id="137" w:name="section_8"/>
      <w:pPr>
        <w:pStyle w:val="Heading1"/>
      </w:pPr>
      <w:r>
        <w:t>8 Interaction states are part of the aesthetic system</w:t>
      </w:r>
      <w:bookmarkEnd w:id="137"/>
    </w:p>
    <w:p>
      <w:r>
        <w:t>A polished static screen is incomplete. Specify loading, empty, error, offline, pending, selected, pressed, focus and success states for each reusable component. Keep enough structure during loading that content does not jump unpredictably when it arrives. Avoid an animated skeleton where a short plain status is clearer.</w:t>
      </w:r>
    </w:p>
    <w:p>
      <w:r>
        <w:t>For a failed score sync, retain the entered score and place the recovery action close to the state. Explain the consequence precisely. “Saved on this device; waiting to sync” is a proposal only if the implementation actually provides durable local saving. Wording must reflect real system guarantees.</w:t>
      </w:r>
    </w:p>
    <w:p>
      <w:r>
        <w:t>A selected tab needs more than a slight hue difference. A disabled control should explain why it cannot be used when the reason is not obvious. Errors should identify the problem and the next step. Do not use success green to imply a server-confirmed state before confirmation exists.</w:t>
      </w:r>
    </w:p>
    <w:p>
      <w:r>
        <w:t>Motion can explain a transition or acknowledge an action, but should not delay repeated score entry. Proposed behavior is brief, interruptible motion with a reduced-motion alternative. Sound is optional, user-controlled and supplementary; an app should remain understandable when muted. These are product recommendations, not a claim that a particular duration or sound increases engagement.</w:t>
      </w:r>
    </w:p>
    <w:p>
      <w:r>
        <w:t>Keyboard focus must remain visible and avoid being covered by sticky controls. A bottom action area must leave enough content padding and account for device safe areas. Test opening the software keyboard, enlarging text and rotating the device; those changes often expose layout assumptions that screenshots conceal.</w:t>
      </w:r>
    </w:p>
    <w:p>
      <w:bookmarkStart w:id="144" w:name="section_9"/>
      <w:pPr>
        <w:pStyle w:val="Heading1"/>
      </w:pPr>
      <w:r>
        <w:t>9 Build a system that stays clean as the app grows</w:t>
      </w:r>
      <w:bookmarkEnd w:id="144"/>
    </w:p>
    <w:p>
      <w:pPr>
        <w:pStyle w:val="Heading2"/>
      </w:pPr>
      <w:r>
        <w:t>Three layers of decisions</w:t>
      </w:r>
    </w:p>
    <w:p>
      <w:r>
        <w:t>Use primitive tokens for raw colors and spacing; semantic tokens for roles such as text.primary or action.background; component rules for headers, list rows, score controls and sheets. When a contrast pair changes, semantic roles allow a deliberate correction across screens. This is a proposed organization, not an assertion about the current code.</w:t>
      </w:r>
    </w:p>
    <w:p>
      <w:r>
        <w:t>A component specification should include anatomy, states, content rules, responsive behavior, accessibility semantics and examples of misuse. A “Back header” is incomplete if it documents only the arrow and ignores long titles, deep links and unsaved edits.</w:t>
      </w:r>
    </w:p>
    <w:p>
      <w:pPr>
        <w:pStyle w:val="Heading2"/>
      </w:pPr>
      <w:r>
        <w:t>Review exceptions rather than accumulating them</w:t>
      </w:r>
    </w:p>
    <w:p>
      <w:r>
        <w:t>Before adding a new card style or font size, ask whether an existing role solves the problem. If not, document the new role and its reason. Keep a small gallery of real content cases: long course names, a large player card, zero results, offline scoring and maximum text enlargement.</w:t>
      </w:r>
    </w:p>
    <w:p>
      <w:r>
        <w:t>The existing design and brand documents remain the project authority. [21–22] Record intentional revisions there rather than allowing the paper and application to drift into competing rulebooks. This paper proposes review points; it does not silently supersede the repository.</w:t>
      </w:r>
    </w:p>
    <w:p>
      <w:pPr>
        <w:pStyle w:val="Heading2"/>
      </w:pPr>
      <w:r>
        <w:t>Define acceptance through behavior</w:t>
      </w:r>
    </w:p>
    <w:p>
      <w:r>
        <w:t>Proposed release checks include: titles never overlap navigation; main controls meet the chosen target-size standard; essential text uses verified color pairs; browser Back and visible Back behave coherently; score entry survives temporary surfaces; labels remain understandable without color; enlarged text preserves actions; and overlays can be dismissed without losing context.</w:t>
      </w:r>
    </w:p>
    <w:p>
      <w:r>
        <w:t>These checks are concrete enough to review in a prototype. They should supplement functional testing, not become a decorative checklist that passes while the underlying action fails.</w:t>
      </w:r>
    </w:p>
    <w:p>
      <w:bookmarkStart w:id="155" w:name="section_10"/>
      <w:pPr>
        <w:pStyle w:val="Heading1"/>
      </w:pPr>
      <w:r>
        <w:t>10 Validation: test clarity, preference and field performance separately</w:t>
      </w:r>
      <w:bookmarkEnd w:id="155"/>
    </w:p>
    <w:p>
      <w:pPr>
        <w:pStyle w:val="Heading2"/>
      </w:pPr>
      <w:r>
        <w:t>Start with realistic tasks</w:t>
      </w:r>
    </w:p>
    <w:p>
      <w:r>
        <w:t>Recruit a varied exploratory group: new and returning disc golfers, people who use larger text, different hand preferences and varied phones. A small first round can expose obvious issues, but it does not estimate population effect sizes. Repeat after revisions. Include real outdoor testing where feasible, because glare and interruptions differ from a design review at a desk.</w:t>
      </w:r>
    </w:p>
    <w:tbl>
      <w:tblPr>
        <w:tblW w:type="auto" w:w="0"/>
        <w:jc w:val="center"/>
        <w:tblLayout w:type="fixed"/>
        <w:tblLook w:firstColumn="1" w:firstRow="1" w:lastColumn="0" w:lastRow="0" w:noHBand="0" w:noVBand="1" w:val="04A0"/>
      </w:tblPr>
      <w:tblGrid>
        <w:gridCol w:w="2376"/>
        <w:gridCol w:w="3672"/>
        <w:gridCol w:w="3888"/>
      </w:tblGrid>
      <w:tr>
        <w:trPr>
          <w:cantSplit/>
          <w:tblHeader/>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ED"/>
          </w:tcPr>
          <w:p>
            <w:pPr>
              <w:spacing w:after="0" w:line="240" w:lineRule="auto"/>
            </w:pPr>
            <w:r>
              <w:rPr>
                <w:b/>
                <w:sz w:val="20"/>
              </w:rPr>
              <w:t>Proposed task</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ED"/>
          </w:tcPr>
          <w:p>
            <w:pPr>
              <w:spacing w:after="0" w:line="240" w:lineRule="auto"/>
            </w:pPr>
            <w:r>
              <w:rPr>
                <w:b/>
                <w:sz w:val="20"/>
              </w:rPr>
              <w:t>Observe</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ED"/>
          </w:tcPr>
          <w:p>
            <w:pPr>
              <w:spacing w:after="0" w:line="240" w:lineRule="auto"/>
            </w:pPr>
            <w:r>
              <w:rPr>
                <w:b/>
                <w:sz w:val="20"/>
              </w:rPr>
              <w:t>Design decision it informs</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Start a round on a specified layout</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Wrong course or layout, hesitation, completion</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Form order and hierarchy</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Enter scores, inspect a detail, return</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Lost edits, wrong player taps, orientation</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Score-row anatomy and navigation</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Open a deep link and leave its detail</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Dead ends, unexpected destination</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Back fallback and labeling</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Find a home-course challenge rule</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Search path, misunderstanding</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Disclosure and wording</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Read live standings at larger text</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Truncation, unstable order, interpretation</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Table layout and typography</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Recover from an offline state</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Confidence, repeated taps, recovery</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Status placement and honest feedback</w:t>
            </w:r>
          </w:p>
        </w:tc>
      </w:tr>
    </w:tbl>
    <w:p>
      <w:pPr>
        <w:spacing w:after="40"/>
      </w:pPr>
    </w:p>
    <w:p>
      <w:r>
        <w:t>Measure unassisted completion, wrong actions, corrections, time on task and comprehension of key states. Ask an ease question after each task and an aesthetic preference question separately. Do not accept “looks professional” as proof that people understood autosave.</w:t>
      </w:r>
    </w:p>
    <w:p>
      <w:pPr>
        <w:pStyle w:val="Heading2"/>
      </w:pPr>
      <w:r>
        <w:t>Compare changes without confounding them</w:t>
      </w:r>
    </w:p>
    <w:p>
      <w:r>
        <w:t>For a navigation comparison, keep content and task difficulty as similar as possible and vary the navigation treatment. Counterbalance prototype order when practical. For quantitative claims, define the primary outcome, sample-size rationale and analysis before collecting data. A five-person preference vote is not a reliable conversion estimate.</w:t>
      </w:r>
    </w:p>
    <w:p>
      <w:r>
        <w:t>After release, monitor task success and correction patterns, using privacy-conscious instrumentation. Retention is a downstream outcome influenced by season, weather, tournament schedules and social use. An interface change that reduces score-entry errors can be valuable even if a short retention comparison is inconclusive.</w:t>
      </w:r>
    </w:p>
    <w:p>
      <w:pPr>
        <w:pStyle w:val="Heading2"/>
      </w:pPr>
      <w:r>
        <w:t>A prioritized application plan</w:t>
      </w:r>
    </w:p>
    <w:p>
      <w:r>
        <w:t>First, verify documented contrast pairs and inspect the actual header, score row and bottom navigation in the running app. Second, agree on text roles and a small set of spacing tokens. Third, prototype one complete scoring flow including failure and return states. Fourth, test outdoors and with enlarged text. Fifth, extend the proven components to courses, challenges and fantasy.</w:t>
      </w:r>
    </w:p>
    <w:p>
      <w:r>
        <w:t>Keep a decision log stating the observed problem, proposed change, evidence class, test result and any remaining uncertainty. This turns visual craft into a disciplined practice without pretending every aesthetic judgment has a universal formula.</w:t>
      </w:r>
    </w:p>
    <w:p>
      <w:bookmarkStart w:id="174" w:name="section_11"/>
      <w:pPr>
        <w:pStyle w:val="Heading1"/>
      </w:pPr>
      <w:r>
        <w:t>References</w:t>
      </w:r>
      <w:bookmarkEnd w:id="174"/>
    </w:p>
    <w:p>
      <w:r>
        <w:t>Sources accessed 24 October 2026. Research findings are paraphrased. Repository references describe specifications, not a complete rendered-product audit. Some platform documentation is dynamically rendered; linked platform pages and the named official session provide convention references rather than line-by-line implementation requirements.</w:t>
      </w:r>
    </w:p>
    <w:p>
      <w:pPr>
        <w:spacing w:after="180"/>
      </w:pPr>
      <w:r>
        <w:rPr>
          <w:sz w:val="20"/>
        </w:rPr>
        <w:t xml:space="preserve">[1] Tuch, A. N., et al. (2012). The role of visual complexity and prototypicality regarding first impression of websites: Working towards understanding aesthetic judgments. International Journal of Human-Computer Studies, 70(11), 794–811. Author publication record: </w:t>
      </w:r>
      <w:hyperlink r:id="rId11">
        <w:r>
          <w:rPr>
            <w:color w:val="174A6E"/>
          </w:rPr>
          <w:t>https://research.google/pubs/the-role-of-visual-complexity-and-prototypicality-regarding-first-impression-of-websites-working-towards-understanding-aesthetic-judgments/</w:t>
        </w:r>
      </w:hyperlink>
      <w:r>
        <w:rPr>
          <w:sz w:val="20"/>
        </w:rPr>
      </w:r>
    </w:p>
    <w:p>
      <w:pPr>
        <w:spacing w:after="180"/>
      </w:pPr>
      <w:r>
        <w:rPr>
          <w:sz w:val="20"/>
        </w:rPr>
        <w:t xml:space="preserve">[2] Tractinsky, N., Katz, A. S., &amp; Ikar, D. (2000). What is beautiful is usable. Interacting with Computers, 13(2), 127–145. </w:t>
      </w:r>
      <w:hyperlink r:id="rId12">
        <w:r>
          <w:rPr>
            <w:color w:val="174A6E"/>
          </w:rPr>
          <w:t>https://academic.oup.com/iwc/article-abstract/13/2/127/898608</w:t>
        </w:r>
      </w:hyperlink>
      <w:r>
        <w:rPr>
          <w:sz w:val="20"/>
        </w:rPr>
        <w:t xml:space="preserve"> DOI: 10.1016/S0953-5438(00)00031-X.</w:t>
      </w:r>
    </w:p>
    <w:p>
      <w:pPr>
        <w:spacing w:after="180"/>
      </w:pPr>
      <w:r>
        <w:rPr>
          <w:sz w:val="20"/>
        </w:rPr>
        <w:t xml:space="preserve">[3] Wallace, S., et al. (2022). Towards Individuated Reading Experiences: Different Fonts Increase Reading Speed for Different Individuals. ACM Transactions on Computer-Human Interaction. DOI: 10.1145/3502222. Author-hosted paper: </w:t>
      </w:r>
      <w:hyperlink r:id="rId13">
        <w:r>
          <w:rPr>
            <w:color w:val="174A6E"/>
          </w:rPr>
          <w:t>https://jeffhuang.com/papers/Readability_TOCHI22.pdf</w:t>
        </w:r>
      </w:hyperlink>
      <w:r>
        <w:rPr>
          <w:sz w:val="20"/>
        </w:rPr>
        <w:t xml:space="preserve"> Research summary: </w:t>
      </w:r>
      <w:hyperlink r:id="rId14">
        <w:r>
          <w:rPr>
            <w:color w:val="174A6E"/>
          </w:rPr>
          <w:t>https://research.adobe.com/publication/towards-individuated-reading-experiences-different-fonts-increase-reading-speed-for-different-individuals/</w:t>
        </w:r>
      </w:hyperlink>
      <w:r>
        <w:rPr>
          <w:sz w:val="20"/>
        </w:rPr>
      </w:r>
    </w:p>
    <w:p>
      <w:pPr>
        <w:spacing w:after="180"/>
      </w:pPr>
      <w:r>
        <w:rPr>
          <w:sz w:val="20"/>
        </w:rPr>
        <w:t xml:space="preserve">[4] Beier, S., &amp; Larson, K. (2013). How does typeface familiarity affect reading performance and reader preference? Information Design Journal, 20(1), 16–31. </w:t>
      </w:r>
      <w:hyperlink r:id="rId15">
        <w:r>
          <w:rPr>
            <w:color w:val="174A6E"/>
          </w:rPr>
          <w:t>https://www.microsoft.com/en-us/research/publication/how-does-typeface-familiarity-affect-reading-performance-and-reader-preference/</w:t>
        </w:r>
      </w:hyperlink>
      <w:r>
        <w:rPr>
          <w:sz w:val="20"/>
        </w:rPr>
      </w:r>
    </w:p>
    <w:p>
      <w:pPr>
        <w:spacing w:after="180"/>
      </w:pPr>
      <w:r>
        <w:rPr>
          <w:sz w:val="20"/>
        </w:rPr>
        <w:t xml:space="preserve">[5] Pernice, K., &amp; Budiu, R. (2016). Hamburger Menus and Hidden Navigation Hurt UX Metrics. Nielsen Norman Group. </w:t>
      </w:r>
      <w:hyperlink r:id="rId16">
        <w:r>
          <w:rPr>
            <w:color w:val="174A6E"/>
          </w:rPr>
          <w:t>https://www.nngroup.com/articles/hamburger-menus/</w:t>
        </w:r>
      </w:hyperlink>
      <w:r>
        <w:rPr>
          <w:sz w:val="20"/>
        </w:rPr>
        <w:t xml:space="preserve"> Methodology: </w:t>
      </w:r>
      <w:hyperlink r:id="rId17">
        <w:r>
          <w:rPr>
            <w:color w:val="174A6E"/>
          </w:rPr>
          <w:t>https://www.nngroup.com/articles/hidden-navigation-methodology/</w:t>
        </w:r>
      </w:hyperlink>
      <w:r>
        <w:rPr>
          <w:sz w:val="20"/>
        </w:rPr>
      </w:r>
    </w:p>
    <w:p>
      <w:pPr>
        <w:spacing w:after="180"/>
      </w:pPr>
      <w:r>
        <w:rPr>
          <w:sz w:val="20"/>
        </w:rPr>
        <w:t xml:space="preserve">[6] W3C. Web Content Accessibility Guidelines (WCAG) 2.2. Particularly 1.4.3 Contrast, 1.4.4 Resize Text, 1.4.11 Non-text Contrast, 2.4.7 Focus Visible and 2.4.11 Focus Not Obscured. </w:t>
      </w:r>
      <w:hyperlink r:id="rId18">
        <w:r>
          <w:rPr>
            <w:color w:val="174A6E"/>
          </w:rPr>
          <w:t>https://www.w3.org/TR/WCAG22/</w:t>
        </w:r>
      </w:hyperlink>
      <w:r>
        <w:rPr>
          <w:sz w:val="20"/>
        </w:rPr>
      </w:r>
    </w:p>
    <w:p>
      <w:pPr>
        <w:spacing w:after="180"/>
      </w:pPr>
      <w:r>
        <w:rPr>
          <w:sz w:val="20"/>
        </w:rPr>
        <w:t xml:space="preserve">[7] W3C. Understanding Success Criterion 1.4.12: Text Spacing. </w:t>
      </w:r>
      <w:hyperlink r:id="rId19">
        <w:r>
          <w:rPr>
            <w:color w:val="174A6E"/>
          </w:rPr>
          <w:t>https://www.w3.org/WAI/WCAG22/Understanding/text-spacing</w:t>
        </w:r>
      </w:hyperlink>
      <w:r>
        <w:rPr>
          <w:sz w:val="20"/>
        </w:rPr>
      </w:r>
    </w:p>
    <w:p>
      <w:pPr>
        <w:spacing w:after="180"/>
      </w:pPr>
      <w:r>
        <w:rPr>
          <w:sz w:val="20"/>
        </w:rPr>
        <w:t xml:space="preserve">[8] W3C. Understanding Success Criterion 1.4.10: Reflow. </w:t>
      </w:r>
      <w:hyperlink r:id="rId20">
        <w:r>
          <w:rPr>
            <w:color w:val="174A6E"/>
          </w:rPr>
          <w:t>https://www.w3.org/WAI/WCAG22/Understanding/reflow</w:t>
        </w:r>
      </w:hyperlink>
      <w:r>
        <w:rPr>
          <w:sz w:val="20"/>
        </w:rPr>
      </w:r>
    </w:p>
    <w:p>
      <w:pPr>
        <w:spacing w:after="180"/>
      </w:pPr>
      <w:r>
        <w:rPr>
          <w:sz w:val="20"/>
        </w:rPr>
        <w:t xml:space="preserve">[9] W3C. Understanding Success Criterion 2.5.8: Target Size (Minimum). </w:t>
      </w:r>
      <w:hyperlink r:id="rId21">
        <w:r>
          <w:rPr>
            <w:color w:val="174A6E"/>
          </w:rPr>
          <w:t>https://www.w3.org/WAI/WCAG22/Understanding/target-size-minimum</w:t>
        </w:r>
      </w:hyperlink>
      <w:r>
        <w:rPr>
          <w:sz w:val="20"/>
        </w:rPr>
        <w:t xml:space="preserve"> Enhanced target-size criterion 2.5.5 is in [6].</w:t>
      </w:r>
    </w:p>
    <w:p>
      <w:pPr>
        <w:spacing w:after="180"/>
      </w:pPr>
      <w:r>
        <w:rPr>
          <w:sz w:val="20"/>
        </w:rPr>
        <w:t xml:space="preserve">[10] Apple. Human Interface Guidelines: Typography and Accessibility. </w:t>
      </w:r>
      <w:hyperlink r:id="rId22">
        <w:r>
          <w:rPr>
            <w:color w:val="174A6E"/>
          </w:rPr>
          <w:t>https://developer.apple.com/design/human-interface-guidelines/typography</w:t>
        </w:r>
      </w:hyperlink>
      <w:r>
        <w:rPr>
          <w:sz w:val="20"/>
        </w:rPr>
        <w:t xml:space="preserve"> </w:t>
      </w:r>
      <w:hyperlink r:id="rId23">
        <w:r>
          <w:rPr>
            <w:color w:val="174A6E"/>
          </w:rPr>
          <w:t>https://developer.apple.com/design/human-interface-guidelines/accessibility</w:t>
        </w:r>
      </w:hyperlink>
      <w:r>
        <w:rPr>
          <w:sz w:val="20"/>
        </w:rPr>
      </w:r>
    </w:p>
    <w:p>
      <w:pPr>
        <w:spacing w:after="180"/>
      </w:pPr>
      <w:r>
        <w:rPr>
          <w:sz w:val="20"/>
        </w:rPr>
        <w:t xml:space="preserve">[11] Apple. Human Interface Guidelines: Toolbars. </w:t>
      </w:r>
      <w:hyperlink r:id="rId24">
        <w:r>
          <w:rPr>
            <w:color w:val="174A6E"/>
          </w:rPr>
          <w:t>https://developer.apple.com/design/human-interface-guidelines/toolbars</w:t>
        </w:r>
      </w:hyperlink>
      <w:r>
        <w:rPr>
          <w:sz w:val="20"/>
        </w:rPr>
      </w:r>
    </w:p>
    <w:p>
      <w:pPr>
        <w:spacing w:after="180"/>
      </w:pPr>
      <w:r>
        <w:rPr>
          <w:sz w:val="20"/>
        </w:rPr>
        <w:t xml:space="preserve">[12] Apple. Human Interface Guidelines: Tab bars. </w:t>
      </w:r>
      <w:hyperlink r:id="rId25">
        <w:r>
          <w:rPr>
            <w:color w:val="174A6E"/>
          </w:rPr>
          <w:t>https://developer.apple.com/design/human-interface-guidelines/tab-bars</w:t>
        </w:r>
      </w:hyperlink>
      <w:r>
        <w:rPr>
          <w:sz w:val="20"/>
        </w:rPr>
      </w:r>
    </w:p>
    <w:p>
      <w:pPr>
        <w:spacing w:after="180"/>
      </w:pPr>
      <w:r>
        <w:rPr>
          <w:sz w:val="20"/>
        </w:rPr>
        <w:t xml:space="preserve">[13] Apple (2025). Design foundations from idea to interface. WWDC25, session 359. </w:t>
      </w:r>
      <w:hyperlink r:id="rId26">
        <w:r>
          <w:rPr>
            <w:color w:val="174A6E"/>
          </w:rPr>
          <w:t>https://developer.apple.com/videos/play/wwdc2025/359/</w:t>
        </w:r>
      </w:hyperlink>
      <w:r>
        <w:rPr>
          <w:sz w:val="20"/>
        </w:rPr>
      </w:r>
    </w:p>
    <w:p>
      <w:pPr>
        <w:spacing w:after="180"/>
      </w:pPr>
      <w:r>
        <w:rPr>
          <w:sz w:val="20"/>
        </w:rPr>
        <w:t xml:space="preserve">[14] Apple. Human Interface Guidelines: Sheets. </w:t>
      </w:r>
      <w:hyperlink r:id="rId27">
        <w:r>
          <w:rPr>
            <w:color w:val="174A6E"/>
          </w:rPr>
          <w:t>https://developer.apple.com/design/human-interface-guidelines/sheets</w:t>
        </w:r>
      </w:hyperlink>
      <w:r>
        <w:rPr>
          <w:sz w:val="20"/>
        </w:rPr>
      </w:r>
    </w:p>
    <w:p>
      <w:pPr>
        <w:spacing w:after="180"/>
      </w:pPr>
      <w:r>
        <w:rPr>
          <w:sz w:val="20"/>
        </w:rPr>
        <w:t xml:space="preserve">[15] Google. Material Design 3: Applying typography. </w:t>
      </w:r>
      <w:hyperlink r:id="rId28">
        <w:r>
          <w:rPr>
            <w:color w:val="174A6E"/>
          </w:rPr>
          <w:t>https://m3.material.io/styles/typography/applying-type</w:t>
        </w:r>
      </w:hyperlink>
      <w:r>
        <w:rPr>
          <w:sz w:val="20"/>
        </w:rPr>
      </w:r>
    </w:p>
    <w:p>
      <w:pPr>
        <w:spacing w:after="180"/>
      </w:pPr>
      <w:r>
        <w:rPr>
          <w:sz w:val="20"/>
        </w:rPr>
        <w:t xml:space="preserve">[16] Google. Material Design 3: App bars and navigation bar. </w:t>
      </w:r>
      <w:hyperlink r:id="rId29">
        <w:r>
          <w:rPr>
            <w:color w:val="174A6E"/>
          </w:rPr>
          <w:t>https://m3.material.io/components/app-bars/guidelines</w:t>
        </w:r>
      </w:hyperlink>
      <w:r>
        <w:rPr>
          <w:sz w:val="20"/>
        </w:rPr>
        <w:t xml:space="preserve"> </w:t>
      </w:r>
      <w:hyperlink r:id="rId30">
        <w:r>
          <w:rPr>
            <w:color w:val="174A6E"/>
          </w:rPr>
          <w:t>https://m3.material.io/components/navigation-bar/overview</w:t>
        </w:r>
      </w:hyperlink>
      <w:r>
        <w:rPr>
          <w:sz w:val="20"/>
        </w:rPr>
        <w:t xml:space="preserve"> These provide supplemental platform references for header and destination patterns.</w:t>
      </w:r>
    </w:p>
    <w:p>
      <w:pPr>
        <w:spacing w:after="180"/>
      </w:pPr>
      <w:r>
        <w:rPr>
          <w:sz w:val="20"/>
        </w:rPr>
        <w:t xml:space="preserve">[17] Nielsen, J. (2006). Progressive Disclosure. Nielsen Norman Group. </w:t>
      </w:r>
      <w:hyperlink r:id="rId31">
        <w:r>
          <w:rPr>
            <w:color w:val="174A6E"/>
          </w:rPr>
          <w:t>https://www.nngroup.com/articles/progressive-disclosure/</w:t>
        </w:r>
      </w:hyperlink>
      <w:r>
        <w:rPr>
          <w:sz w:val="20"/>
        </w:rPr>
      </w:r>
    </w:p>
    <w:p>
      <w:pPr>
        <w:spacing w:after="180"/>
      </w:pPr>
      <w:r>
        <w:rPr>
          <w:sz w:val="20"/>
        </w:rPr>
        <w:t xml:space="preserve">[18] Gordon, K. (2020; subsequently updated). 5 Principles of Visual Design in UX. Nielsen Norman Group. </w:t>
      </w:r>
      <w:hyperlink r:id="rId32">
        <w:r>
          <w:rPr>
            <w:color w:val="174A6E"/>
          </w:rPr>
          <w:t>https://www.nngroup.com/articles/principles-visual-design/</w:t>
        </w:r>
      </w:hyperlink>
      <w:r>
        <w:rPr>
          <w:sz w:val="20"/>
        </w:rPr>
      </w:r>
    </w:p>
    <w:p>
      <w:pPr>
        <w:spacing w:after="180"/>
      </w:pPr>
      <w:r>
        <w:rPr>
          <w:sz w:val="20"/>
        </w:rPr>
        <w:t xml:space="preserve">[19] W3C. Design System: Forms. </w:t>
      </w:r>
      <w:hyperlink r:id="rId33">
        <w:r>
          <w:rPr>
            <w:color w:val="174A6E"/>
          </w:rPr>
          <w:t>https://design-system.w3.org/styles/forms.html</w:t>
        </w:r>
      </w:hyperlink>
      <w:r>
        <w:rPr>
          <w:sz w:val="20"/>
        </w:rPr>
      </w:r>
    </w:p>
    <w:p>
      <w:pPr>
        <w:spacing w:after="180"/>
      </w:pPr>
      <w:r>
        <w:rPr>
          <w:sz w:val="20"/>
        </w:rPr>
        <w:t xml:space="preserve">[20] Nielsen Norman Group. Icon Usability. </w:t>
      </w:r>
      <w:hyperlink r:id="rId34">
        <w:r>
          <w:rPr>
            <w:color w:val="174A6E"/>
          </w:rPr>
          <w:t>https://www.nngroup.com/articles/icon-usability/</w:t>
        </w:r>
      </w:hyperlink>
      <w:r>
        <w:rPr>
          <w:sz w:val="20"/>
        </w:rPr>
      </w:r>
    </w:p>
    <w:p>
      <w:pPr>
        <w:spacing w:after="180"/>
      </w:pPr>
      <w:r>
        <w:rPr>
          <w:sz w:val="20"/>
        </w:rPr>
        <w:t xml:space="preserve">[21] Bonnaroo/chains-agent-log. DESIGN.md. Retrieved version blob SHA e7a561d50ff28201e461e9ca024875adc66cd9e2. </w:t>
      </w:r>
      <w:hyperlink r:id="rId35">
        <w:r>
          <w:rPr>
            <w:color w:val="174A6E"/>
          </w:rPr>
          <w:t>https://github.com/Bonnaroo/chains-agent-log/blob/main/DESIGN.md</w:t>
        </w:r>
      </w:hyperlink>
      <w:r>
        <w:rPr>
          <w:sz w:val="20"/>
        </w:rPr>
      </w:r>
    </w:p>
    <w:p>
      <w:pPr>
        <w:spacing w:after="180"/>
      </w:pPr>
      <w:r>
        <w:rPr>
          <w:sz w:val="20"/>
        </w:rPr>
        <w:t xml:space="preserve">[22] Bonnaroo/chains-agent-log. BRAND.md. Retrieved version blob SHA d16e7c511397084b0b6fe93d85a6e139bf00286f. </w:t>
      </w:r>
      <w:hyperlink r:id="rId36">
        <w:r>
          <w:rPr>
            <w:color w:val="174A6E"/>
          </w:rPr>
          <w:t>https://github.com/Bonnaroo/chains-agent-log/blob/main/BRAND.md</w:t>
        </w:r>
      </w:hyperlink>
      <w:r>
        <w:rPr>
          <w:sz w:val="20"/>
        </w:rPr>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Chains visual and interaction design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280"/>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research.google/pubs/the-role-of-visual-complexity-and-prototypicality-regarding-first-impression-of-websites-working-towards-understanding-aesthetic-judgments/" TargetMode="External"/><Relationship Id="rId12" Type="http://schemas.openxmlformats.org/officeDocument/2006/relationships/hyperlink" Target="https://academic.oup.com/iwc/article-abstract/13/2/127/898608" TargetMode="External"/><Relationship Id="rId13" Type="http://schemas.openxmlformats.org/officeDocument/2006/relationships/hyperlink" Target="https://jeffhuang.com/papers/Readability_TOCHI22.pdf" TargetMode="External"/><Relationship Id="rId14" Type="http://schemas.openxmlformats.org/officeDocument/2006/relationships/hyperlink" Target="https://research.adobe.com/publication/towards-individuated-reading-experiences-different-fonts-increase-reading-speed-for-different-individuals/" TargetMode="External"/><Relationship Id="rId15" Type="http://schemas.openxmlformats.org/officeDocument/2006/relationships/hyperlink" Target="https://www.microsoft.com/en-us/research/publication/how-does-typeface-familiarity-affect-reading-performance-and-reader-preference/" TargetMode="External"/><Relationship Id="rId16" Type="http://schemas.openxmlformats.org/officeDocument/2006/relationships/hyperlink" Target="https://www.nngroup.com/articles/hamburger-menus/" TargetMode="External"/><Relationship Id="rId17" Type="http://schemas.openxmlformats.org/officeDocument/2006/relationships/hyperlink" Target="https://www.nngroup.com/articles/hidden-navigation-methodology/" TargetMode="External"/><Relationship Id="rId18" Type="http://schemas.openxmlformats.org/officeDocument/2006/relationships/hyperlink" Target="https://www.w3.org/TR/WCAG22/" TargetMode="External"/><Relationship Id="rId19" Type="http://schemas.openxmlformats.org/officeDocument/2006/relationships/hyperlink" Target="https://www.w3.org/WAI/WCAG22/Understanding/text-spacing" TargetMode="External"/><Relationship Id="rId20" Type="http://schemas.openxmlformats.org/officeDocument/2006/relationships/hyperlink" Target="https://www.w3.org/WAI/WCAG22/Understanding/reflow" TargetMode="External"/><Relationship Id="rId21" Type="http://schemas.openxmlformats.org/officeDocument/2006/relationships/hyperlink" Target="https://www.w3.org/WAI/WCAG22/Understanding/target-size-minimum" TargetMode="External"/><Relationship Id="rId22" Type="http://schemas.openxmlformats.org/officeDocument/2006/relationships/hyperlink" Target="https://developer.apple.com/design/human-interface-guidelines/typography" TargetMode="External"/><Relationship Id="rId23" Type="http://schemas.openxmlformats.org/officeDocument/2006/relationships/hyperlink" Target="https://developer.apple.com/design/human-interface-guidelines/accessibility" TargetMode="External"/><Relationship Id="rId24" Type="http://schemas.openxmlformats.org/officeDocument/2006/relationships/hyperlink" Target="https://developer.apple.com/design/human-interface-guidelines/toolbars" TargetMode="External"/><Relationship Id="rId25" Type="http://schemas.openxmlformats.org/officeDocument/2006/relationships/hyperlink" Target="https://developer.apple.com/design/human-interface-guidelines/tab-bars" TargetMode="External"/><Relationship Id="rId26" Type="http://schemas.openxmlformats.org/officeDocument/2006/relationships/hyperlink" Target="https://developer.apple.com/videos/play/wwdc2025/359/" TargetMode="External"/><Relationship Id="rId27" Type="http://schemas.openxmlformats.org/officeDocument/2006/relationships/hyperlink" Target="https://developer.apple.com/design/human-interface-guidelines/sheets" TargetMode="External"/><Relationship Id="rId28" Type="http://schemas.openxmlformats.org/officeDocument/2006/relationships/hyperlink" Target="https://m3.material.io/styles/typography/applying-type" TargetMode="External"/><Relationship Id="rId29" Type="http://schemas.openxmlformats.org/officeDocument/2006/relationships/hyperlink" Target="https://m3.material.io/components/app-bars/guidelines" TargetMode="External"/><Relationship Id="rId30" Type="http://schemas.openxmlformats.org/officeDocument/2006/relationships/hyperlink" Target="https://m3.material.io/components/navigation-bar/overview" TargetMode="External"/><Relationship Id="rId31" Type="http://schemas.openxmlformats.org/officeDocument/2006/relationships/hyperlink" Target="https://www.nngroup.com/articles/progressive-disclosure/" TargetMode="External"/><Relationship Id="rId32" Type="http://schemas.openxmlformats.org/officeDocument/2006/relationships/hyperlink" Target="https://www.nngroup.com/articles/principles-visual-design/" TargetMode="External"/><Relationship Id="rId33" Type="http://schemas.openxmlformats.org/officeDocument/2006/relationships/hyperlink" Target="https://design-system.w3.org/styles/forms.html" TargetMode="External"/><Relationship Id="rId34" Type="http://schemas.openxmlformats.org/officeDocument/2006/relationships/hyperlink" Target="https://www.nngroup.com/articles/icon-usability/" TargetMode="External"/><Relationship Id="rId35" Type="http://schemas.openxmlformats.org/officeDocument/2006/relationships/hyperlink" Target="https://github.com/Bonnaroo/chains-agent-log/blob/main/DESIGN.md" TargetMode="External"/><Relationship Id="rId36" Type="http://schemas.openxmlformats.org/officeDocument/2006/relationships/hyperlink" Target="https://github.com/Bonnaroo/chains-agent-log/blob/main/BRAND.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Chains Visual and Interaction Design Research</dc:title>
  <dc:subject>Research synthesis and testable product design specification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