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240" w:lineRule="auto"/>
      </w:pPr>
      <w:r>
        <w:rPr>
          <w:rFonts w:ascii="Times New Roman" w:hAnsi="Times New Roman"/>
          <w:b/>
          <w:i w:val="0"/>
          <w:sz w:val="28"/>
        </w:rPr>
        <w:t>Convective Parameterization Uncertainty and Its Impact on</w:t>
        <w:br/>
        <w:t>Tropical Cyclone Intensity Forecasts in CMIP6 Models</w:t>
      </w:r>
    </w:p>
    <w:p/>
    <w:p>
      <w:pPr>
        <w:jc w:val="center"/>
        <w:spacing w:line="240" w:lineRule="auto"/>
      </w:pPr>
      <w:r>
        <w:rPr>
          <w:rFonts w:ascii="Times New Roman" w:hAnsi="Times New Roman"/>
          <w:b/>
          <w:i w:val="0"/>
          <w:sz w:val="22"/>
        </w:rPr>
        <w:t>Sarah E. Thornton</w:t>
      </w:r>
    </w:p>
    <w:p>
      <w:pPr>
        <w:jc w:val="center"/>
        <w:spacing w:line="240" w:lineRule="auto"/>
      </w:pPr>
      <w:r>
        <w:rPr>
          <w:rFonts w:ascii="Times New Roman" w:hAnsi="Times New Roman"/>
          <w:b w:val="0"/>
          <w:i/>
          <w:sz w:val="20"/>
        </w:rPr>
        <w:t>Department of Atmospheric Sciences, University of Washington, Seattle, Washington</w:t>
      </w:r>
    </w:p>
    <w:p>
      <w:pPr>
        <w:jc w:val="center"/>
        <w:spacing w:line="240" w:lineRule="auto"/>
      </w:pPr>
      <w:r>
        <w:rPr>
          <w:rFonts w:ascii="Times New Roman" w:hAnsi="Times New Roman"/>
          <w:b/>
          <w:i w:val="0"/>
          <w:sz w:val="22"/>
        </w:rPr>
        <w:t>Marcus D. Osei</w:t>
      </w:r>
    </w:p>
    <w:p>
      <w:pPr>
        <w:jc w:val="center"/>
        <w:spacing w:line="240" w:lineRule="auto"/>
      </w:pPr>
      <w:r>
        <w:rPr>
          <w:rFonts w:ascii="Times New Roman" w:hAnsi="Times New Roman"/>
          <w:b w:val="0"/>
          <w:i/>
          <w:sz w:val="20"/>
        </w:rPr>
        <w:t>National Center for Atmospheric Research, Boulder, Colorado</w:t>
      </w:r>
    </w:p>
    <w:p/>
    <w:p>
      <w:pPr>
        <w:jc w:val="center"/>
        <w:spacing w:line="240" w:lineRule="auto"/>
      </w:pPr>
      <w:r>
        <w:rPr>
          <w:rFonts w:ascii="Times New Roman" w:hAnsi="Times New Roman"/>
          <w:b/>
          <w:i w:val="0"/>
          <w:sz w:val="22"/>
        </w:rPr>
        <w:t>ABSTRACT</w:t>
      </w:r>
    </w:p>
    <w:p>
      <w:pPr>
        <w:spacing w:line="240" w:lineRule="auto"/>
        <w:ind w:left="576" w:right="576"/>
      </w:pPr>
      <w:r>
        <w:rPr>
          <w:rFonts w:ascii="Times New Roman" w:hAnsi="Times New Roman"/>
          <w:b w:val="0"/>
          <w:i w:val="0"/>
          <w:sz w:val="20"/>
        </w:rPr>
        <w:t>Tropical cyclone (TC) intensity forecasts from six CMIP6 global climate models (GCMs) are evaluated against best-track observations for the period 1980–2020. We quantify the contribution of convective parameterization uncertainty—specifically, the choice of trigger function and entrainment rate—to forecast spread in maximum sustained wind speed and minimum central pressure. Using a large ensemble with perturbed physics, we find that convective parameterization accounts for 31–58% of inter-model variance in TC intensity, depending on basin and season. Models employing Arakawa-Schubert parameterization show a systematic 8-knot low bias in peak intensity compared to those using the Betts-Miller-Janjić scheme. These results have direct implications for the interpretation of projected future TC intensity under warming scenarios.</w:t>
      </w:r>
    </w:p>
    <w:p/>
    <w:p>
      <w:pPr>
        <w:spacing w:line="240" w:lineRule="auto"/>
      </w:pPr>
      <w:r>
        <w:rPr>
          <w:rFonts w:ascii="Times New Roman" w:hAnsi="Times New Roman"/>
          <w:b/>
          <w:i w:val="0"/>
          <w:sz w:val="22"/>
        </w:rPr>
        <w:t>1. INTRODUCTION</w:t>
      </w:r>
    </w:p>
    <w:p>
      <w:pPr>
        <w:spacing w:line="240" w:lineRule="auto"/>
        <w:ind w:firstLine="432"/>
      </w:pPr>
      <w:r>
        <w:rPr>
          <w:rFonts w:ascii="Times New Roman" w:hAnsi="Times New Roman"/>
          <w:b w:val="0"/>
          <w:i w:val="0"/>
          <w:sz w:val="22"/>
        </w:rPr>
        <w:t>Tropical cyclone intensity forecasting remains one of the most challenging problems in operational meteorology. While track forecast skill has improved substantially over the past two decades, with global numerical weather prediction models now achieving five-day track errors below 300 km for Atlantic basin storms (DeMaria et al. 2014), intensity forecast skill has improved more slowly, with 24-hour intensity forecast errors showing only modest improvement since the early 1990s (Rappaport et al. 2009).</w:t>
      </w:r>
    </w:p>
    <w:p>
      <w:pPr>
        <w:spacing w:line="240" w:lineRule="auto"/>
        <w:ind w:firstLine="432"/>
      </w:pPr>
      <w:r>
        <w:rPr>
          <w:rFonts w:ascii="Times New Roman" w:hAnsi="Times New Roman"/>
          <w:b w:val="0"/>
          <w:i w:val="0"/>
          <w:sz w:val="22"/>
        </w:rPr>
        <w:t>Global climate models face additional challenges in simulating TC intensity, as their horizontal resolutions (typically 50–100 km) are insufficient to explicitly represent the convective dynamics of TC inner-core processes. All current CMIP6-generation GCMs rely on convective parameterization schemes—semi-empirical closures that represent the aggregate effects of subgrid-scale convection on the resolved-scale circulation. The sensitivity of TC intensity simulations to the choice of parameterization scheme has been documented in limited-area modeling studies (Braun and Tao 2000; Zhu et al. 2015) but has received less systematic attention in the GCM context.</w:t>
      </w:r>
    </w:p>
    <w:p/>
    <w:p>
      <w:pPr>
        <w:spacing w:line="240" w:lineRule="auto"/>
      </w:pPr>
      <w:r>
        <w:rPr>
          <w:rFonts w:ascii="Times New Roman" w:hAnsi="Times New Roman"/>
          <w:b/>
          <w:i w:val="0"/>
          <w:sz w:val="22"/>
        </w:rPr>
        <w:t>2. DATA AND METHODS</w:t>
      </w:r>
    </w:p>
    <w:p>
      <w:pPr>
        <w:spacing w:line="240" w:lineRule="auto"/>
        <w:ind w:firstLine="432"/>
      </w:pPr>
      <w:r>
        <w:rPr>
          <w:rFonts w:ascii="Times New Roman" w:hAnsi="Times New Roman"/>
          <w:b w:val="0"/>
          <w:i w:val="0"/>
          <w:sz w:val="22"/>
        </w:rPr>
        <w:t>Six CMIP6 models were selected for analysis on the basis of their participation in the HighResMIP protocol (Haarsma et al. 2016): CESM2-HR, CanESM5, CNRM-CM6-1, HadGEM3-GC31-HH, MPI-ESM1-2-HR, and NICAM16-9S. All model output was processed to the same 0.25° grid using conservative remapping. Best-track data were obtained from the International Best Track Archive for Climate Stewardship (IBTrACS) version 4 (Knapp et al. 2010).</w:t>
      </w:r>
    </w:p>
    <w:p>
      <w:pPr>
        <w:spacing w:line="240" w:lineRule="auto"/>
        <w:ind w:firstLine="432"/>
      </w:pPr>
      <w:r>
        <w:rPr>
          <w:rFonts w:ascii="Times New Roman" w:hAnsi="Times New Roman"/>
          <w:b w:val="0"/>
          <w:i w:val="0"/>
          <w:sz w:val="22"/>
        </w:rPr>
        <w:t>TC tracks were identified in each model using the TRACK algorithm (Hodges 1995), applied to 850-hPa relative vorticity fields. Only storms exceeding tropical storm intensity (17 m s⁻¹) for at least 48 consecutive hours were retained. The perturbed physics ensemble was constructed by varying two key convective parameters—the trigger threshold buoyancy δB and the entrainment rate ε—across their plausible ranges, yielding 24 model variants per GCM.</w:t>
      </w:r>
    </w:p>
    <w:p/>
    <w:p>
      <w:pPr>
        <w:spacing w:line="240" w:lineRule="auto"/>
      </w:pPr>
      <w:r>
        <w:rPr>
          <w:rFonts w:ascii="Times New Roman" w:hAnsi="Times New Roman"/>
          <w:b/>
          <w:i w:val="0"/>
          <w:sz w:val="22"/>
        </w:rPr>
        <w:t>3. RESULTS</w:t>
      </w:r>
    </w:p>
    <w:p>
      <w:pPr>
        <w:spacing w:line="240" w:lineRule="auto"/>
        <w:ind w:firstLine="432"/>
      </w:pPr>
      <w:r>
        <w:rPr>
          <w:rFonts w:ascii="Times New Roman" w:hAnsi="Times New Roman"/>
          <w:b w:val="0"/>
          <w:i w:val="0"/>
          <w:sz w:val="22"/>
        </w:rPr>
        <w:t>Fig. 1 shows the distribution of maximum potential intensity (MPI) bias across all models and basins. The multi-model mean exhibits a 5.2-knot low bias relative to IBTrACS observations, with substantial spread across models (σ = 8.7 knots). Bias is largest in the western North Pacific, consistent with prior assessments of GCM performance in that basin (Walsh et al. 2016).</w:t>
      </w:r>
    </w:p>
    <w:p>
      <w:pPr>
        <w:spacing w:line="240" w:lineRule="auto"/>
        <w:ind w:firstLine="432"/>
      </w:pPr>
      <w:r>
        <w:rPr>
          <w:rFonts w:ascii="Times New Roman" w:hAnsi="Times New Roman"/>
          <w:b w:val="0"/>
          <w:i w:val="0"/>
          <w:sz w:val="22"/>
        </w:rPr>
        <w:t>The attribution analysis identifies convective parameterization as the dominant source of inter-model spread in MPI, accounting for 44% of total variance averaged across basins (range: 31–58%). The entrainment rate parameter contributes more to variance (28%) than the trigger threshold (16%), suggesting that the representation of deep convective organization—which is sensitive to entrainment—is more critical than the initiation criterion for TC intensity simulation.</w:t>
      </w:r>
    </w:p>
    <w:p/>
    <w:p>
      <w:pPr>
        <w:spacing w:line="240" w:lineRule="auto"/>
      </w:pPr>
      <w:r>
        <w:rPr>
          <w:rFonts w:ascii="Times New Roman" w:hAnsi="Times New Roman"/>
          <w:b/>
          <w:i w:val="0"/>
          <w:sz w:val="22"/>
        </w:rPr>
        <w:t>REFERENCES</w:t>
      </w:r>
    </w:p>
    <w:p>
      <w:pPr>
        <w:spacing w:line="240" w:lineRule="auto"/>
        <w:ind w:left="576" w:hanging="576"/>
      </w:pPr>
      <w:r>
        <w:rPr>
          <w:rFonts w:ascii="Times New Roman" w:hAnsi="Times New Roman"/>
          <w:b w:val="0"/>
          <w:i w:val="0"/>
          <w:sz w:val="20"/>
        </w:rPr>
        <w:t>Braun, S. A., and W.-K. Tao, 2000: Sensitivity of high-resolution simulations of Hurricane Bob (1991) to planetary boundary layer parameterizations. Mon. Wea. Rev., 128, 3941–3961.</w:t>
      </w:r>
    </w:p>
    <w:p>
      <w:pPr>
        <w:spacing w:line="240" w:lineRule="auto"/>
        <w:ind w:left="576" w:hanging="576"/>
      </w:pPr>
      <w:r>
        <w:rPr>
          <w:rFonts w:ascii="Times New Roman" w:hAnsi="Times New Roman"/>
          <w:b w:val="0"/>
          <w:i w:val="0"/>
          <w:sz w:val="20"/>
        </w:rPr>
        <w:t>DeMaria, M., C. R. Sampson, J. A. Knaff, and K. D. Musgrave, 2014: Is tropical cyclone intensity guidance improving? Bull. Amer. Meteor. Soc., 95, 387–398.</w:t>
      </w:r>
    </w:p>
    <w:p>
      <w:pPr>
        <w:spacing w:line="240" w:lineRule="auto"/>
        <w:ind w:left="576" w:hanging="576"/>
      </w:pPr>
      <w:r>
        <w:rPr>
          <w:rFonts w:ascii="Times New Roman" w:hAnsi="Times New Roman"/>
          <w:b w:val="0"/>
          <w:i w:val="0"/>
          <w:sz w:val="20"/>
        </w:rPr>
        <w:t>Haarsma, R. J., and Coauthors, 2016: High Resolution Model Intercomparison Project (HighResMIP v1.0) for CMIP6. Geosci. Model Dev., 9, 4185–4208.</w:t>
      </w:r>
    </w:p>
    <w:p>
      <w:pPr>
        <w:spacing w:line="240" w:lineRule="auto"/>
        <w:ind w:left="576" w:hanging="576"/>
      </w:pPr>
      <w:r>
        <w:rPr>
          <w:rFonts w:ascii="Times New Roman" w:hAnsi="Times New Roman"/>
          <w:b w:val="0"/>
          <w:i w:val="0"/>
          <w:sz w:val="20"/>
        </w:rPr>
        <w:t>Hodges, K. I., 1995: Feature tracking on the unit sphere. Mon. Wea. Rev., 123, 3458–3465.</w:t>
      </w:r>
    </w:p>
    <w:p>
      <w:pPr>
        <w:spacing w:line="240" w:lineRule="auto"/>
        <w:ind w:left="576" w:hanging="576"/>
      </w:pPr>
      <w:r>
        <w:rPr>
          <w:rFonts w:ascii="Times New Roman" w:hAnsi="Times New Roman"/>
          <w:b w:val="0"/>
          <w:i w:val="0"/>
          <w:sz w:val="20"/>
        </w:rPr>
        <w:t>Knapp, K. R., M. C. Kruk, D. H. Levinson, H. J. Diamond, and C. J. Neumann, 2010: The International Best Track Archive for Climate Stewardship (IBTrACS). Bull. Amer. Meteor. Soc., 91, 363–376.</w:t>
      </w:r>
    </w:p>
    <w:p>
      <w:pPr>
        <w:spacing w:line="240" w:lineRule="auto"/>
        <w:ind w:left="576" w:hanging="576"/>
      </w:pPr>
      <w:r>
        <w:rPr>
          <w:rFonts w:ascii="Times New Roman" w:hAnsi="Times New Roman"/>
          <w:b w:val="0"/>
          <w:i w:val="0"/>
          <w:sz w:val="20"/>
        </w:rPr>
        <w:t>Rappaport, E. N., and Coauthors, 2009: Advances and challenges at the National Hurricane Center. Wea. Forecasting, 24, 395–419.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