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480" w:lineRule="auto"/>
      </w:pPr>
      <w:r>
        <w:rPr>
          <w:rFonts w:ascii="Times New Roman" w:hAnsi="Times New Roman"/>
          <w:b w:val="0"/>
          <w:i w:val="0"/>
          <w:sz w:val="24"/>
        </w:rPr>
        <w:t>Neighborhood Disadvantage and Health Disparities: The Mediating Role of Social Capital</w:t>
      </w:r>
    </w:p>
    <w:p/>
    <w:p>
      <w:pPr>
        <w:jc w:val="center"/>
        <w:spacing w:line="480" w:lineRule="auto"/>
      </w:pPr>
      <w:r>
        <w:rPr>
          <w:rFonts w:ascii="Times New Roman" w:hAnsi="Times New Roman"/>
          <w:b w:val="0"/>
          <w:i w:val="0"/>
          <w:sz w:val="24"/>
        </w:rPr>
        <w:t>Maria A. Fernandez</w:t>
      </w:r>
    </w:p>
    <w:p>
      <w:pPr>
        <w:jc w:val="center"/>
        <w:spacing w:line="480" w:lineRule="auto"/>
      </w:pPr>
      <w:r>
        <w:rPr>
          <w:rFonts w:ascii="Times New Roman" w:hAnsi="Times New Roman"/>
          <w:b w:val="0"/>
          <w:i w:val="0"/>
          <w:sz w:val="24"/>
        </w:rPr>
        <w:t>Department of Sociology, University of Chicago</w:t>
      </w:r>
    </w:p>
    <w:p/>
    <w:p>
      <w:pPr>
        <w:jc w:val="center"/>
        <w:spacing w:line="480" w:lineRule="auto"/>
      </w:pPr>
      <w:r>
        <w:rPr>
          <w:rFonts w:ascii="Times New Roman" w:hAnsi="Times New Roman"/>
          <w:b w:val="0"/>
          <w:i w:val="0"/>
          <w:sz w:val="24"/>
        </w:rPr>
        <w:t>NEIGHBORHOOD DISADVANTAGE AND HEALTH DISPARITIES: THE MEDIATING ROLE OF SOCIAL CAPITAL</w:t>
      </w:r>
    </w:p>
    <w:p>
      <w:pPr>
        <w:spacing w:line="480" w:lineRule="auto"/>
      </w:pPr>
      <w:r>
        <w:rPr>
          <w:rFonts w:ascii="Times New Roman" w:hAnsi="Times New Roman"/>
          <w:b w:val="0"/>
          <w:i w:val="0"/>
          <w:sz w:val="24"/>
        </w:rPr>
        <w:t>This paper examines the mechanisms through which concentrated neighborhood disadvantage translates into population health disparities, with particular attention to social capital as a potential mediator. Drawing on longitudinal data from the Project on Human Development in Chicago Neighborhoods (PHDCN) and applying multilevel structural equation modeling, we find that bonding social capital partially mediates the association between poverty concentration and self-rated health (indirect effect β = −0.14, 95% CI [−0.21, −0.08]), while bridging social capital shows no significant mediating role. These findings contribute to ongoing debates about the mechanisms linking place to health and have implications for neighborhood-level health interventions.</w:t>
      </w:r>
    </w:p>
    <w:p>
      <w:pPr>
        <w:spacing w:line="480" w:lineRule="auto"/>
      </w:pPr>
      <w:r>
        <w:rPr>
          <w:rFonts w:ascii="Times New Roman" w:hAnsi="Times New Roman"/>
          <w:b w:val="0"/>
          <w:i w:val="0"/>
          <w:sz w:val="24"/>
        </w:rPr>
        <w:t>INTRODUCTION</w:t>
      </w:r>
    </w:p>
    <w:p>
      <w:pPr>
        <w:spacing w:line="480" w:lineRule="auto"/>
        <w:ind w:firstLine="720"/>
      </w:pPr>
      <w:r>
        <w:rPr>
          <w:rFonts w:ascii="Times New Roman" w:hAnsi="Times New Roman"/>
          <w:b w:val="0"/>
          <w:i w:val="0"/>
          <w:sz w:val="24"/>
        </w:rPr>
        <w:t>Place matters for health. Decades of epidemiological and sociological research have established that living in areas of concentrated poverty is associated with elevated morbidity, premature mortality, and poorer subjective health assessments, even after controlling for individual-level socioeconomic characteristics (Diez Roux and Mair 2010; Robert and House 1996). Yet the mechanisms through which neighborhood disadvantage 'gets under the skin' remain incompletely specified.</w:t>
      </w:r>
    </w:p>
    <w:p>
      <w:pPr>
        <w:spacing w:line="480" w:lineRule="auto"/>
        <w:ind w:firstLine="720"/>
      </w:pPr>
      <w:r>
        <w:rPr>
          <w:rFonts w:ascii="Times New Roman" w:hAnsi="Times New Roman"/>
          <w:b w:val="0"/>
          <w:i w:val="0"/>
          <w:sz w:val="24"/>
        </w:rPr>
        <w:t>Social capital—understood as the resources that flow through social networks and the norms of reciprocity and trust that facilitate collective action—has been proposed as a key mediating mechanism. Putnam's (2000) influential distinction between bonding social capital (ties within homogeneous groups) and bridging social capital (ties across heterogeneous groups) suggests that the type of social capital available in a neighborhood, not merely its quantity, may be consequential for health outcomes.</w:t>
      </w:r>
    </w:p>
    <w:p>
      <w:pPr>
        <w:spacing w:line="480" w:lineRule="auto"/>
      </w:pPr>
      <w:r>
        <w:rPr>
          <w:rFonts w:ascii="Times New Roman" w:hAnsi="Times New Roman"/>
          <w:b w:val="0"/>
          <w:i w:val="0"/>
          <w:sz w:val="24"/>
        </w:rPr>
        <w:t>DATA AND METHODS</w:t>
      </w:r>
    </w:p>
    <w:p>
      <w:pPr>
        <w:spacing w:line="480" w:lineRule="auto"/>
        <w:ind w:firstLine="720"/>
      </w:pPr>
      <w:r>
        <w:rPr>
          <w:rFonts w:ascii="Times New Roman" w:hAnsi="Times New Roman"/>
          <w:b w:val="0"/>
          <w:i w:val="0"/>
          <w:sz w:val="24"/>
        </w:rPr>
        <w:t>Data come from the Project on Human Development in Chicago Neighborhoods, a longitudinal cohort study that followed 6,228 individuals across 80 randomly selected Chicago neighborhoods at three waves (1994–1997, 2000–2002, and 2001–2003). Neighborhood-level poverty concentration was measured as the proportion of households below the federal poverty line, derived from census tract data.</w:t>
      </w:r>
    </w:p>
    <w:p>
      <w:pPr>
        <w:spacing w:line="480" w:lineRule="auto"/>
        <w:ind w:firstLine="720"/>
      </w:pPr>
      <w:r>
        <w:rPr>
          <w:rFonts w:ascii="Times New Roman" w:hAnsi="Times New Roman"/>
          <w:b w:val="0"/>
          <w:i w:val="0"/>
          <w:sz w:val="24"/>
        </w:rPr>
        <w:t>Social capital was operationalized using three validated scales from the PHDCN community survey: reciprocal exchange (five items assessing mutual aid among neighbors), collective efficacy (five items assessing willingness to intervene in neighborhood problems), and organizational participation (count of memberships in voluntary associations). Self-rated health was assessed with a standard five-point item (1 = excellent, 5 = poor).</w:t>
      </w:r>
    </w:p>
    <w:p>
      <w:pPr>
        <w:spacing w:line="480" w:lineRule="auto"/>
        <w:ind w:firstLine="720"/>
      </w:pPr>
      <w:r>
        <w:rPr>
          <w:rFonts w:ascii="Times New Roman" w:hAnsi="Times New Roman"/>
          <w:b w:val="0"/>
          <w:i w:val="0"/>
          <w:sz w:val="24"/>
        </w:rPr>
        <w:t>We estimated a multilevel structural equation model with individuals nested in neighborhoods. All models included individual-level controls for age, sex, race/ethnicity, educational attainment, household income, and employment status, as well as neighborhood-level controls for residential stability and racial composition.</w:t>
      </w:r>
    </w:p>
    <w:p>
      <w:pPr>
        <w:spacing w:line="480" w:lineRule="auto"/>
      </w:pPr>
      <w:r>
        <w:rPr>
          <w:rFonts w:ascii="Times New Roman" w:hAnsi="Times New Roman"/>
          <w:b w:val="0"/>
          <w:i w:val="0"/>
          <w:sz w:val="24"/>
        </w:rPr>
        <w:t>DISCUSSION AND CONCLUSIONS</w:t>
      </w:r>
    </w:p>
    <w:p>
      <w:pPr>
        <w:spacing w:line="480" w:lineRule="auto"/>
        <w:ind w:firstLine="720"/>
      </w:pPr>
      <w:r>
        <w:rPr>
          <w:rFonts w:ascii="Times New Roman" w:hAnsi="Times New Roman"/>
          <w:b w:val="0"/>
          <w:i w:val="0"/>
          <w:sz w:val="24"/>
        </w:rPr>
        <w:t>The present study contributes to a growing literature on social capital as a mediating mechanism in the neighborhood effects on health pathway. Our finding that bonding social capital partially mediates the poverty-health association is consistent with resource mobilization theories that emphasize the importance of tight-knit community networks for health-supporting behaviors such as childcare sharing, emotional support, and information about healthcare access (Lin 2001).</w:t>
      </w:r>
    </w:p>
    <w:p>
      <w:pPr>
        <w:spacing w:line="480" w:lineRule="auto"/>
        <w:ind w:firstLine="720"/>
      </w:pPr>
      <w:r>
        <w:rPr>
          <w:rFonts w:ascii="Times New Roman" w:hAnsi="Times New Roman"/>
          <w:b w:val="0"/>
          <w:i w:val="0"/>
          <w:sz w:val="24"/>
        </w:rPr>
        <w:t>The null finding for bridging social capital is perhaps more theoretically interesting. While bridging ties in principle provide access to resources beyond the immediate community, in contexts of extreme poverty such ties may be scarce, unreliable, or insufficient to overcome structural barriers to health. Future research should examine whether bridging social capital operates differently in moderately versus severely disadvantaged neighborhoods.</w:t>
      </w:r>
    </w:p>
    <w:p>
      <w:pPr>
        <w:spacing w:line="480" w:lineRule="auto"/>
      </w:pPr>
      <w:r>
        <w:rPr>
          <w:rFonts w:ascii="Times New Roman" w:hAnsi="Times New Roman"/>
          <w:b w:val="0"/>
          <w:i w:val="0"/>
          <w:sz w:val="24"/>
        </w:rPr>
        <w:t>REFERENCES</w:t>
      </w:r>
    </w:p>
    <w:p>
      <w:pPr>
        <w:spacing w:line="480" w:lineRule="auto"/>
        <w:ind w:left="720" w:hanging="720"/>
      </w:pPr>
      <w:r>
        <w:rPr>
          <w:rFonts w:ascii="Times New Roman" w:hAnsi="Times New Roman"/>
          <w:b w:val="0"/>
          <w:i w:val="0"/>
          <w:sz w:val="24"/>
        </w:rPr>
        <w:t>Diez Roux, Ana V., and Christina Mair. 2010. "Neighborhoods and Health." Annals of the New York Academy of Sciences 1186(1):125–45.</w:t>
      </w:r>
    </w:p>
    <w:p>
      <w:pPr>
        <w:spacing w:line="480" w:lineRule="auto"/>
        <w:ind w:left="720" w:hanging="720"/>
      </w:pPr>
      <w:r>
        <w:rPr>
          <w:rFonts w:ascii="Times New Roman" w:hAnsi="Times New Roman"/>
          <w:b w:val="0"/>
          <w:i w:val="0"/>
          <w:sz w:val="24"/>
        </w:rPr>
        <w:t>Lin, Nan. 2001. Social Capital: A Theory of Social Structure and Action. Cambridge, UK: Cambridge University Press.</w:t>
      </w:r>
    </w:p>
    <w:p>
      <w:pPr>
        <w:spacing w:line="480" w:lineRule="auto"/>
        <w:ind w:left="720" w:hanging="720"/>
      </w:pPr>
      <w:r>
        <w:rPr>
          <w:rFonts w:ascii="Times New Roman" w:hAnsi="Times New Roman"/>
          <w:b w:val="0"/>
          <w:i w:val="0"/>
          <w:sz w:val="24"/>
        </w:rPr>
        <w:t>Putnam, Robert D. 2000. Bowling Alone: The Collapse and Revival of American Community. New York: Simon &amp; Schuster.</w:t>
      </w:r>
    </w:p>
    <w:p>
      <w:pPr>
        <w:spacing w:line="480" w:lineRule="auto"/>
        <w:ind w:left="720" w:hanging="720"/>
      </w:pPr>
      <w:r>
        <w:rPr>
          <w:rFonts w:ascii="Times New Roman" w:hAnsi="Times New Roman"/>
          <w:b w:val="0"/>
          <w:i w:val="0"/>
          <w:sz w:val="24"/>
        </w:rPr>
        <w:t>Robert, Stephanie A., and James S. House. 1996. "SES Differentials in Health by Age and Alternative Indicators of SES." Journal of Aging and Health 8(3):359–88.</w:t>
      </w:r>
    </w:p>
    <w:p>
      <w:pPr>
        <w:spacing w:line="480" w:lineRule="auto"/>
        <w:ind w:left="720" w:hanging="720"/>
      </w:pPr>
      <w:r>
        <w:rPr>
          <w:rFonts w:ascii="Times New Roman" w:hAnsi="Times New Roman"/>
          <w:b w:val="0"/>
          <w:i w:val="0"/>
          <w:sz w:val="24"/>
        </w:rPr>
        <w:t>Sampson, Robert J., Stephen W. Raudenbush, and Felton Earls. 1997. "Neighborhoods and Violent Crime: A Multilevel Study of Collective Efficacy." Science 277(5328):918–24.</w:t>
      </w:r>
    </w:p>
    <w:sectPr w:rsidR="00FC693F" w:rsidRPr="0006063C" w:rsidSect="00034616">
      <w:pgSz w:w="12240" w:h="15840"/>
      <w:pgMar w:top="1800" w:right="1800" w:bottom="18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