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480" w:lineRule="auto"/>
      </w:pPr>
      <w:r>
        <w:rPr>
          <w:rFonts w:ascii="Times New Roman" w:hAnsi="Times New Roman"/>
          <w:b w:val="0"/>
          <w:i w:val="0"/>
          <w:sz w:val="24"/>
        </w:rPr>
        <w:t>Credentialing and Occupational Closure: How Licensing Requirements</w:t>
        <w:br/>
        <w:t>Shape the Racial Composition of Skilled Trades</w:t>
      </w:r>
    </w:p>
    <w:p/>
    <w:p>
      <w:pPr>
        <w:jc w:val="center"/>
        <w:spacing w:line="480" w:lineRule="auto"/>
      </w:pPr>
      <w:r>
        <w:rPr>
          <w:rFonts w:ascii="Times New Roman" w:hAnsi="Times New Roman"/>
          <w:b w:val="0"/>
          <w:i w:val="0"/>
          <w:sz w:val="24"/>
        </w:rPr>
        <w:t>James O. Whitfield</w:t>
      </w:r>
    </w:p>
    <w:p>
      <w:pPr>
        <w:jc w:val="center"/>
        <w:spacing w:line="480" w:lineRule="auto"/>
      </w:pPr>
      <w:r>
        <w:rPr>
          <w:rFonts w:ascii="Times New Roman" w:hAnsi="Times New Roman"/>
          <w:b w:val="0"/>
          <w:i w:val="0"/>
          <w:sz w:val="24"/>
        </w:rPr>
        <w:t>Department of Sociology, Duke University</w:t>
      </w:r>
    </w:p>
    <w:p/>
    <w:p>
      <w:pPr>
        <w:jc w:val="center"/>
        <w:spacing w:line="480" w:lineRule="auto"/>
      </w:pPr>
      <w:r>
        <w:rPr>
          <w:rFonts w:ascii="Times New Roman" w:hAnsi="Times New Roman"/>
          <w:b w:val="0"/>
          <w:i w:val="0"/>
          <w:sz w:val="24"/>
        </w:rPr>
        <w:t>CREDENTIALING AND OCCUPATIONAL CLOSURE: HOW LICENSING REQUIREMENTS</w:t>
        <w:br/>
        <w:t>SHAPE THE RACIAL COMPOSITION OF SKILLED TRADES</w:t>
      </w:r>
    </w:p>
    <w:p>
      <w:pPr>
        <w:spacing w:line="480" w:lineRule="auto"/>
      </w:pPr>
      <w:r>
        <w:rPr>
          <w:rFonts w:ascii="Times New Roman" w:hAnsi="Times New Roman"/>
          <w:b w:val="0"/>
          <w:i w:val="0"/>
          <w:sz w:val="24"/>
        </w:rPr>
        <w:t>Occupational licensing has expanded substantially in the United States over the past four decades, now covering approximately 25% of all workers. Drawing on theories of social closure and credentialism, this paper examines whether licensing requirements function as racially exclusionary mechanisms in skilled trades. Using a difference-in-differences design with the Current Population Survey (2000–2022) and exploiting variation in state licensing stringency across 18 trades, I find that a one-standard-deviation increase in licensing stringency is associated with a 2.8 percentage point reduction in the Black share of a trade's workforce, net of demand-side controls. These effects are concentrated in trades where licensing bodies have greater discretionary authority over applicant screening.</w:t>
      </w:r>
    </w:p>
    <w:p>
      <w:pPr>
        <w:spacing w:line="480" w:lineRule="auto"/>
      </w:pPr>
      <w:r>
        <w:rPr>
          <w:rFonts w:ascii="Times New Roman" w:hAnsi="Times New Roman"/>
          <w:b w:val="0"/>
          <w:i w:val="0"/>
          <w:sz w:val="24"/>
        </w:rPr>
        <w:t>INTRODUCTION</w:t>
      </w:r>
    </w:p>
    <w:p>
      <w:pPr>
        <w:spacing w:line="480" w:lineRule="auto"/>
        <w:ind w:firstLine="720"/>
      </w:pPr>
      <w:r>
        <w:rPr>
          <w:rFonts w:ascii="Times New Roman" w:hAnsi="Times New Roman"/>
          <w:b w:val="0"/>
          <w:i w:val="0"/>
          <w:sz w:val="24"/>
        </w:rPr>
        <w:t>Occupational licensing regimes determine who may legally practice a given trade or profession, ostensibly to protect consumers from incompetent or fraudulent practitioners. Sociologists working in the Weberian tradition have long recognized that such regimes also function as instruments of social closure—mechanisms by which occupational incumbents restrict entry to preserve their monopoly rents and social status (Murphy 1988; Weeden 2002).</w:t>
      </w:r>
    </w:p>
    <w:p>
      <w:pPr>
        <w:spacing w:line="480" w:lineRule="auto"/>
        <w:ind w:firstLine="720"/>
      </w:pPr>
      <w:r>
        <w:rPr>
          <w:rFonts w:ascii="Times New Roman" w:hAnsi="Times New Roman"/>
          <w:b w:val="0"/>
          <w:i w:val="0"/>
          <w:sz w:val="24"/>
        </w:rPr>
        <w:t>The racial dimensions of occupational closure have received less systematic attention than gender-based exclusion, despite compelling historical evidence that craft unions and licensing boards actively barred Black workers from skilled occupations well into the civil rights era (Hill 1985; Sugrue 1996). The question of whether contemporary licensing requirements perpetuate racial stratification in the labor market—through more subtle, facially neutral mechanisms—is theoretically important and empirically unresolved.</w:t>
      </w:r>
    </w:p>
    <w:p>
      <w:pPr>
        <w:spacing w:line="480" w:lineRule="auto"/>
      </w:pPr>
      <w:r>
        <w:rPr>
          <w:rFonts w:ascii="Times New Roman" w:hAnsi="Times New Roman"/>
          <w:b w:val="0"/>
          <w:i w:val="0"/>
          <w:sz w:val="24"/>
        </w:rPr>
        <w:t>THEORETICAL FRAMEWORK</w:t>
      </w:r>
    </w:p>
    <w:p>
      <w:pPr>
        <w:spacing w:line="480" w:lineRule="auto"/>
        <w:ind w:firstLine="720"/>
      </w:pPr>
      <w:r>
        <w:rPr>
          <w:rFonts w:ascii="Times New Roman" w:hAnsi="Times New Roman"/>
          <w:b w:val="0"/>
          <w:i w:val="0"/>
          <w:sz w:val="24"/>
        </w:rPr>
        <w:t>Credentialism theory (Collins 1979) holds that educational and credential requirements for occupational entry often exceed what is technically necessary for job performance, serving primarily to restrict supply and maintain occupational prestige. When credential requirements are formally neutral but differentially costly or accessible across racial groups, they constitute what sociologists term 'indirect discrimination'—barriers that produce racially disparate outcomes without explicitly invoking race.</w:t>
      </w:r>
    </w:p>
    <w:p>
      <w:pPr>
        <w:spacing w:line="480" w:lineRule="auto"/>
        <w:ind w:firstLine="720"/>
      </w:pPr>
      <w:r>
        <w:rPr>
          <w:rFonts w:ascii="Times New Roman" w:hAnsi="Times New Roman"/>
          <w:b w:val="0"/>
          <w:i w:val="0"/>
          <w:sz w:val="24"/>
        </w:rPr>
        <w:t>In the context of occupational licensing, indirect discrimination may operate through multiple pathways: (1) financial barriers, including examination fees, training program costs, and application fees that are disproportionately burdensome for low-wealth applicants; (2) network barriers, in which informal referral pathways for apprenticeship and sponsorship disadvantage those outside existing industry networks; and (3) discretionary screening, in which character and fitness assessments afford licensing boards latitude to discriminate.</w:t>
      </w:r>
    </w:p>
    <w:p>
      <w:pPr>
        <w:spacing w:line="480" w:lineRule="auto"/>
      </w:pPr>
      <w:r>
        <w:rPr>
          <w:rFonts w:ascii="Times New Roman" w:hAnsi="Times New Roman"/>
          <w:b w:val="0"/>
          <w:i w:val="0"/>
          <w:sz w:val="24"/>
        </w:rPr>
        <w:t>REFERENCES</w:t>
      </w:r>
    </w:p>
    <w:p>
      <w:pPr>
        <w:spacing w:line="480" w:lineRule="auto"/>
        <w:ind w:left="720" w:hanging="720"/>
      </w:pPr>
      <w:r>
        <w:rPr>
          <w:rFonts w:ascii="Times New Roman" w:hAnsi="Times New Roman"/>
          <w:b w:val="0"/>
          <w:i w:val="0"/>
          <w:sz w:val="24"/>
        </w:rPr>
        <w:t>Collins, Randall. 1979. The Credential Society: An Historical Sociology of Education and Stratification. New York: Academic Press.</w:t>
      </w:r>
    </w:p>
    <w:p>
      <w:pPr>
        <w:spacing w:line="480" w:lineRule="auto"/>
        <w:ind w:left="720" w:hanging="720"/>
      </w:pPr>
      <w:r>
        <w:rPr>
          <w:rFonts w:ascii="Times New Roman" w:hAnsi="Times New Roman"/>
          <w:b w:val="0"/>
          <w:i w:val="0"/>
          <w:sz w:val="24"/>
        </w:rPr>
        <w:t>Hill, Herbert. 1985. Black Labor and the American Legal System. Madison: University of Wisconsin Press.</w:t>
      </w:r>
    </w:p>
    <w:p>
      <w:pPr>
        <w:spacing w:line="480" w:lineRule="auto"/>
        <w:ind w:left="720" w:hanging="720"/>
      </w:pPr>
      <w:r>
        <w:rPr>
          <w:rFonts w:ascii="Times New Roman" w:hAnsi="Times New Roman"/>
          <w:b w:val="0"/>
          <w:i w:val="0"/>
          <w:sz w:val="24"/>
        </w:rPr>
        <w:t>Murphy, Raymond. 1988. Social Closure: The Theory of Monopolization and Exclusion. Oxford: Clarendon Press.</w:t>
      </w:r>
    </w:p>
    <w:p>
      <w:pPr>
        <w:spacing w:line="480" w:lineRule="auto"/>
        <w:ind w:left="720" w:hanging="720"/>
      </w:pPr>
      <w:r>
        <w:rPr>
          <w:rFonts w:ascii="Times New Roman" w:hAnsi="Times New Roman"/>
          <w:b w:val="0"/>
          <w:i w:val="0"/>
          <w:sz w:val="24"/>
        </w:rPr>
        <w:t>Sugrue, Thomas J. 1996. The Origins of the Urban Crisis: Race and Inequality in Postwar Detroit. Princeton, NJ: Princeton University Press.</w:t>
      </w:r>
    </w:p>
    <w:p>
      <w:pPr>
        <w:spacing w:line="480" w:lineRule="auto"/>
        <w:ind w:left="720" w:hanging="720"/>
      </w:pPr>
      <w:r>
        <w:rPr>
          <w:rFonts w:ascii="Times New Roman" w:hAnsi="Times New Roman"/>
          <w:b w:val="0"/>
          <w:i w:val="0"/>
          <w:sz w:val="24"/>
        </w:rPr>
        <w:t>Weeden, Kim A. 2002. "Why Do Some Occupations Pay More than Others? Social Closure and Earnings Inequality in the United States." American Journal of Sociology 108(1):55–101.</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