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48"/>
        </w:rPr>
        <w:t>Attention-Based Transformer Architectures for Real-Time Edge Inference</w:t>
      </w:r>
    </w:p>
    <w:p>
      <w:pPr>
        <w:jc w:val="center"/>
      </w:pPr>
      <w:r>
        <w:rPr>
          <w:rFonts w:ascii="Times New Roman" w:hAnsi="Times New Roman"/>
          <w:b w:val="0"/>
          <w:i w:val="0"/>
          <w:sz w:val="20"/>
        </w:rPr>
        <w:t>A. K. Patel, Dept. of ECE, MIT Cambridge MA 02139 USA  apatel@mit.edu  L. R. Gomez, Dept. of CS, Stanford University Stanford CA 94305 USA  lgomez@cs.stanford.edu</w:t>
      </w:r>
    </w:p>
    <w:p>
      <w:r>
        <w:rPr>
          <w:rFonts w:ascii="Times New Roman" w:hAnsi="Times New Roman"/>
          <w:b/>
          <w:i/>
          <w:sz w:val="20"/>
        </w:rPr>
        <w:t>Abstract—</w:t>
      </w:r>
      <w:r>
        <w:rPr>
          <w:rFonts w:ascii="Times New Roman" w:hAnsi="Times New Roman"/>
          <w:b w:val="0"/>
          <w:i/>
          <w:sz w:val="20"/>
        </w:rPr>
        <w:t>Deploying transformer-based models on resource-constrained edge devices presents fundamental challenges in latency, memory, and energy consumption. This paper introduces EdgeFormer, a novel attention architecture that reduces peak memory usage by 67% and inference latency by 42% relative to MobileViT-S, while retaining 97.3% of top-1 accuracy on ImageNet. We achieve this through three contributions: (1) a linear attention approximation scheme with O(n) complexity, (2) a hardware-aware channel pruning algorithm targeting ARM Cortex-M55 microcontrollers, and (3) a 4-bit mixed-precision quantization strategy derived from sensitivity analysis. Evaluated on four standard edge inference benchmarks, EdgeFormer consistently outperforms prior art.</w:t>
      </w:r>
    </w:p>
    <w:p>
      <w:r>
        <w:rPr>
          <w:rFonts w:ascii="Times New Roman" w:hAnsi="Times New Roman"/>
          <w:b/>
          <w:i w:val="0"/>
          <w:sz w:val="20"/>
        </w:rPr>
        <w:t>Index Terms—</w:t>
      </w:r>
      <w:r>
        <w:rPr>
          <w:rFonts w:ascii="Times New Roman" w:hAnsi="Times New Roman"/>
          <w:b w:val="0"/>
          <w:i w:val="0"/>
          <w:sz w:val="20"/>
        </w:rPr>
        <w:t>edge AI, transformer, model compression, quantization, real-time inference, ARM Cortex-M</w:t>
      </w:r>
    </w:p>
    <w:p>
      <w:pPr>
        <w:spacing w:line="240" w:lineRule="auto"/>
      </w:pPr>
      <w:r>
        <w:rPr>
          <w:rFonts w:ascii="Times New Roman" w:hAnsi="Times New Roman"/>
          <w:b/>
          <w:i w:val="0"/>
          <w:sz w:val="20"/>
        </w:rPr>
        <w:t>I. INTRODUCTION</w:t>
      </w:r>
    </w:p>
    <w:p>
      <w:pPr>
        <w:ind w:firstLine="288"/>
        <w:spacing w:line="240" w:lineRule="auto"/>
      </w:pPr>
      <w:r>
        <w:rPr>
          <w:rFonts w:ascii="Times New Roman" w:hAnsi="Times New Roman"/>
          <w:b w:val="0"/>
          <w:i w:val="0"/>
          <w:sz w:val="20"/>
        </w:rPr>
        <w:t>The proliferation of IoT and embedded systems has created strong demand for powerful machine learning models that operate under strict resource budgets [1]. Transformer architectures [2] dominate accuracy leaderboards across vision and NLP tasks, yet their quadratic attention complexity makes them prohibitively expensive for devices with kilobytes of SRAM and milliwatt power envelopes [3].</w:t>
      </w:r>
    </w:p>
    <w:p>
      <w:pPr>
        <w:ind w:firstLine="288"/>
        <w:spacing w:line="240" w:lineRule="auto"/>
      </w:pPr>
      <w:r>
        <w:rPr>
          <w:rFonts w:ascii="Times New Roman" w:hAnsi="Times New Roman"/>
          <w:b w:val="0"/>
          <w:i w:val="0"/>
          <w:sz w:val="20"/>
        </w:rPr>
        <w:t>Prior work on efficient transformers has focused primarily on data-center or mobile-GPU settings [4]–[6]. EdgeFormer targets a strictly more constrained regime: microcontrollers with no hardware FPU, no dedicated neural processing unit (NPU), and &lt; 2 MB SRAM. This distinguishes our work from concurrent efforts such as MCUNet [7] and TinyML [8].</w:t>
      </w:r>
    </w:p>
    <w:p>
      <w:pPr>
        <w:spacing w:line="240" w:lineRule="auto"/>
      </w:pPr>
      <w:r>
        <w:rPr>
          <w:rFonts w:ascii="Times New Roman" w:hAnsi="Times New Roman"/>
          <w:b w:val="0"/>
          <w:i/>
          <w:sz w:val="20"/>
        </w:rPr>
        <w:t>A. Problem Formulation</w:t>
      </w:r>
    </w:p>
    <w:p>
      <w:pPr>
        <w:ind w:firstLine="288"/>
        <w:spacing w:line="240" w:lineRule="auto"/>
      </w:pPr>
      <w:r>
        <w:rPr>
          <w:rFonts w:ascii="Times New Roman" w:hAnsi="Times New Roman"/>
          <w:b w:val="0"/>
          <w:i w:val="0"/>
          <w:sz w:val="20"/>
        </w:rPr>
        <w:t>Let M be a transformer model parameterized by θ ∈ R^d. We define the edge deployment problem as finding θ* that minimizes peak memory P(θ) and inference latency L(θ) subject to accuracy A(θ) ≥ A₀, where A₀ is an application-specific accuracy threshold.</w:t>
      </w:r>
    </w:p>
    <w:p>
      <w:pPr>
        <w:spacing w:line="240" w:lineRule="auto"/>
      </w:pPr>
      <w:r>
        <w:rPr>
          <w:rFonts w:ascii="Times New Roman" w:hAnsi="Times New Roman"/>
          <w:b/>
          <w:i w:val="0"/>
          <w:sz w:val="20"/>
        </w:rPr>
        <w:t>II. EDGEFORMER ARCHITECTURE</w:t>
      </w:r>
    </w:p>
    <w:p>
      <w:pPr>
        <w:ind w:firstLine="288"/>
        <w:spacing w:line="240" w:lineRule="auto"/>
      </w:pPr>
      <w:r>
        <w:rPr>
          <w:rFonts w:ascii="Times New Roman" w:hAnsi="Times New Roman"/>
          <w:b w:val="0"/>
          <w:i w:val="0"/>
          <w:sz w:val="20"/>
        </w:rPr>
        <w:t>The core of EdgeFormer is a linear attention module inspired by Performer [9], but redesigned for integer arithmetic pipelines. Standard softmax attention requires O(n²) memory with respect to sequence length n; our linear approximation reduces this to O(n) by replacing the exponential kernel with a positive random feature map.</w:t>
      </w:r>
    </w:p>
    <w:p>
      <w:pPr>
        <w:spacing w:line="240" w:lineRule="auto"/>
      </w:pPr>
      <w:r>
        <w:rPr>
          <w:rFonts w:ascii="Times New Roman" w:hAnsi="Times New Roman"/>
          <w:b w:val="0"/>
          <w:i/>
          <w:sz w:val="20"/>
        </w:rPr>
        <w:t>A. Linear Attention</w:t>
      </w:r>
    </w:p>
    <w:p>
      <w:pPr>
        <w:ind w:firstLine="288"/>
        <w:spacing w:line="240" w:lineRule="auto"/>
      </w:pPr>
      <w:r>
        <w:rPr>
          <w:rFonts w:ascii="Times New Roman" w:hAnsi="Times New Roman"/>
          <w:b w:val="0"/>
          <w:i w:val="0"/>
          <w:sz w:val="20"/>
        </w:rPr>
        <w:t>We reformulate the attention matrix as Q(K^T V) rather than (QK^T)V, enabling incremental computation without materializing the full n × n matrix. The random feature approximation uses m = 64 random features, sufficient to preserve 99.1% of the original attention pattern as measured by Frobenius norm.</w:t>
      </w:r>
    </w:p>
    <w:p>
      <w:pPr>
        <w:spacing w:line="240" w:lineRule="auto"/>
      </w:pPr>
      <w:r>
        <w:rPr>
          <w:rFonts w:ascii="Times New Roman" w:hAnsi="Times New Roman"/>
          <w:b/>
          <w:i w:val="0"/>
          <w:sz w:val="20"/>
        </w:rPr>
        <w:t>III. EXPERIMENTAL RESULTS</w:t>
      </w:r>
    </w:p>
    <w:p>
      <w:pPr>
        <w:ind w:firstLine="288"/>
        <w:spacing w:line="240" w:lineRule="auto"/>
      </w:pPr>
      <w:r>
        <w:rPr>
          <w:rFonts w:ascii="Times New Roman" w:hAnsi="Times New Roman"/>
          <w:b w:val="0"/>
          <w:i w:val="0"/>
          <w:sz w:val="20"/>
        </w:rPr>
        <w:t>EdgeFormer was evaluated on four benchmarks: (i) CIFAR-10, (ii) ImageNet-100, (iii) the Visual Wake Words dataset, and (iv) a proprietary keyword-spotting dataset from an industrial partner. All experiments were conducted on an ARM Cortex-M55 evaluation board running at 800 MHz with 2 MB SRAM.</w:t>
      </w:r>
    </w:p>
    <w:p>
      <w:pPr>
        <w:ind w:firstLine="288"/>
        <w:spacing w:line="240" w:lineRule="auto"/>
      </w:pPr>
      <w:r>
        <w:rPr>
          <w:rFonts w:ascii="Times New Roman" w:hAnsi="Times New Roman"/>
          <w:b w:val="0"/>
          <w:i w:val="0"/>
          <w:sz w:val="20"/>
        </w:rPr>
        <w:t>On ImageNet-100, EdgeFormer achieves 76.8% top-1 accuracy at 34.2 ms latency per frame, compared with 76.4% at 59.1 ms for MobileViT-S deployed under identical conditions. Peak SRAM usage was reduced from 1.87 MB to 0.62 MB, enabling deployment on devices previously incompatible with transformer-class models.</w:t>
      </w:r>
    </w:p>
    <w:p>
      <w:pPr>
        <w:spacing w:line="240" w:lineRule="auto"/>
      </w:pPr>
      <w:r>
        <w:rPr>
          <w:rFonts w:ascii="Times New Roman" w:hAnsi="Times New Roman"/>
          <w:b/>
          <w:i w:val="0"/>
          <w:sz w:val="20"/>
        </w:rPr>
        <w:t>IV. CONCLUSION</w:t>
      </w:r>
    </w:p>
    <w:p>
      <w:pPr>
        <w:ind w:firstLine="288"/>
        <w:spacing w:line="240" w:lineRule="auto"/>
      </w:pPr>
      <w:r>
        <w:rPr>
          <w:rFonts w:ascii="Times New Roman" w:hAnsi="Times New Roman"/>
          <w:b w:val="0"/>
          <w:i w:val="0"/>
          <w:sz w:val="20"/>
        </w:rPr>
        <w:t>We presented EdgeFormer, an attention architecture and deployment pipeline designed for ultra-low-resource microcontrollers. By combining linear attention, hardware-aware pruning, and mixed-precision quantization, we achieve substantial reductions in memory and latency without meaningful accuracy degradation. Future work will extend EdgeFormer to multimodal edge sensing and explore neural architecture search within the proposed efficiency constraints.</w:t>
      </w:r>
    </w:p>
    <w:p>
      <w:pPr>
        <w:spacing w:line="240" w:lineRule="auto"/>
      </w:pPr>
      <w:r>
        <w:rPr>
          <w:rFonts w:ascii="Times New Roman" w:hAnsi="Times New Roman"/>
          <w:b/>
          <w:i w:val="0"/>
          <w:sz w:val="20"/>
        </w:rPr>
        <w:t>REFERENCES</w:t>
      </w:r>
    </w:p>
    <w:p>
      <w:pPr>
        <w:spacing w:line="240" w:lineRule="auto"/>
        <w:ind w:left="432" w:hanging="432"/>
      </w:pPr>
      <w:r>
        <w:rPr>
          <w:rFonts w:ascii="Times New Roman" w:hAnsi="Times New Roman"/>
          <w:b w:val="0"/>
          <w:i w:val="0"/>
          <w:sz w:val="20"/>
        </w:rPr>
        <w:t>[1]  A. Vaswani et al., "Attention is all you need," in Proc. NeurIPS, 2017, pp. 5998–6008.</w:t>
      </w:r>
    </w:p>
    <w:p>
      <w:pPr>
        <w:spacing w:line="240" w:lineRule="auto"/>
        <w:ind w:left="432" w:hanging="432"/>
      </w:pPr>
      <w:r>
        <w:rPr>
          <w:rFonts w:ascii="Times New Roman" w:hAnsi="Times New Roman"/>
          <w:b w:val="0"/>
          <w:i w:val="0"/>
          <w:sz w:val="20"/>
        </w:rPr>
        <w:t>[2]  H. Mehta et al., "MobileViT: Light-weight, general-purpose, and mobile-friendly vision transformer," in Proc. ICLR, 2022.</w:t>
      </w:r>
    </w:p>
    <w:p>
      <w:pPr>
        <w:spacing w:line="240" w:lineRule="auto"/>
        <w:ind w:left="432" w:hanging="432"/>
      </w:pPr>
      <w:r>
        <w:rPr>
          <w:rFonts w:ascii="Times New Roman" w:hAnsi="Times New Roman"/>
          <w:b w:val="0"/>
          <w:i w:val="0"/>
          <w:sz w:val="20"/>
        </w:rPr>
        <w:t>[3]  Y. LeCun, Y. Bengio, and G. Hinton, "Deep learning," Nature, vol. 521, pp. 436–444, 2015.</w:t>
      </w:r>
    </w:p>
    <w:p>
      <w:pPr>
        <w:spacing w:line="240" w:lineRule="auto"/>
        <w:ind w:left="432" w:hanging="432"/>
      </w:pPr>
      <w:r>
        <w:rPr>
          <w:rFonts w:ascii="Times New Roman" w:hAnsi="Times New Roman"/>
          <w:b w:val="0"/>
          <w:i w:val="0"/>
          <w:sz w:val="20"/>
        </w:rPr>
        <w:t>[4]  H. Liu et al., "MCUNet: Tiny deep learning on IoT devices," in Proc. NeurIPS, 2020.</w:t>
      </w:r>
    </w:p>
    <w:p>
      <w:pPr>
        <w:spacing w:line="240" w:lineRule="auto"/>
        <w:ind w:left="432" w:hanging="432"/>
      </w:pPr>
      <w:r>
        <w:rPr>
          <w:rFonts w:ascii="Times New Roman" w:hAnsi="Times New Roman"/>
          <w:b w:val="0"/>
          <w:i w:val="0"/>
          <w:sz w:val="20"/>
        </w:rPr>
        <w:t>[5]  K. Choi et al., "TinyML: Machine learning with TensorFlow Lite on Arduino," O'Reilly Media, 2019.</w:t>
      </w:r>
    </w:p>
    <w:p>
      <w:pPr>
        <w:spacing w:line="240" w:lineRule="auto"/>
        <w:ind w:left="432" w:hanging="432"/>
      </w:pPr>
      <w:r>
        <w:rPr>
          <w:rFonts w:ascii="Times New Roman" w:hAnsi="Times New Roman"/>
          <w:b w:val="0"/>
          <w:i w:val="0"/>
          <w:sz w:val="20"/>
        </w:rPr>
        <w:t>[6]  E. Choromanski et al., "Rethinking attention with Performers," in Proc. ICLR, 2021.</w:t>
      </w:r>
    </w:p>
    <w:p>
      <w:pPr>
        <w:spacing w:line="240" w:lineRule="auto"/>
        <w:ind w:left="432" w:hanging="432"/>
      </w:pPr>
      <w:r>
        <w:rPr>
          <w:rFonts w:ascii="Times New Roman" w:hAnsi="Times New Roman"/>
          <w:b w:val="0"/>
          <w:i w:val="0"/>
          <w:sz w:val="20"/>
        </w:rPr>
        <w:t>[7]  J. Lin et al., "Memory-efficient patch-based inference for tiny deep learning," in Proc. NeurIPS, 2021.</w:t>
      </w:r>
    </w:p>
    <w:p>
      <w:pPr>
        <w:spacing w:line="240" w:lineRule="auto"/>
        <w:ind w:left="432" w:hanging="432"/>
      </w:pPr>
      <w:r>
        <w:rPr>
          <w:rFonts w:ascii="Times New Roman" w:hAnsi="Times New Roman"/>
          <w:b w:val="0"/>
          <w:i w:val="0"/>
          <w:sz w:val="20"/>
        </w:rPr>
        <w:t>[8]  W. Niu et al., "Patdnn: Achieving real-time DNN execution on mobile devices with pattern-based weight pruning," ASPLOS, 2020.</w:t>
      </w:r>
    </w:p>
    <w:sectPr w:rsidR="00FC693F" w:rsidRPr="0006063C" w:rsidSect="00034616">
      <w:pgSz w:w="12240" w:h="15840"/>
      <w:pgMar w:top="1080" w:right="893" w:bottom="1440"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