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48"/>
        </w:rPr>
        <w:t>Federated Learning Under Non-IID Heterogeneity: Convergence Analysis and Mitigation Strategies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0"/>
        </w:rPr>
        <w:t>S. A. Rahman, Dept. of CS, Carnegie Mellon University Pittsburgh PA 15213 USA  K. Nakamura, Toyota Research Institute Ann Arbor MI 48105 USA</w:t>
      </w:r>
    </w:p>
    <w:p>
      <w:r>
        <w:rPr>
          <w:rFonts w:ascii="Times New Roman" w:hAnsi="Times New Roman"/>
          <w:b/>
          <w:i/>
          <w:sz w:val="20"/>
        </w:rPr>
        <w:t>Abstract—</w:t>
      </w:r>
      <w:r>
        <w:rPr>
          <w:rFonts w:ascii="Times New Roman" w:hAnsi="Times New Roman"/>
          <w:b w:val="0"/>
          <w:i/>
          <w:sz w:val="20"/>
        </w:rPr>
        <w:t>Federated learning (FL) enables collaborative model training without centralizing raw data, yet suffers significant performance degradation when client data distributions are non-independent and non-identically distributed (non-IID). We derive a tighter convergence bound for FedAvg under arbitrary data heterogeneity parameterized by the gradient divergence Γ, and propose FedAlign, a gradient alignment technique that reduces inter-client variance by up to 58% without requiring additional communication rounds. Empirical evaluation across three benchmark FL scenarios confirms that FedAlign matches centralized training accuracy within 1.2% while preserving differential privacy guarantees with ε = 4.0.</w:t>
      </w:r>
    </w:p>
    <w:p>
      <w:r>
        <w:rPr>
          <w:rFonts w:ascii="Times New Roman" w:hAnsi="Times New Roman"/>
          <w:b/>
          <w:i w:val="0"/>
          <w:sz w:val="20"/>
        </w:rPr>
        <w:t>Index Terms—</w:t>
      </w:r>
      <w:r>
        <w:rPr>
          <w:rFonts w:ascii="Times New Roman" w:hAnsi="Times New Roman"/>
          <w:b w:val="0"/>
          <w:i w:val="0"/>
          <w:sz w:val="20"/>
        </w:rPr>
        <w:t>federated learning, non-IID, gradient divergence, privacy-preserving ML, convergence</w:t>
      </w:r>
    </w:p>
    <w:p>
      <w:pPr>
        <w:spacing w:line="240" w:lineRule="auto"/>
      </w:pPr>
      <w:r>
        <w:rPr>
          <w:rFonts w:ascii="Times New Roman" w:hAnsi="Times New Roman"/>
          <w:b/>
          <w:i w:val="0"/>
          <w:sz w:val="20"/>
        </w:rPr>
        <w:t>I. INTRODUCTION</w:t>
      </w:r>
    </w:p>
    <w:p>
      <w:pPr>
        <w:ind w:firstLine="288"/>
        <w:spacing w:line="240" w:lineRule="auto"/>
      </w:pPr>
      <w:r>
        <w:rPr>
          <w:rFonts w:ascii="Times New Roman" w:hAnsi="Times New Roman"/>
          <w:b w:val="0"/>
          <w:i w:val="0"/>
          <w:sz w:val="20"/>
        </w:rPr>
        <w:t>Federated learning [1] addresses the fundamental tension between the utility of large-scale training data and the privacy, regulatory, and bandwidth costs of centralizing it. Rather than transferring raw data, FL aggregates model updates computed on-device, providing a first-order privacy advantage over centralized training.</w:t>
      </w:r>
    </w:p>
    <w:p>
      <w:pPr>
        <w:ind w:firstLine="288"/>
        <w:spacing w:line="240" w:lineRule="auto"/>
      </w:pPr>
      <w:r>
        <w:rPr>
          <w:rFonts w:ascii="Times New Roman" w:hAnsi="Times New Roman"/>
          <w:b w:val="0"/>
          <w:i w:val="0"/>
          <w:sz w:val="20"/>
        </w:rPr>
        <w:t>The primary limitation of FL is its sensitivity to data heterogeneity. In practice, client data distributions reflect real-world usage patterns that are inherently non-IID [2]: a medical FL system might include hospitals serving demographically distinct populations; a keyboard FL system will see distinct typing distributions across age groups. Prior analysis of FedAvg [3] establishes convergence under bounded gradient divergence but does not characterize the dependence on data heterogeneity with sufficient tightness to guide practical deployment.</w:t>
      </w:r>
    </w:p>
    <w:p>
      <w:pPr>
        <w:spacing w:line="240" w:lineRule="auto"/>
      </w:pPr>
      <w:r>
        <w:rPr>
          <w:rFonts w:ascii="Times New Roman" w:hAnsi="Times New Roman"/>
          <w:b/>
          <w:i w:val="0"/>
          <w:sz w:val="20"/>
        </w:rPr>
        <w:t>II. THEORETICAL ANALYSIS</w:t>
      </w:r>
    </w:p>
    <w:p>
      <w:pPr>
        <w:ind w:firstLine="288"/>
        <w:spacing w:line="240" w:lineRule="auto"/>
      </w:pPr>
      <w:r>
        <w:rPr>
          <w:rFonts w:ascii="Times New Roman" w:hAnsi="Times New Roman"/>
          <w:b w:val="0"/>
          <w:i w:val="0"/>
          <w:sz w:val="20"/>
        </w:rPr>
        <w:t>We analyze FedAvg convergence under Assumption 1 (L-smooth, μ-strongly convex objectives) and Assumption 2 (bounded gradient variance σ² per client). The central challenge in non-IID FL is that local gradient steps push each client's model toward its local optimum, creating a drift that is amplified by the number of local update steps K.</w:t>
      </w:r>
    </w:p>
    <w:p>
      <w:pPr>
        <w:ind w:firstLine="288"/>
        <w:spacing w:line="240" w:lineRule="auto"/>
      </w:pPr>
      <w:r>
        <w:rPr>
          <w:rFonts w:ascii="Times New Roman" w:hAnsi="Times New Roman"/>
          <w:b w:val="0"/>
          <w:i w:val="0"/>
          <w:sz w:val="20"/>
        </w:rPr>
        <w:t>Theorem 1 (Convergence of FedAvg, non-IID): For T rounds with E local steps and C client participation fraction, FedAvg satisfies E[F(θ_T) - F*] ≤ O(Γ²KE/T + σ²/n) where Γ is the gradient divergence measuring data heterogeneity and n is the number of participating clients. This bound is tight for K &gt; 1 and substantially improves the constant factors of prior results [4].</w:t>
      </w:r>
    </w:p>
    <w:p>
      <w:pPr>
        <w:spacing w:line="240" w:lineRule="auto"/>
      </w:pPr>
      <w:r>
        <w:rPr>
          <w:rFonts w:ascii="Times New Roman" w:hAnsi="Times New Roman"/>
          <w:b/>
          <w:i w:val="0"/>
          <w:sz w:val="20"/>
        </w:rPr>
        <w:t>III. FEDALIGN ALGORITHM</w:t>
      </w:r>
    </w:p>
    <w:p>
      <w:pPr>
        <w:ind w:firstLine="288"/>
        <w:spacing w:line="240" w:lineRule="auto"/>
      </w:pPr>
      <w:r>
        <w:rPr>
          <w:rFonts w:ascii="Times New Roman" w:hAnsi="Times New Roman"/>
          <w:b w:val="0"/>
          <w:i w:val="0"/>
          <w:sz w:val="20"/>
        </w:rPr>
        <w:t>FedAlign modifies local client updates by projecting gradients onto a shared subspace estimated from a small public unlabeled dataset maintained at the server. Let g_i(t) denote client i's gradient at round t. FedAlign computes the aligned gradient g̃_i(t) = g_i(t) - proj_{V⊥}(g_i(t)), where V is the top-k subspace of the average gradient from the previous round.</w:t>
      </w:r>
    </w:p>
    <w:p>
      <w:pPr>
        <w:ind w:firstLine="288"/>
        <w:spacing w:line="240" w:lineRule="auto"/>
      </w:pPr>
      <w:r>
        <w:rPr>
          <w:rFonts w:ascii="Times New Roman" w:hAnsi="Times New Roman"/>
          <w:b w:val="0"/>
          <w:i w:val="0"/>
          <w:sz w:val="20"/>
        </w:rPr>
        <w:t>This projection reduces the component of local gradients that is orthogonal to the global optimization direction, effectively reducing Γ without requiring clients to share their local data distributions or gradient statistics beyond the update itself.</w:t>
      </w:r>
    </w:p>
    <w:p>
      <w:pPr>
        <w:spacing w:line="240" w:lineRule="auto"/>
      </w:pPr>
      <w:r>
        <w:rPr>
          <w:rFonts w:ascii="Times New Roman" w:hAnsi="Times New Roman"/>
          <w:b/>
          <w:i w:val="0"/>
          <w:sz w:val="20"/>
        </w:rPr>
        <w:t>REFERENCES</w:t>
      </w:r>
    </w:p>
    <w:p>
      <w:pPr>
        <w:spacing w:line="240" w:lineRule="auto"/>
        <w:ind w:left="432" w:hanging="432"/>
      </w:pPr>
      <w:r>
        <w:rPr>
          <w:rFonts w:ascii="Times New Roman" w:hAnsi="Times New Roman"/>
          <w:b w:val="0"/>
          <w:i w:val="0"/>
          <w:sz w:val="20"/>
        </w:rPr>
        <w:t>[1]  B. McMahan et al., "Communication-efficient learning of deep networks from decentralized data," AISTATS, 2017, pp. 1273–1282.</w:t>
      </w:r>
    </w:p>
    <w:p>
      <w:pPr>
        <w:spacing w:line="240" w:lineRule="auto"/>
        <w:ind w:left="432" w:hanging="432"/>
      </w:pPr>
      <w:r>
        <w:rPr>
          <w:rFonts w:ascii="Times New Roman" w:hAnsi="Times New Roman"/>
          <w:b w:val="0"/>
          <w:i w:val="0"/>
          <w:sz w:val="20"/>
        </w:rPr>
        <w:t>[2]  T. Li et al., "Federated learning: Challenges, methods, and future directions," IEEE Signal Process. Mag., vol. 37, no. 3, pp. 50–60, 2020.</w:t>
      </w:r>
    </w:p>
    <w:p>
      <w:pPr>
        <w:spacing w:line="240" w:lineRule="auto"/>
        <w:ind w:left="432" w:hanging="432"/>
      </w:pPr>
      <w:r>
        <w:rPr>
          <w:rFonts w:ascii="Times New Roman" w:hAnsi="Times New Roman"/>
          <w:b w:val="0"/>
          <w:i w:val="0"/>
          <w:sz w:val="20"/>
        </w:rPr>
        <w:t>[3]  X. Li et al., "Convergence of fedavg on non-iid data," arXiv preprint arXiv:1907.02189, 2019.</w:t>
      </w:r>
    </w:p>
    <w:p>
      <w:pPr>
        <w:spacing w:line="240" w:lineRule="auto"/>
        <w:ind w:left="432" w:hanging="432"/>
      </w:pPr>
      <w:r>
        <w:rPr>
          <w:rFonts w:ascii="Times New Roman" w:hAnsi="Times New Roman"/>
          <w:b w:val="0"/>
          <w:i w:val="0"/>
          <w:sz w:val="20"/>
        </w:rPr>
        <w:t>[4]  J. Wang et al., "SCAFFOLD: Stochastic controlled averaging for on-device federated learning," ICML, 2020.</w:t>
      </w:r>
    </w:p>
    <w:p>
      <w:pPr>
        <w:spacing w:line="240" w:lineRule="auto"/>
        <w:ind w:left="432" w:hanging="432"/>
      </w:pPr>
      <w:r>
        <w:rPr>
          <w:rFonts w:ascii="Times New Roman" w:hAnsi="Times New Roman"/>
          <w:b w:val="0"/>
          <w:i w:val="0"/>
          <w:sz w:val="20"/>
        </w:rPr>
        <w:t>[5]  P. Kairouz et al., "Advances and open problems in federated learning," Found. Trends Mach. Learn., vol. 14, no. 1–2, pp. 1–210, 2021.</w:t>
      </w:r>
    </w:p>
    <w:sectPr w:rsidR="00FC693F" w:rsidRPr="0006063C" w:rsidSect="00034616">
      <w:pgSz w:w="12240" w:h="15840"/>
      <w:pgMar w:top="1080" w:right="893" w:bottom="14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