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i w:val="0"/>
          <w:sz w:val="32"/>
        </w:rPr>
        <w:t>The Constitutionalisation of International Investment Law:</w:t>
        <w:br/>
        <w:t>Sovereign Wealth Funds and the Limits of Host-State Discretion</w:t>
      </w:r>
    </w:p>
    <w:p/>
    <w:p>
      <w:pPr>
        <w:jc w:val="center"/>
      </w:pPr>
      <w:r>
        <w:rPr>
          <w:rFonts w:ascii="Cambria" w:hAnsi="Cambria"/>
          <w:b w:val="0"/>
          <w:i w:val="0"/>
          <w:sz w:val="24"/>
        </w:rPr>
        <w:t>Eleanor J. Fitzpatrick</w:t>
      </w:r>
    </w:p>
    <w:p/>
    <w:p>
      <w:pPr>
        <w:jc w:val="center"/>
      </w:pPr>
      <w:r>
        <w:rPr>
          <w:rFonts w:ascii="Cambria" w:hAnsi="Cambria"/>
          <w:b w:val="0"/>
          <w:i/>
          <w:sz w:val="22"/>
        </w:rPr>
        <w:t>DPhil Thesis — Faculty of Law, University of Oxford</w:t>
      </w:r>
    </w:p>
    <w:p>
      <w:r>
        <w:br w:type="page"/>
      </w:r>
    </w:p>
    <w:p>
      <w:pPr>
        <w:spacing w:line="360" w:lineRule="auto"/>
      </w:pPr>
      <w:r>
        <w:rPr>
          <w:rFonts w:ascii="Cambria" w:hAnsi="Cambria"/>
          <w:b/>
          <w:i w:val="0"/>
          <w:sz w:val="28"/>
        </w:rPr>
        <w:t>Abstract</w:t>
      </w:r>
    </w:p>
    <w:p/>
    <w:p>
      <w:pPr>
        <w:spacing w:line="360" w:lineRule="auto"/>
      </w:pPr>
      <w:r>
        <w:rPr>
          <w:rFonts w:ascii="Cambria" w:hAnsi="Cambria"/>
          <w:b w:val="0"/>
          <w:i w:val="0"/>
          <w:sz w:val="24"/>
        </w:rPr>
        <w:t>This thesis examines the emerging tension between the constitutional dimensions of international investment law and the sovereign prerogatives of host states when confronted with investments by state-owned sovereign wealth funds. Drawing on treaty practice, arbitral jurisprudence, and public international law theory, it argues that the standard arbitral assumption that investment tribunals operate within a bilateral contractarian framework is constitutionally deficient, failing adequately to account for the multilateral regulatory interests that host-state measures typically serve. The thesis proposes a framework of 'constitutional deference' in investor-state dispute settlement that better reconciles protection of legitimate investment expectations with the preservation of regulatory space.</w:t>
      </w:r>
    </w:p>
    <w:p>
      <w:r>
        <w:br w:type="page"/>
      </w:r>
    </w:p>
    <w:p>
      <w:pPr>
        <w:spacing w:line="360" w:lineRule="auto"/>
      </w:pPr>
      <w:r>
        <w:rPr>
          <w:rFonts w:ascii="Cambria" w:hAnsi="Cambria"/>
          <w:b/>
          <w:i w:val="0"/>
          <w:sz w:val="28"/>
        </w:rPr>
        <w:t>Chapter 1: Investment Protection Treaties and Constitutional Norms</w:t>
      </w:r>
    </w:p>
    <w:p/>
    <w:p>
      <w:pPr>
        <w:spacing w:line="360" w:lineRule="auto"/>
      </w:pPr>
      <w:r>
        <w:rPr>
          <w:rFonts w:ascii="Cambria" w:hAnsi="Cambria"/>
          <w:b/>
          <w:i w:val="0"/>
          <w:sz w:val="24"/>
        </w:rPr>
        <w:t>1.1  The Bilateral Treaty Framework and Its Constitutional Gaps</w:t>
      </w:r>
    </w:p>
    <w:p>
      <w:pPr>
        <w:spacing w:line="360" w:lineRule="auto"/>
      </w:pPr>
      <w:r>
        <w:rPr>
          <w:rFonts w:ascii="Cambria" w:hAnsi="Cambria"/>
          <w:b w:val="0"/>
          <w:i w:val="0"/>
          <w:sz w:val="24"/>
        </w:rPr>
        <w:t>The bilateral investment treaty (BIT) framework that dominates international investment law emerged in the 1960s as a pragmatic instrument for capital-exporting states to protect their investors abroad.¹ The standard BIT confers rights directly on investors and provides access to arbitration without the interposition of the investor's home state—a procedural design that critics have characterised as conferring 'quasi-constitutional' status on investment protection norms while insulating them from democratic accountability.²</w:t>
      </w:r>
    </w:p>
    <w:p>
      <w:pPr>
        <w:spacing w:line="360" w:lineRule="auto"/>
      </w:pPr>
      <w:r>
        <w:rPr>
          <w:rFonts w:ascii="Cambria" w:hAnsi="Cambria"/>
          <w:b w:val="0"/>
          <w:i w:val="0"/>
          <w:sz w:val="24"/>
        </w:rPr>
        <w:t>The constitutional metaphor has gained particular traction in the context of measures by sovereign wealth funds (SWFs). Unlike the paradigmatic foreign private investor whose interests are purely pecuniary, SWFs pursue policy mandates established by their founding legislation—stabilisation of commodity revenues, intergenerational equity, strategic industrial policy—that may directly compete with the regulatory objectives of host states.³</w:t>
      </w:r>
    </w:p>
    <w:p>
      <w:pPr>
        <w:spacing w:line="360" w:lineRule="auto"/>
      </w:pPr>
      <w:r>
        <w:rPr>
          <w:rFonts w:ascii="Cambria" w:hAnsi="Cambria"/>
          <w:b/>
          <w:i w:val="0"/>
          <w:sz w:val="24"/>
        </w:rPr>
        <w:t>1.2  Arbitral Jurisprudence on Regulatory Expropriation</w:t>
      </w:r>
    </w:p>
    <w:p>
      <w:pPr>
        <w:spacing w:line="360" w:lineRule="auto"/>
      </w:pPr>
      <w:r>
        <w:rPr>
          <w:rFonts w:ascii="Cambria" w:hAnsi="Cambria"/>
          <w:b w:val="0"/>
          <w:i w:val="0"/>
          <w:sz w:val="24"/>
        </w:rPr>
        <w:t>Arbitral tribunals have developed a substantial body of doctrine on the line between legitimate regulation and compensable indirect expropriation. The foundational principle, endorsed in Methanex Corporation v United States,⁴ is that non-discriminatory regulatory measures enacted for a public purpose generally do not give rise to an obligation of compensation, even when they substantially diminish the value of a covered investment.</w:t>
      </w:r>
    </w:p>
    <w:p>
      <w:pPr>
        <w:spacing w:line="360" w:lineRule="auto"/>
      </w:pPr>
      <w:r>
        <w:rPr>
          <w:rFonts w:ascii="Cambria" w:hAnsi="Cambria"/>
          <w:b w:val="0"/>
          <w:i w:val="0"/>
          <w:sz w:val="24"/>
        </w:rPr>
        <w:t>However, this principle has been inconsistently applied. The tribunal in Tecmed v Mexico held that proportionality between the public benefit secured and the economic burden imposed on the investor is a necessary condition of legitimate regulation—an approach that effectively subjects host-state regulatory choices to a form of constitutional review that has no clear foundation in treaty text.⁵</w:t>
      </w:r>
    </w:p>
    <w:p/>
    <w:p>
      <w:pPr>
        <w:spacing w:line="360" w:lineRule="auto"/>
      </w:pPr>
      <w:r>
        <w:rPr>
          <w:rFonts w:ascii="Cambria" w:hAnsi="Cambria"/>
          <w:b/>
          <w:i w:val="0"/>
          <w:sz w:val="28"/>
        </w:rPr>
        <w:t>Chapter 2: Sovereign Wealth Funds as Constitutional Actors</w:t>
      </w:r>
    </w:p>
    <w:p/>
    <w:p>
      <w:pPr>
        <w:spacing w:line="360" w:lineRule="auto"/>
      </w:pPr>
      <w:r>
        <w:rPr>
          <w:rFonts w:ascii="Cambria" w:hAnsi="Cambria"/>
          <w:b/>
          <w:i w:val="0"/>
          <w:sz w:val="24"/>
        </w:rPr>
        <w:t>2.1  The Dual Nature of SWF Investment</w:t>
      </w:r>
    </w:p>
    <w:p>
      <w:pPr>
        <w:spacing w:line="360" w:lineRule="auto"/>
      </w:pPr>
      <w:r>
        <w:rPr>
          <w:rFonts w:ascii="Cambria" w:hAnsi="Cambria"/>
          <w:b w:val="0"/>
          <w:i w:val="0"/>
          <w:sz w:val="24"/>
        </w:rPr>
        <w:t>Sovereign wealth funds occupy an anomalous position in international investment law: they are simultaneously the bearers of investment protection rights and, in their capacity as instrumentalities of the state, potential objects of those rights. When State A's SWF invests in State B, the investment protection framework must accommodate both the investor's rights under the applicable BIT and the legitimate interest of State B in treating a state-owned entity differently from a private investor on grounds of national security, economic sovereignty, and policy neutrality.⁶</w:t>
      </w:r>
    </w:p>
    <w:p>
      <w:pPr>
        <w:spacing w:line="360" w:lineRule="auto"/>
      </w:pPr>
      <w:r>
        <w:rPr>
          <w:rFonts w:ascii="Cambria" w:hAnsi="Cambria"/>
          <w:b w:val="0"/>
          <w:i w:val="0"/>
          <w:sz w:val="24"/>
        </w:rPr>
        <w:t>The OECD Guidelines on Sovereign Wealth Funds,⁷ while non-binding, acknowledge this dual nature by encouraging SWFs to invest on a purely commercial basis and to disclose conflicts of interest arising from their sovereign mandates. The extent to which compliance with these guidelines insulates SWF investments from discriminatory treatment by host states remains, however, unsettled.</w:t>
      </w:r>
    </w:p>
    <w:p/>
    <w:p>
      <w:pPr>
        <w:spacing w:line="360" w:lineRule="auto"/>
      </w:pPr>
      <w:r>
        <w:rPr>
          <w:rFonts w:ascii="Cambria" w:hAnsi="Cambria"/>
          <w:b/>
          <w:i w:val="0"/>
          <w:sz w:val="28"/>
        </w:rPr>
        <w:t>Bibliography</w:t>
      </w:r>
    </w:p>
    <w:p/>
    <w:p>
      <w:pPr>
        <w:spacing w:line="360" w:lineRule="auto"/>
      </w:pPr>
      <w:r>
        <w:rPr>
          <w:rFonts w:ascii="Cambria" w:hAnsi="Cambria"/>
          <w:b/>
          <w:i w:val="0"/>
          <w:sz w:val="24"/>
        </w:rPr>
        <w:t>Cases Cited</w:t>
      </w:r>
    </w:p>
    <w:p>
      <w:pPr>
        <w:spacing w:line="360" w:lineRule="auto"/>
        <w:ind w:left="576"/>
      </w:pPr>
      <w:r>
        <w:rPr>
          <w:rFonts w:ascii="Cambria" w:hAnsi="Cambria"/>
          <w:b w:val="0"/>
          <w:i w:val="0"/>
          <w:sz w:val="22"/>
        </w:rPr>
        <w:t>Methanex Corporation v United States (2005) NAFTA/UNCITRAL, Final Award on Jurisdiction and Merits</w:t>
      </w:r>
    </w:p>
    <w:p>
      <w:pPr>
        <w:spacing w:line="360" w:lineRule="auto"/>
        <w:ind w:left="576"/>
      </w:pPr>
      <w:r>
        <w:rPr>
          <w:rFonts w:ascii="Cambria" w:hAnsi="Cambria"/>
          <w:b w:val="0"/>
          <w:i w:val="0"/>
          <w:sz w:val="22"/>
        </w:rPr>
        <w:t>Tecmed v Mexico (2004) ICSID Case No ARB(AF)/00/2, Award</w:t>
      </w:r>
    </w:p>
    <w:p>
      <w:pPr>
        <w:spacing w:line="360" w:lineRule="auto"/>
        <w:ind w:left="576"/>
      </w:pPr>
      <w:r>
        <w:rPr>
          <w:rFonts w:ascii="Cambria" w:hAnsi="Cambria"/>
          <w:b w:val="0"/>
          <w:i w:val="0"/>
          <w:sz w:val="22"/>
        </w:rPr>
        <w:t>Philip Morris Asia Limited v Commonwealth of Australia (2015) UNCITRAL, PCA Case No 2012-12, Award on Jurisdiction and Admissibility</w:t>
      </w:r>
    </w:p>
    <w:p>
      <w:pPr>
        <w:spacing w:line="360" w:lineRule="auto"/>
        <w:ind w:left="576"/>
      </w:pPr>
      <w:r>
        <w:rPr>
          <w:rFonts w:ascii="Cambria" w:hAnsi="Cambria"/>
          <w:b w:val="0"/>
          <w:i w:val="0"/>
          <w:sz w:val="22"/>
        </w:rPr>
        <w:t>Vattenfall AB v Federal Republic of Germany (2020) ICSID Case No ARB/12/12, Award</w:t>
      </w:r>
    </w:p>
    <w:p>
      <w:pPr>
        <w:spacing w:line="360" w:lineRule="auto"/>
      </w:pPr>
      <w:r>
        <w:rPr>
          <w:rFonts w:ascii="Cambria" w:hAnsi="Cambria"/>
          <w:b/>
          <w:i w:val="0"/>
          <w:sz w:val="24"/>
        </w:rPr>
        <w:t>Books and Articles</w:t>
      </w:r>
    </w:p>
    <w:p>
      <w:pPr>
        <w:spacing w:line="360" w:lineRule="auto"/>
        <w:ind w:left="576"/>
      </w:pPr>
      <w:r>
        <w:rPr>
          <w:rFonts w:ascii="Cambria" w:hAnsi="Cambria"/>
          <w:b w:val="0"/>
          <w:i w:val="0"/>
          <w:sz w:val="22"/>
        </w:rPr>
        <w:t>Sornarajah M, The International Law on Foreign Investment (4th edn, CUP 2021)</w:t>
      </w:r>
    </w:p>
    <w:p>
      <w:pPr>
        <w:spacing w:line="360" w:lineRule="auto"/>
        <w:ind w:left="576"/>
      </w:pPr>
      <w:r>
        <w:rPr>
          <w:rFonts w:ascii="Cambria" w:hAnsi="Cambria"/>
          <w:b w:val="0"/>
          <w:i w:val="0"/>
          <w:sz w:val="22"/>
        </w:rPr>
        <w:t>Schill SW, The Multilateralization of International Investment Law (CUP 2009)</w:t>
      </w:r>
    </w:p>
    <w:p>
      <w:pPr>
        <w:spacing w:line="360" w:lineRule="auto"/>
        <w:ind w:left="576"/>
      </w:pPr>
      <w:r>
        <w:rPr>
          <w:rFonts w:ascii="Cambria" w:hAnsi="Cambria"/>
          <w:b w:val="0"/>
          <w:i w:val="0"/>
          <w:sz w:val="22"/>
        </w:rPr>
        <w:t>Montt S, State Liability in Investment Treaty Arbitration: Global Constitutional and Administrative Law in the BIT Generation (Hart 2009)</w:t>
      </w:r>
    </w:p>
    <w:p>
      <w:pPr>
        <w:spacing w:line="360" w:lineRule="auto"/>
        <w:ind w:left="576"/>
      </w:pPr>
      <w:r>
        <w:rPr>
          <w:rFonts w:ascii="Cambria" w:hAnsi="Cambria"/>
          <w:b w:val="0"/>
          <w:i w:val="0"/>
          <w:sz w:val="22"/>
        </w:rPr>
        <w:t>Burke-White WW and Von Staden A, 'Investment Protection in Extraordinary Times: The Interpretation and Application of Non-Precluded Measures Provisions in Bilateral Investment Treaties' (2008) 48 Va J Intl L 307</w:t>
      </w:r>
    </w:p>
    <w:p>
      <w:pPr>
        <w:spacing w:line="360" w:lineRule="auto"/>
      </w:pPr>
      <w:r>
        <w:rPr>
          <w:rFonts w:ascii="Cambria" w:hAnsi="Cambria"/>
          <w:b/>
          <w:i w:val="0"/>
          <w:sz w:val="24"/>
        </w:rPr>
        <w:t>Other Sources</w:t>
      </w:r>
    </w:p>
    <w:p>
      <w:pPr>
        <w:spacing w:line="360" w:lineRule="auto"/>
        <w:ind w:left="576"/>
      </w:pPr>
      <w:r>
        <w:rPr>
          <w:rFonts w:ascii="Cambria" w:hAnsi="Cambria"/>
          <w:b w:val="0"/>
          <w:i w:val="0"/>
          <w:sz w:val="22"/>
        </w:rPr>
        <w:t>OECD, Guidelines for Recipient Country Investment Policies Relating to National Security (2009)</w:t>
      </w:r>
    </w:p>
    <w:p>
      <w:pPr>
        <w:spacing w:line="360" w:lineRule="auto"/>
        <w:ind w:left="576"/>
      </w:pPr>
      <w:r>
        <w:rPr>
          <w:rFonts w:ascii="Cambria" w:hAnsi="Cambria"/>
          <w:b w:val="0"/>
          <w:i w:val="0"/>
          <w:sz w:val="22"/>
        </w:rPr>
        <w:t>UNCTAD, World Investment Report 2023: Investing in Sustainable Energy for All (UN 2023)</w:t>
      </w:r>
    </w:p>
    <w:sectPr w:rsidR="00FC693F" w:rsidRPr="0006063C" w:rsidSect="00034616">
      <w:pgSz w:w="12240" w:h="15840"/>
      <w:pgMar w:top="1440" w:right="1656" w:bottom="1440" w:left="19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