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i w:val="0"/>
          <w:sz w:val="32"/>
        </w:rPr>
        <w:t>Data Sovereignty and the Extraterritorial Reach of the GDPR:</w:t>
        <w:br/>
        <w:t>A Comparative Analysis of Enforcement Mechanisms</w:t>
      </w:r>
    </w:p>
    <w:p/>
    <w:p>
      <w:pPr>
        <w:jc w:val="center"/>
      </w:pPr>
      <w:r>
        <w:rPr>
          <w:rFonts w:ascii="Cambria" w:hAnsi="Cambria"/>
          <w:b w:val="0"/>
          <w:i w:val="0"/>
          <w:sz w:val="24"/>
        </w:rPr>
        <w:t>Thomas R. Brannigan</w:t>
      </w:r>
    </w:p>
    <w:p/>
    <w:p>
      <w:pPr>
        <w:jc w:val="center"/>
      </w:pPr>
      <w:r>
        <w:rPr>
          <w:rFonts w:ascii="Cambria" w:hAnsi="Cambria"/>
          <w:b w:val="0"/>
          <w:i/>
          <w:sz w:val="22"/>
        </w:rPr>
        <w:t>DPhil Thesis — Faculty of Law, University of Oxford</w:t>
      </w:r>
    </w:p>
    <w:p>
      <w:r>
        <w:br w:type="page"/>
      </w:r>
    </w:p>
    <w:p>
      <w:pPr>
        <w:spacing w:line="360" w:lineRule="auto"/>
      </w:pPr>
      <w:r>
        <w:rPr>
          <w:rFonts w:ascii="Cambria" w:hAnsi="Cambria"/>
          <w:b/>
          <w:i w:val="0"/>
          <w:sz w:val="28"/>
        </w:rPr>
        <w:t>Abstract</w:t>
      </w:r>
    </w:p>
    <w:p/>
    <w:p>
      <w:pPr>
        <w:spacing w:line="360" w:lineRule="auto"/>
      </w:pPr>
      <w:r>
        <w:rPr>
          <w:rFonts w:ascii="Cambria" w:hAnsi="Cambria"/>
          <w:b w:val="0"/>
          <w:i w:val="0"/>
          <w:sz w:val="24"/>
        </w:rPr>
        <w:t>This thesis investigates the legal concept of data sovereignty as it emerges from the conflict between the European Union's General Data Protection Regulation and the claims of third-country governments to regulatory authority over data generated within their territories. It contends that the GDPR's extraterritorial design, while innovative in scope, produces jurisdictional incoherence when applied to cloud-computing architectures in which data flows simultaneously through multiple sovereign jurisdictions. The thesis develops a framework of 'layered data sovereignty' that distributes regulatory competence across the data lifecycle rather than assigning exclusive jurisdiction on the basis of territorial data location.</w:t>
      </w:r>
    </w:p>
    <w:p>
      <w:r>
        <w:br w:type="page"/>
      </w:r>
    </w:p>
    <w:p>
      <w:pPr>
        <w:spacing w:line="360" w:lineRule="auto"/>
      </w:pPr>
      <w:r>
        <w:rPr>
          <w:rFonts w:ascii="Cambria" w:hAnsi="Cambria"/>
          <w:b/>
          <w:i w:val="0"/>
          <w:sz w:val="28"/>
        </w:rPr>
        <w:t>Chapter 1: The GDPR's Extraterritorial Architecture</w:t>
      </w:r>
    </w:p>
    <w:p/>
    <w:p>
      <w:pPr>
        <w:spacing w:line="360" w:lineRule="auto"/>
      </w:pPr>
      <w:r>
        <w:rPr>
          <w:rFonts w:ascii="Cambria" w:hAnsi="Cambria"/>
          <w:b/>
          <w:i w:val="0"/>
          <w:sz w:val="24"/>
        </w:rPr>
        <w:t>1.1  Article 3 and the Scope of Application</w:t>
      </w:r>
    </w:p>
    <w:p>
      <w:pPr>
        <w:spacing w:line="360" w:lineRule="auto"/>
      </w:pPr>
      <w:r>
        <w:rPr>
          <w:rFonts w:ascii="Cambria" w:hAnsi="Cambria"/>
          <w:b w:val="0"/>
          <w:i w:val="0"/>
          <w:sz w:val="24"/>
        </w:rPr>
        <w:t>The General Data Protection Regulation (GDPR)¹ represents the most ambitious attempt by any jurisdiction to assert regulatory authority over personal data processing regardless of where the processing takes place. Article 3(2) extends the Regulation's reach to controllers and processors not established in the Union when they offer goods or services to EU data subjects or monitor their behaviour.</w:t>
      </w:r>
    </w:p>
    <w:p>
      <w:pPr>
        <w:spacing w:line="360" w:lineRule="auto"/>
      </w:pPr>
      <w:r>
        <w:rPr>
          <w:rFonts w:ascii="Cambria" w:hAnsi="Cambria"/>
          <w:b w:val="0"/>
          <w:i w:val="0"/>
          <w:sz w:val="24"/>
        </w:rPr>
        <w:t>The Court of Justice's judgment in Google Spain SL v Agencia Española de Protección de Datos² established a territorial nexus doctrine under the predecessor Directive that, while formally tied to establishment, in practice approximated the targeting criterion now codified in Article 3(2). The CJEU held that processing carried out in the context of the activities of an establishment in an EU Member State—however marginal the establishment's role—was sufficient to trigger the Directive's application.</w:t>
      </w:r>
    </w:p>
    <w:p/>
    <w:p>
      <w:pPr>
        <w:spacing w:line="360" w:lineRule="auto"/>
      </w:pPr>
      <w:r>
        <w:rPr>
          <w:rFonts w:ascii="Cambria" w:hAnsi="Cambria"/>
          <w:b/>
          <w:i w:val="0"/>
          <w:sz w:val="28"/>
        </w:rPr>
        <w:t>Chapter 2: Third-Country Data Transfers and Adequacy</w:t>
      </w:r>
    </w:p>
    <w:p/>
    <w:p>
      <w:pPr>
        <w:spacing w:line="360" w:lineRule="auto"/>
      </w:pPr>
      <w:r>
        <w:rPr>
          <w:rFonts w:ascii="Cambria" w:hAnsi="Cambria"/>
          <w:b/>
          <w:i w:val="0"/>
          <w:sz w:val="24"/>
        </w:rPr>
        <w:t>2.1  The Adequacy Framework under Article 45</w:t>
      </w:r>
    </w:p>
    <w:p>
      <w:pPr>
        <w:spacing w:line="360" w:lineRule="auto"/>
      </w:pPr>
      <w:r>
        <w:rPr>
          <w:rFonts w:ascii="Cambria" w:hAnsi="Cambria"/>
          <w:b w:val="0"/>
          <w:i w:val="0"/>
          <w:sz w:val="24"/>
        </w:rPr>
        <w:t>The GDPR's prohibition on transfers of personal data to third countries absent an adequacy decision,³ appropriate safeguards,⁴ or an applicable derogation⁵ operates as an instrument of regulatory export. By conditioning market access on regulatory convergence, the EU has created incentives for third countries to enact GDPR-compatible legislation—a phenomenon the literature terms the 'Brussels Effect.'⁶</w:t>
      </w:r>
    </w:p>
    <w:p>
      <w:pPr>
        <w:spacing w:line="360" w:lineRule="auto"/>
      </w:pPr>
      <w:r>
        <w:rPr>
          <w:rFonts w:ascii="Cambria" w:hAnsi="Cambria"/>
          <w:b w:val="0"/>
          <w:i w:val="0"/>
          <w:sz w:val="24"/>
        </w:rPr>
        <w:t>The adequacy framework's vulnerability was exposed by the Schrems II judgment,⁷ in which the CJEU held that US surveillance law—specifically the powers conferred by FISA section 702 and Executive Order 12333—was incompatible with the essential equivalence standard required for an adequacy determination. The decision invalidated the EU-US Privacy Shield and placed obligations on data exporters to conduct case-by-case assessments of third-country legal orders.</w:t>
      </w:r>
    </w:p>
    <w:p/>
    <w:p>
      <w:pPr>
        <w:spacing w:line="360" w:lineRule="auto"/>
      </w:pPr>
      <w:r>
        <w:rPr>
          <w:rFonts w:ascii="Cambria" w:hAnsi="Cambria"/>
          <w:b/>
          <w:i w:val="0"/>
          <w:sz w:val="28"/>
        </w:rPr>
        <w:t>Bibliography</w:t>
      </w:r>
    </w:p>
    <w:p/>
    <w:p>
      <w:pPr>
        <w:spacing w:line="360" w:lineRule="auto"/>
      </w:pPr>
      <w:r>
        <w:rPr>
          <w:rFonts w:ascii="Cambria" w:hAnsi="Cambria"/>
          <w:b/>
          <w:i w:val="0"/>
          <w:sz w:val="24"/>
        </w:rPr>
        <w:t>Cases Cited</w:t>
      </w:r>
    </w:p>
    <w:p>
      <w:pPr>
        <w:spacing w:line="360" w:lineRule="auto"/>
        <w:ind w:left="576"/>
      </w:pPr>
      <w:r>
        <w:rPr>
          <w:rFonts w:ascii="Cambria" w:hAnsi="Cambria"/>
          <w:b w:val="0"/>
          <w:i w:val="0"/>
          <w:sz w:val="22"/>
        </w:rPr>
        <w:t>Google Spain SL v Agencia Española de Protección de Datos (C-131/12) EU:C:2014:317</w:t>
      </w:r>
    </w:p>
    <w:p>
      <w:pPr>
        <w:spacing w:line="360" w:lineRule="auto"/>
        <w:ind w:left="576"/>
      </w:pPr>
      <w:r>
        <w:rPr>
          <w:rFonts w:ascii="Cambria" w:hAnsi="Cambria"/>
          <w:b w:val="0"/>
          <w:i w:val="0"/>
          <w:sz w:val="22"/>
        </w:rPr>
        <w:t>Data Protection Commissioner v Facebook Ireland Limited and Maximillian Schrems (C-311/18) EU:C:2020:559 (Schrems II)</w:t>
      </w:r>
    </w:p>
    <w:p>
      <w:pPr>
        <w:spacing w:line="360" w:lineRule="auto"/>
        <w:ind w:left="576"/>
      </w:pPr>
      <w:r>
        <w:rPr>
          <w:rFonts w:ascii="Cambria" w:hAnsi="Cambria"/>
          <w:b w:val="0"/>
          <w:i w:val="0"/>
          <w:sz w:val="22"/>
        </w:rPr>
        <w:t>La Quadrature du Net and Others v Premier ministre and Others (C-511/18, C-512/18 and C-520/18) EU:C:2020:791</w:t>
      </w:r>
    </w:p>
    <w:p>
      <w:pPr>
        <w:spacing w:line="360" w:lineRule="auto"/>
      </w:pPr>
      <w:r>
        <w:rPr>
          <w:rFonts w:ascii="Cambria" w:hAnsi="Cambria"/>
          <w:b/>
          <w:i w:val="0"/>
          <w:sz w:val="24"/>
        </w:rPr>
        <w:t>EU Legislation</w:t>
      </w:r>
    </w:p>
    <w:p>
      <w:pPr>
        <w:spacing w:line="360" w:lineRule="auto"/>
        <w:ind w:left="576"/>
      </w:pPr>
      <w:r>
        <w:rPr>
          <w:rFonts w:ascii="Cambria" w:hAnsi="Cambria"/>
          <w:b w:val="0"/>
          <w:i w:val="0"/>
          <w:sz w:val="22"/>
        </w:rPr>
        <w:t>Regulation (EU) 2016/679 of the European Parliament and of the Council of 27 April 2016 on the protection of natural persons with regard to the processing of personal data [2016] OJ L119/1 (GDPR)</w:t>
      </w:r>
    </w:p>
    <w:p>
      <w:pPr>
        <w:spacing w:line="360" w:lineRule="auto"/>
      </w:pPr>
      <w:r>
        <w:rPr>
          <w:rFonts w:ascii="Cambria" w:hAnsi="Cambria"/>
          <w:b/>
          <w:i w:val="0"/>
          <w:sz w:val="24"/>
        </w:rPr>
        <w:t>Books and Articles</w:t>
      </w:r>
    </w:p>
    <w:p>
      <w:pPr>
        <w:spacing w:line="360" w:lineRule="auto"/>
        <w:ind w:left="576"/>
      </w:pPr>
      <w:r>
        <w:rPr>
          <w:rFonts w:ascii="Cambria" w:hAnsi="Cambria"/>
          <w:b w:val="0"/>
          <w:i w:val="0"/>
          <w:sz w:val="22"/>
        </w:rPr>
        <w:t>Bradford A, The Brussels Effect: How the European Union Rules the World (OUP 2020)</w:t>
      </w:r>
    </w:p>
    <w:p>
      <w:pPr>
        <w:spacing w:line="360" w:lineRule="auto"/>
        <w:ind w:left="576"/>
      </w:pPr>
      <w:r>
        <w:rPr>
          <w:rFonts w:ascii="Cambria" w:hAnsi="Cambria"/>
          <w:b w:val="0"/>
          <w:i w:val="0"/>
          <w:sz w:val="22"/>
        </w:rPr>
        <w:t>Kuner C, Transborder Data Flows and Data Privacy Law (OUP 2013)</w:t>
      </w:r>
    </w:p>
    <w:p>
      <w:pPr>
        <w:spacing w:line="360" w:lineRule="auto"/>
        <w:ind w:left="576"/>
      </w:pPr>
      <w:r>
        <w:rPr>
          <w:rFonts w:ascii="Cambria" w:hAnsi="Cambria"/>
          <w:b w:val="0"/>
          <w:i w:val="0"/>
          <w:sz w:val="22"/>
        </w:rPr>
        <w:t>Moerel L, 'Back to Basics: When Does EU Data Protection Law Apply?' (2011) 1 IDPL 92</w:t>
      </w:r>
    </w:p>
    <w:sectPr w:rsidR="00FC693F" w:rsidRPr="0006063C" w:rsidSect="00034616">
      <w:pgSz w:w="12240" w:h="15840"/>
      <w:pgMar w:top="1440" w:right="1656" w:bottom="1440" w:left="19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