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jc w:val="center"/>
        <w:rPr>
          <w:rFonts w:ascii="Times New Roman" w:hAnsi="Times New Roman" w:eastAsia="微软雅黑" w:cs="Times New Roman"/>
          <w:b/>
          <w:bCs/>
          <w:sz w:val="36"/>
          <w:szCs w:val="36"/>
        </w:rPr>
      </w:pPr>
      <w:r>
        <w:rPr>
          <w:rFonts w:ascii="Times New Roman" w:hAnsi="Times New Roman" w:eastAsia="微软雅黑" w:cs="Times New Roman"/>
          <w:b/>
          <w:bCs/>
          <w:sz w:val="36"/>
          <w:szCs w:val="36"/>
        </w:rPr>
        <w:t>制约县城高质量发展的</w:t>
      </w:r>
      <w:r>
        <w:rPr>
          <w:rFonts w:hint="eastAsia" w:ascii="Times New Roman" w:hAnsi="Times New Roman" w:eastAsia="微软雅黑" w:cs="Times New Roman"/>
          <w:b/>
          <w:bCs/>
          <w:sz w:val="36"/>
          <w:szCs w:val="36"/>
        </w:rPr>
        <w:t>城市</w:t>
      </w:r>
      <w:r>
        <w:rPr>
          <w:rFonts w:ascii="Times New Roman" w:hAnsi="Times New Roman" w:eastAsia="微软雅黑" w:cs="Times New Roman"/>
          <w:b/>
          <w:bCs/>
          <w:sz w:val="36"/>
          <w:szCs w:val="36"/>
        </w:rPr>
        <w:t>治理新问题与</w:t>
      </w:r>
      <w:r>
        <w:rPr>
          <w:rFonts w:hint="eastAsia" w:ascii="Times New Roman" w:hAnsi="Times New Roman" w:eastAsia="微软雅黑" w:cs="Times New Roman"/>
          <w:b/>
          <w:bCs/>
          <w:sz w:val="36"/>
          <w:szCs w:val="36"/>
        </w:rPr>
        <w:t>应对</w:t>
      </w:r>
      <w:r>
        <w:rPr>
          <w:rFonts w:ascii="Times New Roman" w:hAnsi="Times New Roman" w:eastAsia="微软雅黑" w:cs="Times New Roman"/>
          <w:b/>
          <w:bCs/>
          <w:sz w:val="36"/>
          <w:szCs w:val="36"/>
        </w:rPr>
        <w:t>建议</w:t>
      </w:r>
    </w:p>
    <w:p>
      <w:pPr>
        <w:spacing w:line="640" w:lineRule="exact"/>
        <w:jc w:val="center"/>
        <w:rPr>
          <w:rFonts w:ascii="Times New Roman" w:hAnsi="Times New Roman" w:eastAsia="仿宋" w:cs="Times New Roman"/>
          <w:b/>
          <w:bCs/>
          <w:sz w:val="36"/>
          <w:szCs w:val="36"/>
        </w:rPr>
      </w:pPr>
      <w:r>
        <w:rPr>
          <w:rFonts w:hint="eastAsia" w:ascii="Times New Roman" w:hAnsi="Times New Roman" w:eastAsia="仿宋" w:cs="Times New Roman"/>
          <w:b/>
          <w:bCs/>
          <w:sz w:val="36"/>
          <w:szCs w:val="36"/>
        </w:rPr>
        <w:t xml:space="preserve">中国人民大学公共管理学院副教授 </w:t>
      </w:r>
      <w:r>
        <w:rPr>
          <w:rFonts w:ascii="Times New Roman" w:hAnsi="Times New Roman" w:eastAsia="仿宋" w:cs="Times New Roman"/>
          <w:b/>
          <w:bCs/>
          <w:sz w:val="36"/>
          <w:szCs w:val="36"/>
        </w:rPr>
        <w:t xml:space="preserve">周麟 </w:t>
      </w:r>
    </w:p>
    <w:p>
      <w:pPr>
        <w:spacing w:line="640" w:lineRule="exact"/>
        <w:jc w:val="center"/>
        <w:rPr>
          <w:rFonts w:hint="eastAsia" w:ascii="Times New Roman" w:hAnsi="Times New Roman" w:eastAsia="仿宋" w:cs="Times New Roman"/>
          <w:b/>
          <w:bCs/>
          <w:sz w:val="36"/>
          <w:szCs w:val="36"/>
        </w:rPr>
      </w:pPr>
      <w:r>
        <w:rPr>
          <w:rFonts w:hint="eastAsia" w:ascii="Times New Roman" w:hAnsi="Times New Roman" w:eastAsia="仿宋" w:cs="Times New Roman"/>
          <w:b/>
          <w:bCs/>
          <w:sz w:val="36"/>
          <w:szCs w:val="36"/>
        </w:rPr>
        <w:t>华中科技大学公共管理学院副教授 何青松</w:t>
      </w:r>
    </w:p>
    <w:p>
      <w:pPr>
        <w:spacing w:line="640" w:lineRule="exact"/>
        <w:jc w:val="center"/>
        <w:rPr>
          <w:rFonts w:hint="eastAsia" w:ascii="Times New Roman" w:hAnsi="Times New Roman" w:eastAsia="仿宋" w:cs="Times New Roman"/>
          <w:b/>
          <w:bCs/>
          <w:sz w:val="36"/>
          <w:szCs w:val="36"/>
        </w:rPr>
      </w:pPr>
      <w:r>
        <w:rPr>
          <w:rFonts w:hint="eastAsia" w:ascii="Times New Roman" w:hAnsi="Times New Roman" w:eastAsia="仿宋" w:cs="Times New Roman"/>
          <w:b/>
          <w:bCs/>
          <w:sz w:val="36"/>
          <w:szCs w:val="36"/>
        </w:rPr>
        <w:t>中共中央党校</w:t>
      </w:r>
      <w:r>
        <w:rPr>
          <w:rFonts w:hint="eastAsia" w:ascii="Times New Roman" w:hAnsi="Times New Roman" w:eastAsia="仿宋" w:cs="Times New Roman"/>
          <w:b/>
          <w:bCs/>
          <w:sz w:val="36"/>
          <w:szCs w:val="36"/>
          <w:lang w:eastAsia="zh-CN"/>
        </w:rPr>
        <w:t>（</w:t>
      </w:r>
      <w:r>
        <w:rPr>
          <w:rFonts w:hint="eastAsia" w:ascii="Times New Roman" w:hAnsi="Times New Roman" w:eastAsia="仿宋" w:cs="Times New Roman"/>
          <w:b/>
          <w:bCs/>
          <w:sz w:val="36"/>
          <w:szCs w:val="36"/>
          <w:lang w:val="en-US" w:eastAsia="zh-CN"/>
        </w:rPr>
        <w:t>国家行政学院</w:t>
      </w:r>
      <w:r>
        <w:rPr>
          <w:rFonts w:hint="eastAsia" w:ascii="Times New Roman" w:hAnsi="Times New Roman" w:eastAsia="仿宋" w:cs="Times New Roman"/>
          <w:b/>
          <w:bCs/>
          <w:sz w:val="36"/>
          <w:szCs w:val="36"/>
          <w:lang w:eastAsia="zh-CN"/>
        </w:rPr>
        <w:t>）</w:t>
      </w:r>
      <w:r>
        <w:rPr>
          <w:rFonts w:hint="eastAsia" w:ascii="Times New Roman" w:hAnsi="Times New Roman" w:eastAsia="仿宋" w:cs="Times New Roman"/>
          <w:b/>
          <w:bCs/>
          <w:sz w:val="36"/>
          <w:szCs w:val="36"/>
        </w:rPr>
        <w:t xml:space="preserve">经济学教研部讲师 </w:t>
      </w:r>
      <w:r>
        <w:rPr>
          <w:rFonts w:ascii="Times New Roman" w:hAnsi="Times New Roman" w:eastAsia="仿宋" w:cs="Times New Roman"/>
          <w:b/>
          <w:bCs/>
          <w:sz w:val="36"/>
          <w:szCs w:val="36"/>
        </w:rPr>
        <w:t>李志斌</w:t>
      </w:r>
    </w:p>
    <w:p>
      <w:pPr>
        <w:spacing w:line="640" w:lineRule="exact"/>
        <w:ind w:firstLine="720" w:firstLineChars="200"/>
        <w:jc w:val="both"/>
        <w:rPr>
          <w:rFonts w:ascii="Times New Roman" w:hAnsi="Times New Roman" w:eastAsia="仿宋" w:cs="Times New Roman"/>
          <w:sz w:val="36"/>
          <w:szCs w:val="36"/>
        </w:rPr>
      </w:pPr>
      <w:r>
        <w:rPr>
          <w:rFonts w:hint="eastAsia" w:ascii="Times New Roman" w:hAnsi="Times New Roman" w:eastAsia="仿宋" w:cs="Times New Roman"/>
          <w:sz w:val="36"/>
          <w:szCs w:val="36"/>
        </w:rPr>
        <w:t>摘要：中国人民大学公共管理学院副教授周麟</w:t>
      </w:r>
      <w:bookmarkStart w:id="2" w:name="_GoBack"/>
      <w:bookmarkEnd w:id="2"/>
      <w:r>
        <w:rPr>
          <w:rFonts w:hint="eastAsia" w:ascii="Times New Roman" w:hAnsi="Times New Roman" w:eastAsia="仿宋" w:cs="Times New Roman"/>
          <w:sz w:val="36"/>
          <w:szCs w:val="36"/>
        </w:rPr>
        <w:t>、华中科技大学公共管理学院副教授何青松</w:t>
      </w:r>
      <w:r>
        <w:rPr>
          <w:rFonts w:hint="eastAsia" w:ascii="Times New Roman" w:hAnsi="Times New Roman" w:eastAsia="仿宋" w:cs="Times New Roman"/>
          <w:sz w:val="36"/>
          <w:szCs w:val="36"/>
          <w:lang w:eastAsia="zh-CN"/>
        </w:rPr>
        <w:t>、</w:t>
      </w:r>
      <w:r>
        <w:rPr>
          <w:rFonts w:hint="eastAsia" w:ascii="Times New Roman" w:hAnsi="Times New Roman" w:eastAsia="仿宋" w:cs="Times New Roman"/>
          <w:sz w:val="36"/>
          <w:szCs w:val="36"/>
        </w:rPr>
        <w:t>中共中央党校</w:t>
      </w:r>
      <w:r>
        <w:rPr>
          <w:rFonts w:hint="eastAsia" w:ascii="Times New Roman" w:hAnsi="Times New Roman" w:eastAsia="仿宋" w:cs="Times New Roman"/>
          <w:sz w:val="36"/>
          <w:szCs w:val="36"/>
          <w:lang w:eastAsia="zh-CN"/>
        </w:rPr>
        <w:t>（</w:t>
      </w:r>
      <w:r>
        <w:rPr>
          <w:rFonts w:hint="eastAsia" w:ascii="Times New Roman" w:hAnsi="Times New Roman" w:eastAsia="仿宋" w:cs="Times New Roman"/>
          <w:sz w:val="36"/>
          <w:szCs w:val="36"/>
          <w:lang w:val="en-US" w:eastAsia="zh-CN"/>
        </w:rPr>
        <w:t>国家行政学院</w:t>
      </w:r>
      <w:r>
        <w:rPr>
          <w:rFonts w:hint="eastAsia" w:ascii="Times New Roman" w:hAnsi="Times New Roman" w:eastAsia="仿宋" w:cs="Times New Roman"/>
          <w:sz w:val="36"/>
          <w:szCs w:val="36"/>
          <w:lang w:eastAsia="zh-CN"/>
        </w:rPr>
        <w:t>）</w:t>
      </w:r>
      <w:r>
        <w:rPr>
          <w:rFonts w:hint="eastAsia" w:ascii="Times New Roman" w:hAnsi="Times New Roman" w:eastAsia="仿宋" w:cs="Times New Roman"/>
          <w:sz w:val="36"/>
          <w:szCs w:val="36"/>
        </w:rPr>
        <w:t>经济学</w:t>
      </w:r>
      <w:r>
        <w:rPr>
          <w:rFonts w:hint="eastAsia" w:ascii="Times New Roman" w:hAnsi="Times New Roman" w:eastAsia="仿宋" w:cs="Times New Roman"/>
          <w:sz w:val="36"/>
          <w:szCs w:val="36"/>
          <w:lang w:val="en-US" w:eastAsia="zh-CN"/>
        </w:rPr>
        <w:t>教研</w:t>
      </w:r>
      <w:r>
        <w:rPr>
          <w:rFonts w:hint="eastAsia" w:ascii="Times New Roman" w:hAnsi="Times New Roman" w:eastAsia="仿宋" w:cs="Times New Roman"/>
          <w:sz w:val="36"/>
          <w:szCs w:val="36"/>
        </w:rPr>
        <w:t>部讲师李志斌认为，</w:t>
      </w:r>
      <w:r>
        <w:rPr>
          <w:rFonts w:ascii="Times New Roman" w:hAnsi="Times New Roman" w:eastAsia="仿宋" w:cs="Times New Roman"/>
          <w:sz w:val="36"/>
          <w:szCs w:val="36"/>
        </w:rPr>
        <w:t>提升县城治理水平，是扎实推进以县城为重要载体的城镇化建设，推动兴业、强县、富民一体发展的基础，对促进新型城镇化建设、构建新型工农城乡关系具有重要意义。近年来，不同地区聚焦县城补短板强弱项，切实提升了县城发展水平和县城人民生活水平，但也出现了一些制约县城高质量发展的城市治理新问题，</w:t>
      </w:r>
      <w:r>
        <w:rPr>
          <w:rFonts w:hint="eastAsia" w:ascii="Times New Roman" w:hAnsi="Times New Roman" w:eastAsia="仿宋" w:cs="Times New Roman"/>
          <w:sz w:val="36"/>
          <w:szCs w:val="36"/>
        </w:rPr>
        <w:t>一是</w:t>
      </w:r>
      <w:r>
        <w:rPr>
          <w:rFonts w:ascii="Times New Roman" w:hAnsi="Times New Roman" w:eastAsia="仿宋" w:cs="Times New Roman"/>
          <w:sz w:val="36"/>
          <w:szCs w:val="36"/>
        </w:rPr>
        <w:t>内卷式招商与园区低效同质的双重负外部性冲击趋于普遍；</w:t>
      </w:r>
      <w:r>
        <w:rPr>
          <w:rFonts w:hint="eastAsia" w:ascii="Times New Roman" w:hAnsi="Times New Roman" w:eastAsia="仿宋" w:cs="Times New Roman"/>
          <w:sz w:val="36"/>
          <w:szCs w:val="36"/>
        </w:rPr>
        <w:t>二是</w:t>
      </w:r>
      <w:r>
        <w:rPr>
          <w:rFonts w:ascii="Times New Roman" w:hAnsi="Times New Roman" w:eastAsia="仿宋" w:cs="Times New Roman"/>
          <w:sz w:val="36"/>
          <w:szCs w:val="36"/>
        </w:rPr>
        <w:t>基层人才队伍不足，特别是基层青年党员缺失、流失；</w:t>
      </w:r>
      <w:r>
        <w:rPr>
          <w:rFonts w:hint="eastAsia" w:ascii="Times New Roman" w:hAnsi="Times New Roman" w:eastAsia="仿宋" w:cs="Times New Roman"/>
          <w:sz w:val="36"/>
          <w:szCs w:val="36"/>
        </w:rPr>
        <w:t>三是</w:t>
      </w:r>
      <w:r>
        <w:rPr>
          <w:rFonts w:ascii="Times New Roman" w:hAnsi="Times New Roman" w:eastAsia="仿宋" w:cs="Times New Roman"/>
          <w:sz w:val="36"/>
          <w:szCs w:val="36"/>
        </w:rPr>
        <w:t>社会经济服务水平难以匹配“小镇青年”返乡回流需求。</w:t>
      </w:r>
      <w:r>
        <w:rPr>
          <w:rFonts w:hint="eastAsia" w:ascii="Times New Roman" w:hAnsi="Times New Roman" w:eastAsia="仿宋" w:cs="Times New Roman"/>
          <w:sz w:val="36"/>
          <w:szCs w:val="36"/>
        </w:rPr>
        <w:t>为此，提出对策建议：一是</w:t>
      </w:r>
      <w:r>
        <w:rPr>
          <w:rFonts w:ascii="Times New Roman" w:hAnsi="Times New Roman" w:eastAsia="仿宋" w:cs="Times New Roman"/>
          <w:sz w:val="36"/>
          <w:szCs w:val="36"/>
        </w:rPr>
        <w:t>规范县城招商引资，杜绝内卷</w:t>
      </w:r>
      <w:r>
        <w:rPr>
          <w:rFonts w:hint="eastAsia" w:ascii="Times New Roman" w:hAnsi="Times New Roman" w:eastAsia="仿宋" w:cs="Times New Roman"/>
          <w:sz w:val="36"/>
          <w:szCs w:val="36"/>
        </w:rPr>
        <w:t>；二是切实</w:t>
      </w:r>
      <w:r>
        <w:rPr>
          <w:rFonts w:ascii="Times New Roman" w:hAnsi="Times New Roman" w:eastAsia="仿宋" w:cs="Times New Roman"/>
          <w:sz w:val="36"/>
          <w:szCs w:val="36"/>
        </w:rPr>
        <w:t>提升县城社会经济服务水平</w:t>
      </w:r>
      <w:r>
        <w:rPr>
          <w:rFonts w:hint="eastAsia" w:ascii="Times New Roman" w:hAnsi="Times New Roman" w:eastAsia="仿宋" w:cs="Times New Roman"/>
          <w:sz w:val="36"/>
          <w:szCs w:val="36"/>
        </w:rPr>
        <w:t>；三是</w:t>
      </w:r>
      <w:r>
        <w:rPr>
          <w:rFonts w:ascii="Times New Roman" w:hAnsi="Times New Roman" w:eastAsia="仿宋" w:cs="Times New Roman"/>
          <w:sz w:val="36"/>
          <w:szCs w:val="36"/>
        </w:rPr>
        <w:t>提升县城基层治理能力，强化青年党员作用</w:t>
      </w:r>
      <w:r>
        <w:rPr>
          <w:rFonts w:hint="eastAsia" w:ascii="Times New Roman" w:hAnsi="Times New Roman" w:eastAsia="仿宋" w:cs="Times New Roman"/>
          <w:sz w:val="36"/>
          <w:szCs w:val="36"/>
        </w:rPr>
        <w:t>。</w:t>
      </w:r>
    </w:p>
    <w:p>
      <w:pPr>
        <w:spacing w:line="640" w:lineRule="exact"/>
        <w:ind w:firstLine="720" w:firstLineChars="200"/>
        <w:jc w:val="both"/>
        <w:rPr>
          <w:rFonts w:ascii="Times New Roman" w:hAnsi="Times New Roman" w:eastAsia="仿宋" w:cs="Times New Roman"/>
          <w:sz w:val="36"/>
          <w:szCs w:val="36"/>
        </w:rPr>
      </w:pPr>
    </w:p>
    <w:p>
      <w:pPr>
        <w:spacing w:line="640" w:lineRule="exact"/>
        <w:ind w:firstLine="720" w:firstLineChars="200"/>
        <w:jc w:val="both"/>
        <w:rPr>
          <w:rFonts w:ascii="Times New Roman" w:hAnsi="Times New Roman" w:eastAsia="仿宋" w:cs="Times New Roman"/>
          <w:sz w:val="36"/>
          <w:szCs w:val="36"/>
        </w:rPr>
      </w:pPr>
      <w:r>
        <w:rPr>
          <w:rFonts w:ascii="Times New Roman" w:hAnsi="Times New Roman" w:eastAsia="仿宋" w:cs="Times New Roman"/>
          <w:sz w:val="36"/>
          <w:szCs w:val="36"/>
        </w:rPr>
        <w:t>提</w:t>
      </w:r>
      <w:bookmarkStart w:id="0" w:name="_Hlk198158409"/>
      <w:r>
        <w:rPr>
          <w:rFonts w:ascii="Times New Roman" w:hAnsi="Times New Roman" w:eastAsia="仿宋" w:cs="Times New Roman"/>
          <w:sz w:val="36"/>
          <w:szCs w:val="36"/>
        </w:rPr>
        <w:t>升县城治理水平，是扎实推进以县城为重要载体的城镇化建设，推动兴业、强县、富民一体发展的基础，对促进新型城镇化建设、构建新型工农城乡关系具有重要意义。</w:t>
      </w:r>
      <w:bookmarkEnd w:id="0"/>
      <w:r>
        <w:rPr>
          <w:rFonts w:ascii="Times New Roman" w:hAnsi="Times New Roman" w:eastAsia="仿宋" w:cs="Times New Roman"/>
          <w:sz w:val="36"/>
          <w:szCs w:val="36"/>
        </w:rPr>
        <w:t>近年来，不同地区聚焦县城补短板强弱项，切实提升了县城发展水平和县城人民生活水平，但也出现了一些制约县城高质量发展的城市治理新问题，建议有关部门予以重视。</w:t>
      </w:r>
    </w:p>
    <w:p>
      <w:pPr>
        <w:pStyle w:val="33"/>
        <w:numPr>
          <w:ilvl w:val="0"/>
          <w:numId w:val="1"/>
        </w:numPr>
        <w:spacing w:line="640" w:lineRule="exact"/>
        <w:jc w:val="both"/>
        <w:rPr>
          <w:rFonts w:ascii="Times New Roman" w:hAnsi="Times New Roman" w:eastAsia="仿宋" w:cs="Times New Roman"/>
          <w:b/>
          <w:bCs/>
          <w:sz w:val="36"/>
          <w:szCs w:val="36"/>
        </w:rPr>
      </w:pPr>
      <w:r>
        <w:rPr>
          <w:rFonts w:ascii="Times New Roman" w:hAnsi="Times New Roman" w:eastAsia="仿宋" w:cs="Times New Roman"/>
          <w:b/>
          <w:bCs/>
          <w:sz w:val="36"/>
          <w:szCs w:val="36"/>
        </w:rPr>
        <w:t>制约县城高质量发展的治理新问题</w:t>
      </w:r>
    </w:p>
    <w:p>
      <w:pPr>
        <w:spacing w:line="640" w:lineRule="exact"/>
        <w:ind w:firstLine="723" w:firstLineChars="200"/>
        <w:jc w:val="both"/>
        <w:rPr>
          <w:rFonts w:ascii="Times New Roman" w:hAnsi="Times New Roman" w:eastAsia="仿宋" w:cs="Times New Roman"/>
          <w:b/>
          <w:bCs/>
          <w:sz w:val="36"/>
          <w:szCs w:val="36"/>
        </w:rPr>
      </w:pPr>
      <w:r>
        <w:rPr>
          <w:rFonts w:hint="eastAsia" w:ascii="Times New Roman" w:hAnsi="Times New Roman" w:eastAsia="仿宋" w:cs="Times New Roman"/>
          <w:b/>
          <w:bCs/>
          <w:sz w:val="36"/>
          <w:szCs w:val="36"/>
        </w:rPr>
        <w:t>（一）</w:t>
      </w:r>
      <w:r>
        <w:rPr>
          <w:rFonts w:ascii="Times New Roman" w:hAnsi="Times New Roman" w:eastAsia="仿宋" w:cs="Times New Roman"/>
          <w:b/>
          <w:bCs/>
          <w:sz w:val="36"/>
          <w:szCs w:val="36"/>
        </w:rPr>
        <w:t>内卷式招商与园区低效通知的双重负外部性冲击趋于普遍</w:t>
      </w:r>
    </w:p>
    <w:p>
      <w:pPr>
        <w:spacing w:line="640" w:lineRule="exact"/>
        <w:ind w:firstLine="720" w:firstLineChars="200"/>
        <w:jc w:val="both"/>
        <w:rPr>
          <w:rFonts w:ascii="Times New Roman" w:hAnsi="Times New Roman" w:eastAsia="仿宋" w:cs="Times New Roman"/>
          <w:sz w:val="36"/>
          <w:szCs w:val="36"/>
        </w:rPr>
      </w:pPr>
      <w:r>
        <w:rPr>
          <w:rFonts w:ascii="Times New Roman" w:hAnsi="Times New Roman" w:eastAsia="仿宋" w:cs="Times New Roman"/>
          <w:sz w:val="36"/>
          <w:szCs w:val="36"/>
        </w:rPr>
        <w:t>加快形成新质生产力，做大做强战略性新兴产业已是中国经济发展与产业治理的主旋律，县城也不例外。然而，围绕新质生产力，特别是新能源、汽车制造、生物医药等产业的内卷式招商引资正在全国各地发生。根据中共中央党校李志斌课题组对100多位县委书记的访谈数据可知，虽然各个地方都有自身的产业定位，但几乎都不约而同地将新能源产业作为招商目标，超90%的被访谈县委书记表示本县将新能源列为重点产业，并且在招引企业中占得先机，出台“地方留存税收10免10减半”、“固定资产投资返还”、“代建厂房，租金减免”、“拎包入住”、“产投资金注资”、“国企担保贷款提供流动资金支持和贴现补贴”、“配套低价出让住宅和商业用地”等非理性补贴政策组合，各种形式的招商补贴已普遍达到单个项目投资金额的20%—50%。招商引资很多时候变成了抢商抢资。</w:t>
      </w:r>
    </w:p>
    <w:p>
      <w:pPr>
        <w:spacing w:line="640" w:lineRule="exact"/>
        <w:ind w:firstLine="720" w:firstLineChars="200"/>
        <w:jc w:val="both"/>
        <w:rPr>
          <w:rFonts w:ascii="Times New Roman" w:hAnsi="Times New Roman" w:cs="Times New Roman"/>
          <w:sz w:val="36"/>
          <w:szCs w:val="36"/>
        </w:rPr>
      </w:pPr>
      <w:r>
        <w:rPr>
          <w:rFonts w:ascii="Times New Roman" w:hAnsi="Times New Roman" w:eastAsia="仿宋" w:cs="Times New Roman"/>
          <w:sz w:val="36"/>
          <w:szCs w:val="36"/>
        </w:rPr>
        <w:t>同时，有些县为了实行“全部门招商”，把招商指标摊派到各个机关部门，甚至教育局、工会、老干部局也要承担任务，他们显然不具备招商的基本素质和对产业发展的判断能力，甚至连土地、能耗指标都弄不清楚。例如某位县委书记谈到：“工会、老干部局的局长每个人都背着好几百万的招商指标。” 这种内卷式招商不仅会加剧区域协同治理的难度，还会加剧本地政务负担，特别是由于招商不够精准，很多项目引进后，发展后劲不足，只能靠政府补贴度日，某位县委书记提到，“我们</w:t>
      </w:r>
      <w:r>
        <w:rPr>
          <w:rFonts w:hint="eastAsia" w:ascii="Times New Roman" w:hAnsi="Times New Roman" w:eastAsia="仿宋" w:cs="Times New Roman"/>
          <w:sz w:val="36"/>
          <w:szCs w:val="36"/>
        </w:rPr>
        <w:t>想发展生物医药产业，但</w:t>
      </w:r>
      <w:r>
        <w:rPr>
          <w:rFonts w:ascii="Times New Roman" w:hAnsi="Times New Roman" w:eastAsia="仿宋" w:cs="Times New Roman"/>
          <w:sz w:val="36"/>
          <w:szCs w:val="36"/>
        </w:rPr>
        <w:t>招到过好几家</w:t>
      </w:r>
      <w:r>
        <w:rPr>
          <w:rFonts w:hint="eastAsia" w:ascii="Times New Roman" w:hAnsi="Times New Roman" w:eastAsia="仿宋" w:cs="Times New Roman"/>
          <w:sz w:val="36"/>
          <w:szCs w:val="36"/>
        </w:rPr>
        <w:t>以新技术为噱头</w:t>
      </w:r>
      <w:r>
        <w:rPr>
          <w:rFonts w:ascii="Times New Roman" w:hAnsi="Times New Roman" w:eastAsia="仿宋" w:cs="Times New Roman"/>
          <w:sz w:val="36"/>
          <w:szCs w:val="36"/>
        </w:rPr>
        <w:t>的‘李鬼’企业，他们拿到地和补贴之后，就走了，留下一堆烂摊子</w:t>
      </w:r>
      <w:r>
        <w:rPr>
          <w:rFonts w:hint="eastAsia" w:ascii="Times New Roman" w:hAnsi="Times New Roman" w:eastAsia="仿宋" w:cs="Times New Roman"/>
          <w:sz w:val="36"/>
          <w:szCs w:val="36"/>
        </w:rPr>
        <w:t>，我们应该好好反思这种招商模式</w:t>
      </w:r>
      <w:r>
        <w:rPr>
          <w:rFonts w:ascii="Times New Roman" w:hAnsi="Times New Roman" w:eastAsia="仿宋" w:cs="Times New Roman"/>
          <w:sz w:val="36"/>
          <w:szCs w:val="36"/>
        </w:rPr>
        <w:t>”。</w:t>
      </w:r>
    </w:p>
    <w:p>
      <w:pPr>
        <w:spacing w:line="640" w:lineRule="exact"/>
        <w:ind w:firstLine="720" w:firstLineChars="200"/>
        <w:jc w:val="both"/>
        <w:rPr>
          <w:rFonts w:ascii="Times New Roman" w:hAnsi="Times New Roman" w:cs="Times New Roman"/>
          <w:sz w:val="36"/>
          <w:szCs w:val="36"/>
        </w:rPr>
      </w:pPr>
      <w:r>
        <w:rPr>
          <w:rFonts w:ascii="Times New Roman" w:hAnsi="Times New Roman" w:eastAsia="仿宋" w:cs="Times New Roman"/>
          <w:sz w:val="36"/>
          <w:szCs w:val="36"/>
        </w:rPr>
        <w:t>需要指出的是，园区同质低效与内卷式招商引资同步在发生，无疑放大了这种内卷的负面效应。一方面，根据</w:t>
      </w:r>
      <w:r>
        <w:rPr>
          <w:rFonts w:hint="eastAsia" w:ascii="Times New Roman" w:hAnsi="Times New Roman" w:eastAsia="仿宋" w:cs="Times New Roman"/>
          <w:sz w:val="36"/>
          <w:szCs w:val="36"/>
        </w:rPr>
        <w:t>本团队</w:t>
      </w:r>
      <w:r>
        <w:rPr>
          <w:rFonts w:ascii="Times New Roman" w:hAnsi="Times New Roman" w:eastAsia="仿宋" w:cs="Times New Roman"/>
          <w:sz w:val="36"/>
          <w:szCs w:val="36"/>
        </w:rPr>
        <w:t>测算，在全国的全部省级开发区（大多数位于县城）中，以高端装备制造、新一代信息技术与汽车制造为首位主导产业的省级开发区，其毗邻3个开发区中存在相同首位产业开发区的概率分别高达58.4％、45.1％、34.5％。若无良好的统筹调配机制，这种高同质化布局导向将在一定程度上导致产能过剩与协作低效，制约产业发展，加剧治理负担。一些经济状况一般的开发区在此条件下</w:t>
      </w:r>
      <w:r>
        <w:rPr>
          <w:rFonts w:hint="eastAsia" w:ascii="Times New Roman" w:hAnsi="Times New Roman" w:eastAsia="仿宋" w:cs="Times New Roman"/>
          <w:sz w:val="36"/>
          <w:szCs w:val="36"/>
        </w:rPr>
        <w:t>已经</w:t>
      </w:r>
      <w:r>
        <w:rPr>
          <w:rFonts w:ascii="Times New Roman" w:hAnsi="Times New Roman" w:eastAsia="仿宋" w:cs="Times New Roman"/>
          <w:sz w:val="36"/>
          <w:szCs w:val="36"/>
        </w:rPr>
        <w:t>出现经营困难现象。例如，</w:t>
      </w:r>
      <w:r>
        <w:rPr>
          <w:rFonts w:hint="eastAsia" w:ascii="Times New Roman" w:hAnsi="Times New Roman" w:eastAsia="仿宋" w:cs="Times New Roman"/>
          <w:sz w:val="36"/>
          <w:szCs w:val="36"/>
          <w:lang w:val="en-US" w:eastAsia="zh-CN"/>
        </w:rPr>
        <w:t>在课题组对</w:t>
      </w:r>
      <w:r>
        <w:rPr>
          <w:rFonts w:ascii="Times New Roman" w:hAnsi="Times New Roman" w:eastAsia="仿宋" w:cs="Times New Roman"/>
          <w:sz w:val="36"/>
          <w:szCs w:val="36"/>
        </w:rPr>
        <w:t>中部地区某县城省级开发区</w:t>
      </w:r>
      <w:r>
        <w:rPr>
          <w:rFonts w:hint="eastAsia" w:ascii="Times New Roman" w:hAnsi="Times New Roman" w:eastAsia="仿宋" w:cs="Times New Roman"/>
          <w:sz w:val="36"/>
          <w:szCs w:val="36"/>
          <w:lang w:eastAsia="zh-CN"/>
        </w:rPr>
        <w:t>的</w:t>
      </w:r>
      <w:r>
        <w:rPr>
          <w:rFonts w:hint="eastAsia" w:ascii="Times New Roman" w:hAnsi="Times New Roman" w:eastAsia="仿宋" w:cs="Times New Roman"/>
          <w:sz w:val="36"/>
          <w:szCs w:val="36"/>
          <w:lang w:val="en-US" w:eastAsia="zh-CN"/>
        </w:rPr>
        <w:t>调研中发现，园区</w:t>
      </w:r>
      <w:r>
        <w:rPr>
          <w:rFonts w:ascii="Times New Roman" w:hAnsi="Times New Roman" w:eastAsia="仿宋" w:cs="Times New Roman"/>
          <w:sz w:val="36"/>
          <w:szCs w:val="36"/>
        </w:rPr>
        <w:t>内</w:t>
      </w:r>
      <w:r>
        <w:rPr>
          <w:rFonts w:hint="eastAsia" w:ascii="Times New Roman" w:hAnsi="Times New Roman" w:eastAsia="仿宋" w:cs="Times New Roman"/>
          <w:sz w:val="36"/>
          <w:szCs w:val="36"/>
          <w:lang w:val="en-US" w:eastAsia="zh-CN"/>
        </w:rPr>
        <w:t>8</w:t>
      </w:r>
      <w:r>
        <w:rPr>
          <w:rFonts w:ascii="Times New Roman" w:hAnsi="Times New Roman" w:eastAsia="仿宋" w:cs="Times New Roman"/>
          <w:sz w:val="36"/>
          <w:szCs w:val="36"/>
        </w:rPr>
        <w:t>0多家企业，</w:t>
      </w:r>
      <w:r>
        <w:rPr>
          <w:rFonts w:hint="eastAsia" w:ascii="Times New Roman" w:hAnsi="Times New Roman" w:eastAsia="仿宋" w:cs="Times New Roman"/>
          <w:sz w:val="36"/>
          <w:szCs w:val="36"/>
          <w:lang w:val="en-US" w:eastAsia="zh-CN"/>
        </w:rPr>
        <w:t>有近20家为</w:t>
      </w:r>
      <w:r>
        <w:rPr>
          <w:rFonts w:ascii="Times New Roman" w:hAnsi="Times New Roman" w:eastAsia="仿宋" w:cs="Times New Roman"/>
          <w:sz w:val="36"/>
          <w:szCs w:val="36"/>
        </w:rPr>
        <w:t>“僵尸企业”。</w:t>
      </w:r>
    </w:p>
    <w:p>
      <w:pPr>
        <w:spacing w:line="640" w:lineRule="exact"/>
        <w:jc w:val="both"/>
        <w:rPr>
          <w:rFonts w:ascii="Times New Roman" w:hAnsi="Times New Roman" w:eastAsia="仿宋" w:cs="Times New Roman"/>
          <w:b/>
          <w:bCs/>
          <w:sz w:val="36"/>
          <w:szCs w:val="36"/>
        </w:rPr>
      </w:pPr>
      <w:r>
        <w:rPr>
          <w:rFonts w:hint="eastAsia" w:ascii="Times New Roman" w:hAnsi="Times New Roman" w:eastAsia="仿宋" w:cs="Times New Roman"/>
          <w:b/>
          <w:bCs/>
          <w:sz w:val="36"/>
          <w:szCs w:val="36"/>
        </w:rPr>
        <w:t>（二）</w:t>
      </w:r>
      <w:r>
        <w:rPr>
          <w:rFonts w:ascii="Times New Roman" w:hAnsi="Times New Roman" w:eastAsia="仿宋" w:cs="Times New Roman"/>
          <w:b/>
          <w:bCs/>
          <w:sz w:val="36"/>
          <w:szCs w:val="36"/>
        </w:rPr>
        <w:t>社会经济服务水平难以匹配“小镇青年”返乡回流需求</w:t>
      </w:r>
    </w:p>
    <w:p>
      <w:pPr>
        <w:spacing w:line="640" w:lineRule="exact"/>
        <w:ind w:firstLine="720" w:firstLineChars="200"/>
        <w:jc w:val="both"/>
        <w:rPr>
          <w:rFonts w:ascii="Times New Roman" w:hAnsi="Times New Roman" w:eastAsia="仿宋" w:cs="Times New Roman"/>
          <w:sz w:val="36"/>
          <w:szCs w:val="36"/>
        </w:rPr>
      </w:pPr>
      <w:r>
        <w:rPr>
          <w:rFonts w:ascii="Times New Roman" w:hAnsi="Times New Roman" w:eastAsia="仿宋" w:cs="Times New Roman"/>
          <w:sz w:val="36"/>
          <w:szCs w:val="36"/>
        </w:rPr>
        <w:t>近几年，人口回流与代际更迭正在成为很多县城的发展的新动态，特别是随着产业的区域梯度转移的大势所趋和外出务工人员返乡创业政策在多地加大力度推行，一大批“小镇青年”正在回流县城。如：2018-2024年间，返乡下乡创业人员数量由780万人增至近1300万人，6年增长520万人</w:t>
      </w:r>
      <w:r>
        <w:rPr>
          <w:rStyle w:val="19"/>
          <w:rFonts w:ascii="Times New Roman" w:hAnsi="Times New Roman" w:eastAsia="仿宋" w:cs="Times New Roman"/>
          <w:sz w:val="36"/>
          <w:szCs w:val="36"/>
        </w:rPr>
        <w:footnoteReference w:id="0"/>
      </w:r>
      <w:r>
        <w:rPr>
          <w:rFonts w:ascii="Times New Roman" w:hAnsi="Times New Roman" w:eastAsia="仿宋" w:cs="Times New Roman"/>
          <w:sz w:val="36"/>
          <w:szCs w:val="36"/>
        </w:rPr>
        <w:t>。麦可思2024年就业蓝皮书显示，2023届本科生、高职生县域就业比例分别为27%、29%，较2019届分别提高6个、7个百分点</w:t>
      </w:r>
      <w:r>
        <w:rPr>
          <w:rStyle w:val="19"/>
          <w:rFonts w:ascii="Times New Roman" w:hAnsi="Times New Roman" w:eastAsia="仿宋" w:cs="Times New Roman"/>
          <w:sz w:val="36"/>
          <w:szCs w:val="36"/>
        </w:rPr>
        <w:footnoteReference w:id="1"/>
      </w:r>
      <w:r>
        <w:rPr>
          <w:rFonts w:ascii="Times New Roman" w:hAnsi="Times New Roman" w:eastAsia="仿宋" w:cs="Times New Roman"/>
          <w:sz w:val="36"/>
          <w:szCs w:val="36"/>
        </w:rPr>
        <w:t>。根据美团数据，202</w:t>
      </w:r>
      <w:r>
        <w:rPr>
          <w:rFonts w:hint="eastAsia" w:ascii="Times New Roman" w:hAnsi="Times New Roman" w:eastAsia="仿宋" w:cs="Times New Roman"/>
          <w:sz w:val="36"/>
          <w:szCs w:val="36"/>
          <w:lang w:val="en-US" w:eastAsia="zh-CN"/>
        </w:rPr>
        <w:t>4</w:t>
      </w:r>
      <w:r>
        <w:rPr>
          <w:rFonts w:ascii="Times New Roman" w:hAnsi="Times New Roman" w:eastAsia="仿宋" w:cs="Times New Roman"/>
          <w:sz w:val="36"/>
          <w:szCs w:val="36"/>
        </w:rPr>
        <w:t>年春节期间，县城里live house、咖啡厅、鲜花店、宠物店等商户数量同比分别增长98%、82%、55%和54%，多个头部连锁奶茶品牌的外卖订单量同比去年上涨65%</w:t>
      </w:r>
      <w:r>
        <w:rPr>
          <w:rStyle w:val="19"/>
          <w:rFonts w:ascii="Times New Roman" w:hAnsi="Times New Roman" w:eastAsia="仿宋" w:cs="Times New Roman"/>
          <w:sz w:val="36"/>
          <w:szCs w:val="36"/>
        </w:rPr>
        <w:footnoteReference w:id="2"/>
      </w:r>
      <w:r>
        <w:rPr>
          <w:rFonts w:ascii="Times New Roman" w:hAnsi="Times New Roman" w:eastAsia="仿宋" w:cs="Times New Roman"/>
          <w:sz w:val="36"/>
          <w:szCs w:val="36"/>
        </w:rPr>
        <w:t>。而湖北省在2024年政府工作报告中明确提到，其64个县市新增城镇常住人口30.5万人，这些县市通过政策引导和产业升级实现了人口回流。</w:t>
      </w:r>
    </w:p>
    <w:p>
      <w:pPr>
        <w:spacing w:line="640" w:lineRule="exact"/>
        <w:ind w:firstLine="720" w:firstLineChars="200"/>
        <w:jc w:val="both"/>
        <w:rPr>
          <w:rFonts w:ascii="Times New Roman" w:hAnsi="Times New Roman" w:cs="Times New Roman"/>
          <w:sz w:val="36"/>
          <w:szCs w:val="36"/>
        </w:rPr>
      </w:pPr>
      <w:r>
        <w:rPr>
          <w:rFonts w:ascii="Times New Roman" w:hAnsi="Times New Roman" w:eastAsia="仿宋" w:cs="Times New Roman"/>
          <w:sz w:val="36"/>
          <w:szCs w:val="36"/>
        </w:rPr>
        <w:t>然而，面对“小镇青年”的回流，当前县城的社会经济服务水平仍然难以达到他们曾经熟悉的特大超大城市，甚至大中城市标准。在各地调研中发现，“小镇青年”对于县城最大的不满在于三个方面，一是政府“接诉即办”水平较差，12345“名存实亡”，二是教育、医疗等公共服务没有跟上，很多时候不太放心自己和家人后面的发展，三是实在没有什么好吃的好逛的，这一结论无论在东南沿海地区的县城，还是在西北地区的县城，均是成立的。由此可见，当前大多数县城的社会经济发展水平尚不能满足县城人民日益增长的美好生活需要。</w:t>
      </w:r>
    </w:p>
    <w:p>
      <w:pPr>
        <w:spacing w:line="640" w:lineRule="exact"/>
        <w:jc w:val="both"/>
        <w:rPr>
          <w:rFonts w:ascii="Times New Roman" w:hAnsi="Times New Roman" w:eastAsia="仿宋" w:cs="Times New Roman"/>
          <w:b/>
          <w:bCs/>
          <w:sz w:val="36"/>
          <w:szCs w:val="36"/>
        </w:rPr>
      </w:pPr>
      <w:r>
        <w:rPr>
          <w:rFonts w:hint="eastAsia" w:ascii="Times New Roman" w:hAnsi="Times New Roman" w:eastAsia="仿宋" w:cs="Times New Roman"/>
          <w:b/>
          <w:bCs/>
          <w:sz w:val="36"/>
          <w:szCs w:val="36"/>
        </w:rPr>
        <w:t>（三）</w:t>
      </w:r>
      <w:r>
        <w:rPr>
          <w:rFonts w:ascii="Times New Roman" w:hAnsi="Times New Roman" w:eastAsia="仿宋" w:cs="Times New Roman"/>
          <w:b/>
          <w:bCs/>
          <w:sz w:val="36"/>
          <w:szCs w:val="36"/>
        </w:rPr>
        <w:t>基层人才队伍不足，特别是基层青年党员缺失、流失</w:t>
      </w:r>
    </w:p>
    <w:p>
      <w:pPr>
        <w:spacing w:line="640" w:lineRule="exact"/>
        <w:ind w:firstLine="720" w:firstLineChars="200"/>
        <w:jc w:val="both"/>
        <w:rPr>
          <w:rFonts w:ascii="Times New Roman" w:hAnsi="Times New Roman" w:eastAsia="仿宋" w:cs="Times New Roman"/>
          <w:sz w:val="36"/>
          <w:szCs w:val="36"/>
        </w:rPr>
      </w:pPr>
      <w:r>
        <w:rPr>
          <w:rFonts w:ascii="Times New Roman" w:hAnsi="Times New Roman" w:eastAsia="仿宋" w:cs="Times New Roman"/>
          <w:sz w:val="36"/>
          <w:szCs w:val="36"/>
        </w:rPr>
        <w:t>虽然返乡创业热正在县城中蔓延，但基层青年人才，特别是青年党员缺失、流失现象却其形成鲜明的对比。根据各地调研可知，近年来许多县城的基层党组织中，青年党员的比例不断下降。例如，丹阳市截至2023年底，全市55000多名党员中</w:t>
      </w:r>
      <w:r>
        <w:rPr>
          <w:rFonts w:hint="eastAsia" w:ascii="Times New Roman" w:hAnsi="Times New Roman" w:eastAsia="仿宋" w:cs="Times New Roman"/>
          <w:sz w:val="36"/>
          <w:szCs w:val="36"/>
        </w:rPr>
        <w:t>，35岁以下的党员占比为17%，60岁以上占28%，研究生以上学历仅占1.7%，初中及以下占比超过20%</w:t>
      </w:r>
      <w:r>
        <w:rPr>
          <w:rFonts w:ascii="Times New Roman" w:hAnsi="Times New Roman" w:eastAsia="仿宋" w:cs="Times New Roman"/>
          <w:sz w:val="36"/>
          <w:szCs w:val="36"/>
        </w:rPr>
        <w:t>。</w:t>
      </w:r>
      <w:r>
        <w:rPr>
          <w:rStyle w:val="19"/>
          <w:rFonts w:ascii="Times New Roman" w:hAnsi="Times New Roman" w:eastAsia="仿宋" w:cs="Times New Roman"/>
          <w:sz w:val="36"/>
          <w:szCs w:val="36"/>
        </w:rPr>
        <w:footnoteReference w:id="3"/>
      </w:r>
      <w:r>
        <w:rPr>
          <w:rFonts w:ascii="Times New Roman" w:hAnsi="Times New Roman" w:eastAsia="仿宋" w:cs="Times New Roman"/>
          <w:sz w:val="36"/>
          <w:szCs w:val="36"/>
        </w:rPr>
        <w:t>而</w:t>
      </w:r>
      <w:r>
        <w:rPr>
          <w:rFonts w:hint="eastAsia" w:ascii="Times New Roman" w:hAnsi="Times New Roman" w:eastAsia="仿宋" w:cs="Times New Roman"/>
          <w:sz w:val="36"/>
          <w:szCs w:val="36"/>
          <w:lang w:val="en-US" w:eastAsia="zh-CN"/>
        </w:rPr>
        <w:t>根据调研发现，</w:t>
      </w:r>
      <w:r>
        <w:rPr>
          <w:rFonts w:ascii="Times New Roman" w:hAnsi="Times New Roman" w:eastAsia="仿宋" w:cs="Times New Roman"/>
          <w:sz w:val="36"/>
          <w:szCs w:val="36"/>
        </w:rPr>
        <w:t>城乡结合部地区基层党组织的青年党员占比</w:t>
      </w:r>
      <w:r>
        <w:rPr>
          <w:rFonts w:hint="eastAsia" w:ascii="Times New Roman" w:hAnsi="Times New Roman" w:eastAsia="仿宋" w:cs="Times New Roman"/>
          <w:sz w:val="36"/>
          <w:szCs w:val="36"/>
          <w:lang w:val="en-US" w:eastAsia="zh-CN"/>
        </w:rPr>
        <w:t>更低</w:t>
      </w:r>
      <w:r>
        <w:rPr>
          <w:rFonts w:ascii="Times New Roman" w:hAnsi="Times New Roman" w:eastAsia="仿宋" w:cs="Times New Roman"/>
          <w:sz w:val="36"/>
          <w:szCs w:val="36"/>
        </w:rPr>
        <w:t>，且数量还在逐年减少。“小马拉大车”，甚至“老马拉大车”成为县城基层治理的普遍现象。</w:t>
      </w:r>
    </w:p>
    <w:p>
      <w:pPr>
        <w:spacing w:line="640" w:lineRule="exact"/>
        <w:ind w:firstLine="720" w:firstLineChars="200"/>
        <w:jc w:val="both"/>
        <w:rPr>
          <w:rFonts w:ascii="Times New Roman" w:hAnsi="Times New Roman" w:eastAsia="仿宋" w:cs="Times New Roman"/>
          <w:sz w:val="36"/>
          <w:szCs w:val="36"/>
        </w:rPr>
      </w:pPr>
      <w:r>
        <w:rPr>
          <w:rFonts w:ascii="Times New Roman" w:hAnsi="Times New Roman" w:eastAsia="仿宋" w:cs="Times New Roman"/>
          <w:sz w:val="36"/>
          <w:szCs w:val="36"/>
        </w:rPr>
        <w:t>一方面，这种青年党员的缺失会使基层党组织的组织架构变得松散，削弱了党组织的凝聚力和战斗力。一个坚强有力的基层党组织需要全体党员的共同参与和支持，当青年党员不断流失时，党组织活动难以正常开展，党组织的号召力和影响力也会大打折扣。另一方面，青年党员的缺失意味着一系列新的城市治理念和方法难以在基层治理中得到及时传播和应用，缺乏创新和活力，难以适应新时代社会发展和群众对美好生活需求的变化。在和多位“小镇青年”的座谈中，他们指出了“县城办事儿难”“县城婆罗门”“社区管理者太古板，和我们不在一个频道上”“服务少，脸色多”等多种问题，而这与基层人才队伍不足是紧密挂钩的。</w:t>
      </w:r>
    </w:p>
    <w:p>
      <w:pPr>
        <w:spacing w:line="640" w:lineRule="exact"/>
        <w:jc w:val="both"/>
        <w:rPr>
          <w:rFonts w:ascii="Times New Roman" w:hAnsi="Times New Roman" w:eastAsia="仿宋" w:cs="Times New Roman"/>
          <w:b/>
          <w:bCs/>
          <w:sz w:val="36"/>
          <w:szCs w:val="36"/>
        </w:rPr>
      </w:pPr>
      <w:r>
        <w:rPr>
          <w:rFonts w:ascii="Times New Roman" w:hAnsi="Times New Roman" w:eastAsia="仿宋" w:cs="Times New Roman"/>
          <w:b/>
          <w:bCs/>
          <w:sz w:val="36"/>
          <w:szCs w:val="36"/>
        </w:rPr>
        <w:t>二、几点对策建议</w:t>
      </w:r>
    </w:p>
    <w:p>
      <w:pPr>
        <w:spacing w:line="640" w:lineRule="exact"/>
        <w:jc w:val="both"/>
        <w:rPr>
          <w:rFonts w:ascii="Times New Roman" w:hAnsi="Times New Roman" w:eastAsia="仿宋" w:cs="Times New Roman"/>
          <w:b/>
          <w:bCs/>
          <w:sz w:val="36"/>
          <w:szCs w:val="36"/>
        </w:rPr>
      </w:pPr>
      <w:r>
        <w:rPr>
          <w:rFonts w:hint="eastAsia" w:ascii="Times New Roman" w:hAnsi="Times New Roman" w:eastAsia="仿宋" w:cs="Times New Roman"/>
          <w:b/>
          <w:bCs/>
          <w:sz w:val="36"/>
          <w:szCs w:val="36"/>
        </w:rPr>
        <w:t>（一）</w:t>
      </w:r>
      <w:r>
        <w:rPr>
          <w:rFonts w:ascii="Times New Roman" w:hAnsi="Times New Roman" w:eastAsia="仿宋" w:cs="Times New Roman"/>
          <w:b/>
          <w:bCs/>
          <w:sz w:val="36"/>
          <w:szCs w:val="36"/>
        </w:rPr>
        <w:t>规范县城招商引资，杜绝内卷</w:t>
      </w:r>
    </w:p>
    <w:p>
      <w:pPr>
        <w:spacing w:line="640" w:lineRule="exact"/>
        <w:ind w:firstLine="723" w:firstLineChars="200"/>
        <w:jc w:val="both"/>
        <w:rPr>
          <w:rFonts w:ascii="Times New Roman" w:hAnsi="Times New Roman" w:eastAsia="仿宋" w:cs="Times New Roman"/>
          <w:sz w:val="36"/>
          <w:szCs w:val="36"/>
        </w:rPr>
      </w:pPr>
      <w:r>
        <w:rPr>
          <w:rFonts w:ascii="Times New Roman" w:hAnsi="Times New Roman" w:eastAsia="仿宋" w:cs="Times New Roman"/>
          <w:b/>
          <w:bCs/>
          <w:sz w:val="36"/>
          <w:szCs w:val="36"/>
        </w:rPr>
        <w:t>一是</w:t>
      </w:r>
      <w:r>
        <w:rPr>
          <w:rFonts w:ascii="Times New Roman" w:hAnsi="Times New Roman" w:eastAsia="仿宋" w:cs="Times New Roman"/>
          <w:sz w:val="36"/>
          <w:szCs w:val="36"/>
        </w:rPr>
        <w:t>强化省级政策引导与监管，精准把脉各县城资源与产业优势，为每个县城量身定制产业规划，避免一哄而上。同时，建立严格招商政策审查机制，对地方政府招商政策全方位“把脉问诊”，杜绝不必要的补贴与恶性竞争。</w:t>
      </w:r>
      <w:r>
        <w:rPr>
          <w:rFonts w:ascii="Times New Roman" w:hAnsi="Times New Roman" w:eastAsia="仿宋" w:cs="Times New Roman"/>
          <w:b/>
          <w:bCs/>
          <w:sz w:val="36"/>
          <w:szCs w:val="36"/>
        </w:rPr>
        <w:t>二是</w:t>
      </w:r>
      <w:r>
        <w:rPr>
          <w:rFonts w:ascii="Times New Roman" w:hAnsi="Times New Roman" w:eastAsia="仿宋" w:cs="Times New Roman"/>
          <w:sz w:val="36"/>
          <w:szCs w:val="36"/>
        </w:rPr>
        <w:t>建立跨区域的产业协同发展机制，促进县城之间的资源共享、优势互补和产业对接。通过建立产业联盟、开展联合招商等方式，实现区域内产业的集群化发展和协同创新，提高产业整体竞争力，促进要素的自由流动和优化配置。</w:t>
      </w:r>
      <w:r>
        <w:rPr>
          <w:rFonts w:ascii="Times New Roman" w:hAnsi="Times New Roman" w:eastAsia="仿宋" w:cs="Times New Roman"/>
          <w:b/>
          <w:bCs/>
          <w:sz w:val="36"/>
          <w:szCs w:val="36"/>
        </w:rPr>
        <w:t>三是</w:t>
      </w:r>
      <w:r>
        <w:rPr>
          <w:rFonts w:ascii="Times New Roman" w:hAnsi="Times New Roman" w:eastAsia="仿宋" w:cs="Times New Roman"/>
          <w:sz w:val="36"/>
          <w:szCs w:val="36"/>
        </w:rPr>
        <w:t>积极推动县级政府树立正确的招商理念，从追求数量向注重质量转变。加强对招商人员的培训，提高其专业素质和业务能力，使其能够准确把握产业发展趋势和市场动态，精准筛选和引进符合本地产业规划的优质项目。建立项目的筛选和评估机制，对招商项目进行严格的可行性研究和风险评估，确保项目的可行性和可持续性。</w:t>
      </w:r>
    </w:p>
    <w:p>
      <w:pPr>
        <w:spacing w:line="640" w:lineRule="exact"/>
        <w:jc w:val="both"/>
        <w:rPr>
          <w:rFonts w:ascii="Times New Roman" w:hAnsi="Times New Roman" w:eastAsia="仿宋" w:cs="Times New Roman"/>
          <w:sz w:val="36"/>
          <w:szCs w:val="36"/>
        </w:rPr>
      </w:pPr>
      <w:r>
        <w:rPr>
          <w:rFonts w:hint="eastAsia" w:ascii="Times New Roman" w:hAnsi="Times New Roman" w:eastAsia="仿宋" w:cs="Times New Roman"/>
          <w:b/>
          <w:bCs/>
          <w:sz w:val="36"/>
          <w:szCs w:val="36"/>
        </w:rPr>
        <w:t>（二）</w:t>
      </w:r>
      <w:r>
        <w:rPr>
          <w:rFonts w:ascii="Times New Roman" w:hAnsi="Times New Roman" w:eastAsia="仿宋" w:cs="Times New Roman"/>
          <w:b/>
          <w:bCs/>
          <w:sz w:val="36"/>
          <w:szCs w:val="36"/>
        </w:rPr>
        <w:t>提升县城社会经济服务水平</w:t>
      </w:r>
    </w:p>
    <w:p>
      <w:pPr>
        <w:spacing w:line="640" w:lineRule="exact"/>
        <w:ind w:firstLine="723" w:firstLineChars="200"/>
        <w:jc w:val="both"/>
        <w:rPr>
          <w:rFonts w:ascii="Times New Roman" w:hAnsi="Times New Roman" w:eastAsia="仿宋" w:cs="Times New Roman"/>
          <w:sz w:val="36"/>
          <w:szCs w:val="36"/>
        </w:rPr>
      </w:pPr>
      <w:r>
        <w:rPr>
          <w:rFonts w:ascii="Times New Roman" w:hAnsi="Times New Roman" w:eastAsia="仿宋" w:cs="Times New Roman"/>
          <w:b/>
          <w:bCs/>
          <w:sz w:val="36"/>
          <w:szCs w:val="36"/>
        </w:rPr>
        <w:t>一是</w:t>
      </w:r>
      <w:r>
        <w:rPr>
          <w:rFonts w:ascii="Times New Roman" w:hAnsi="Times New Roman" w:eastAsia="仿宋" w:cs="Times New Roman"/>
          <w:sz w:val="36"/>
          <w:szCs w:val="36"/>
        </w:rPr>
        <w:t>继续加大对县城教育、医疗、文化等公共服务领域的投入，按照常住人口规模和服务半径，合理规划和布局公共服务设施。加强教师和医护人员队伍建设，提高教育和医疗服务水平。推动文化产业的发展，鼓励社会力量参与文化服务供给，丰富居民的精神文化生活。</w:t>
      </w:r>
      <w:r>
        <w:rPr>
          <w:rFonts w:ascii="Times New Roman" w:hAnsi="Times New Roman" w:eastAsia="仿宋" w:cs="Times New Roman"/>
          <w:b/>
          <w:bCs/>
          <w:sz w:val="36"/>
          <w:szCs w:val="36"/>
        </w:rPr>
        <w:t>二是</w:t>
      </w:r>
      <w:r>
        <w:rPr>
          <w:rFonts w:ascii="Times New Roman" w:hAnsi="Times New Roman" w:eastAsia="仿宋" w:cs="Times New Roman"/>
          <w:sz w:val="36"/>
          <w:szCs w:val="36"/>
        </w:rPr>
        <w:t>加快县城的数字化转型，推进数字政府建设，提升政府治理的智能化水平。建立统一的政务数据平台，实现数据共享和业务协同，提高政务服务的效率和质量。推广“互联网+政务服务”，扩大政务服务事项的网上办理范围，实现更多事项的“一网通办”和“掌上可办”，方便居民办事。</w:t>
      </w:r>
      <w:r>
        <w:rPr>
          <w:rFonts w:ascii="Times New Roman" w:hAnsi="Times New Roman" w:eastAsia="仿宋" w:cs="Times New Roman"/>
          <w:b/>
          <w:bCs/>
          <w:sz w:val="36"/>
          <w:szCs w:val="36"/>
        </w:rPr>
        <w:t>三是</w:t>
      </w:r>
      <w:r>
        <w:rPr>
          <w:rFonts w:ascii="Times New Roman" w:hAnsi="Times New Roman" w:eastAsia="仿宋" w:cs="Times New Roman"/>
          <w:sz w:val="36"/>
          <w:szCs w:val="36"/>
        </w:rPr>
        <w:t>结合县城居民的消费需求和消费习惯，积极培育和发展消费新业态、新模式，打造一批具有地方特色的消费街区和消费场景，满足居民多样化的消费需求。</w:t>
      </w:r>
    </w:p>
    <w:p>
      <w:pPr>
        <w:spacing w:line="640" w:lineRule="exact"/>
        <w:jc w:val="both"/>
        <w:rPr>
          <w:rFonts w:ascii="Times New Roman" w:hAnsi="Times New Roman" w:eastAsia="仿宋" w:cs="Times New Roman"/>
          <w:sz w:val="36"/>
          <w:szCs w:val="36"/>
        </w:rPr>
      </w:pPr>
      <w:r>
        <w:rPr>
          <w:rFonts w:hint="eastAsia" w:ascii="Times New Roman" w:hAnsi="Times New Roman" w:eastAsia="仿宋" w:cs="Times New Roman"/>
          <w:b/>
          <w:bCs/>
          <w:sz w:val="36"/>
          <w:szCs w:val="36"/>
        </w:rPr>
        <w:t>（三）</w:t>
      </w:r>
      <w:bookmarkStart w:id="1" w:name="OLE_LINK2"/>
      <w:r>
        <w:rPr>
          <w:rFonts w:ascii="Times New Roman" w:hAnsi="Times New Roman" w:eastAsia="仿宋" w:cs="Times New Roman"/>
          <w:b/>
          <w:bCs/>
          <w:sz w:val="36"/>
          <w:szCs w:val="36"/>
        </w:rPr>
        <w:t>提升县城基层治理能力，强化青年党员作用</w:t>
      </w:r>
      <w:bookmarkEnd w:id="1"/>
    </w:p>
    <w:p>
      <w:pPr>
        <w:spacing w:line="640" w:lineRule="exact"/>
        <w:ind w:firstLine="723" w:firstLineChars="200"/>
        <w:jc w:val="both"/>
        <w:rPr>
          <w:rFonts w:ascii="Times New Roman" w:hAnsi="Times New Roman" w:eastAsia="仿宋" w:cs="Times New Roman"/>
          <w:sz w:val="36"/>
          <w:szCs w:val="36"/>
        </w:rPr>
      </w:pPr>
      <w:r>
        <w:rPr>
          <w:rFonts w:ascii="Times New Roman" w:hAnsi="Times New Roman" w:eastAsia="仿宋" w:cs="Times New Roman"/>
          <w:b/>
          <w:bCs/>
          <w:sz w:val="36"/>
          <w:szCs w:val="36"/>
        </w:rPr>
        <w:t>一是</w:t>
      </w:r>
      <w:r>
        <w:rPr>
          <w:rFonts w:ascii="Times New Roman" w:hAnsi="Times New Roman" w:eastAsia="仿宋" w:cs="Times New Roman"/>
          <w:sz w:val="36"/>
          <w:szCs w:val="36"/>
        </w:rPr>
        <w:t>创新青年党员培养和发展机制，建立青年党员人才库，加强对青年党员的发现、培养和储备。注重从优秀青年、致富能手、退役军人、大学生村官等群体中发展党员，优化党员队伍结构。加强青年党员的教育培训，通过举办培训班、开展专题讲座、组织实践锻炼等方式，提高青年党员的政治素质和业务能力。</w:t>
      </w:r>
      <w:r>
        <w:rPr>
          <w:rFonts w:ascii="Times New Roman" w:hAnsi="Times New Roman" w:eastAsia="仿宋" w:cs="Times New Roman"/>
          <w:b/>
          <w:bCs/>
          <w:sz w:val="36"/>
          <w:szCs w:val="36"/>
        </w:rPr>
        <w:t>二是</w:t>
      </w:r>
      <w:r>
        <w:rPr>
          <w:rFonts w:ascii="Times New Roman" w:hAnsi="Times New Roman" w:eastAsia="仿宋" w:cs="Times New Roman"/>
          <w:sz w:val="36"/>
          <w:szCs w:val="36"/>
        </w:rPr>
        <w:t>以提升组织力为重点，加强基层党组织的标准化、规范化建设。选优配强基层党组织书记，增强基层党组织的领导力和凝聚力。完善党组织领导的充满活力的基层群众自治机制，发挥青年党员在基层治理中的先锋模范作用，并由青年党员引导“小镇青年”积极参与社区事务管理和决策。</w:t>
      </w:r>
      <w:r>
        <w:rPr>
          <w:rFonts w:ascii="Times New Roman" w:hAnsi="Times New Roman" w:eastAsia="仿宋" w:cs="Times New Roman"/>
          <w:b/>
          <w:bCs/>
          <w:sz w:val="36"/>
          <w:szCs w:val="36"/>
        </w:rPr>
        <w:t>三是</w:t>
      </w:r>
      <w:r>
        <w:rPr>
          <w:rFonts w:ascii="Times New Roman" w:hAnsi="Times New Roman" w:eastAsia="仿宋" w:cs="Times New Roman"/>
          <w:sz w:val="36"/>
          <w:szCs w:val="36"/>
        </w:rPr>
        <w:t>建立健全基层治理的激励机制，对表现优秀的青年党员给予表彰和奖励，在评优评先、职务晋升等方面给予优先考虑。落实基层干部待遇保障政策，提高基层岗位的吸引力，让更多优秀青年愿意投身基层治理工作。</w:t>
      </w:r>
    </w:p>
    <w:p>
      <w:pPr>
        <w:spacing w:line="640" w:lineRule="exact"/>
        <w:ind w:firstLine="720" w:firstLineChars="200"/>
        <w:jc w:val="both"/>
        <w:rPr>
          <w:rFonts w:ascii="Times New Roman" w:hAnsi="Times New Roman" w:eastAsia="仿宋" w:cs="Times New Roman"/>
          <w:sz w:val="36"/>
          <w:szCs w:val="36"/>
        </w:rPr>
      </w:pPr>
    </w:p>
    <w:p>
      <w:pPr>
        <w:spacing w:line="640" w:lineRule="exact"/>
        <w:jc w:val="both"/>
        <w:rPr>
          <w:rFonts w:ascii="Times New Roman" w:hAnsi="Times New Roman" w:eastAsia="仿宋" w:cs="Times New Roman"/>
          <w:sz w:val="36"/>
          <w:szCs w:val="36"/>
        </w:rPr>
      </w:pPr>
      <w:r>
        <w:rPr>
          <w:rFonts w:hint="eastAsia" w:ascii="Times New Roman" w:hAnsi="Times New Roman" w:eastAsia="仿宋" w:cs="Times New Roman"/>
          <w:sz w:val="36"/>
          <w:szCs w:val="36"/>
        </w:rPr>
        <w:t>第一作者信息：</w:t>
      </w:r>
    </w:p>
    <w:p>
      <w:pPr>
        <w:spacing w:line="640" w:lineRule="exact"/>
        <w:jc w:val="both"/>
        <w:rPr>
          <w:rFonts w:ascii="Times New Roman" w:hAnsi="Times New Roman" w:eastAsia="仿宋" w:cs="Times New Roman"/>
          <w:sz w:val="36"/>
          <w:szCs w:val="36"/>
        </w:rPr>
      </w:pPr>
      <w:r>
        <w:rPr>
          <w:rFonts w:hint="eastAsia" w:ascii="Times New Roman" w:hAnsi="Times New Roman" w:eastAsia="仿宋" w:cs="Times New Roman"/>
          <w:sz w:val="36"/>
          <w:szCs w:val="36"/>
        </w:rPr>
        <w:t>周麟 中国人民大学公共管理学院 副教授 职工号：20230009 电话：18910344909 邮箱：zhoulin99@ruc.edu.cn</w:t>
      </w:r>
    </w:p>
    <w:p>
      <w:pPr>
        <w:spacing w:line="640" w:lineRule="exact"/>
        <w:ind w:firstLine="720" w:firstLineChars="200"/>
        <w:jc w:val="both"/>
        <w:rPr>
          <w:rFonts w:ascii="Times New Roman" w:hAnsi="Times New Roman" w:eastAsia="仿宋" w:cs="Times New Roman"/>
          <w:sz w:val="36"/>
          <w:szCs w:val="36"/>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瀹嬩綋">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华文细黑">
    <w:panose1 w:val="02010600040101010101"/>
    <w:charset w:val="86"/>
    <w:family w:val="auto"/>
    <w:pitch w:val="default"/>
    <w:sig w:usb0="00000287" w:usb1="080F0000" w:usb2="00000000" w:usb3="00000000" w:csb0="0004009F" w:csb1="DFD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pPr>
        <w:spacing w:before="0" w:after="0" w:line="278" w:lineRule="auto"/>
      </w:pPr>
      <w:r>
        <w:separator/>
      </w:r>
    </w:p>
  </w:footnote>
  <w:footnote w:type="continuationSeparator" w:id="9">
    <w:p>
      <w:pPr>
        <w:spacing w:before="0" w:after="0" w:line="278" w:lineRule="auto"/>
      </w:pPr>
      <w:r>
        <w:continuationSeparator/>
      </w:r>
    </w:p>
  </w:footnote>
  <w:footnote w:id="0">
    <w:p>
      <w:pPr>
        <w:pStyle w:val="14"/>
        <w:snapToGrid w:val="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footnoteRef/>
      </w:r>
      <w:r>
        <w:rPr>
          <w:rFonts w:hint="eastAsia" w:ascii="仿宋" w:hAnsi="仿宋" w:eastAsia="仿宋" w:cs="仿宋"/>
          <w:sz w:val="21"/>
          <w:szCs w:val="21"/>
          <w:lang w:val="en-US" w:eastAsia="zh-CN"/>
        </w:rPr>
        <w:t xml:space="preserve"> 资料来源：农业农村部发布数据。</w:t>
      </w:r>
    </w:p>
  </w:footnote>
  <w:footnote w:id="1">
    <w:p>
      <w:pPr>
        <w:pStyle w:val="14"/>
        <w:snapToGrid w:val="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footnoteRef/>
      </w:r>
      <w:r>
        <w:rPr>
          <w:rFonts w:hint="eastAsia" w:ascii="仿宋" w:hAnsi="仿宋" w:eastAsia="仿宋" w:cs="仿宋"/>
          <w:sz w:val="21"/>
          <w:szCs w:val="21"/>
          <w:lang w:val="en-US" w:eastAsia="zh-CN"/>
        </w:rPr>
        <w:t xml:space="preserve"> </w:t>
      </w:r>
      <w:r>
        <w:rPr>
          <w:rFonts w:hint="eastAsia" w:ascii="仿宋" w:hAnsi="仿宋" w:eastAsia="仿宋" w:cs="仿宋"/>
          <w:sz w:val="21"/>
          <w:szCs w:val="21"/>
          <w:lang w:val="en-US" w:eastAsia="zh-CN"/>
        </w:rPr>
        <w:fldChar w:fldCharType="begin"/>
      </w:r>
      <w:r>
        <w:rPr>
          <w:rFonts w:hint="eastAsia" w:ascii="仿宋" w:hAnsi="仿宋" w:eastAsia="仿宋" w:cs="仿宋"/>
          <w:sz w:val="21"/>
          <w:szCs w:val="21"/>
          <w:lang w:val="en-US" w:eastAsia="zh-CN"/>
        </w:rPr>
        <w:instrText xml:space="preserve"> HYPERLINK "http://www.jjckb.cn/20250326/cff9bbbb3ee341f392322193a4b511e2/c.html" </w:instrText>
      </w:r>
      <w:r>
        <w:rPr>
          <w:rFonts w:hint="eastAsia" w:ascii="仿宋" w:hAnsi="仿宋" w:eastAsia="仿宋" w:cs="仿宋"/>
          <w:sz w:val="21"/>
          <w:szCs w:val="21"/>
          <w:lang w:val="en-US" w:eastAsia="zh-CN"/>
        </w:rPr>
        <w:fldChar w:fldCharType="separate"/>
      </w:r>
      <w:r>
        <w:rPr>
          <w:rFonts w:hint="eastAsia" w:ascii="仿宋" w:hAnsi="仿宋" w:eastAsia="仿宋" w:cs="仿宋"/>
          <w:sz w:val="21"/>
          <w:szCs w:val="21"/>
          <w:lang w:val="en-US" w:eastAsia="zh-CN"/>
        </w:rPr>
        <w:t xml:space="preserve">把握市场下沉新趋势 协同打造消费新引擎-经济参考网，2025年3月26日 </w:t>
      </w:r>
      <w:r>
        <w:rPr>
          <w:rFonts w:hint="eastAsia" w:ascii="仿宋" w:hAnsi="仿宋" w:eastAsia="仿宋" w:cs="仿宋"/>
          <w:sz w:val="21"/>
          <w:szCs w:val="21"/>
          <w:lang w:val="en-US" w:eastAsia="zh-CN"/>
        </w:rPr>
        <w:fldChar w:fldCharType="end"/>
      </w:r>
    </w:p>
  </w:footnote>
  <w:footnote w:id="2">
    <w:p>
      <w:pPr>
        <w:pStyle w:val="14"/>
        <w:snapToGrid w:val="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footnoteRef/>
      </w:r>
      <w:r>
        <w:rPr>
          <w:rFonts w:hint="eastAsia" w:ascii="仿宋" w:hAnsi="仿宋" w:eastAsia="仿宋" w:cs="仿宋"/>
          <w:sz w:val="21"/>
          <w:szCs w:val="21"/>
          <w:lang w:val="en-US" w:eastAsia="zh-CN"/>
        </w:rPr>
        <w:t xml:space="preserve"> </w:t>
      </w:r>
      <w:r>
        <w:rPr>
          <w:rFonts w:hint="eastAsia" w:ascii="仿宋" w:hAnsi="仿宋" w:eastAsia="仿宋" w:cs="仿宋"/>
          <w:sz w:val="21"/>
          <w:szCs w:val="21"/>
          <w:lang w:val="en-US" w:eastAsia="zh-CN"/>
        </w:rPr>
        <w:fldChar w:fldCharType="begin"/>
      </w:r>
      <w:r>
        <w:rPr>
          <w:rFonts w:hint="eastAsia" w:ascii="仿宋" w:hAnsi="仿宋" w:eastAsia="仿宋" w:cs="仿宋"/>
          <w:sz w:val="21"/>
          <w:szCs w:val="21"/>
          <w:lang w:val="en-US" w:eastAsia="zh-CN"/>
        </w:rPr>
        <w:instrText xml:space="preserve"> HYPERLINK "https://www.meituan.com/news/NN240220053004877" </w:instrText>
      </w:r>
      <w:r>
        <w:rPr>
          <w:rFonts w:hint="eastAsia" w:ascii="仿宋" w:hAnsi="仿宋" w:eastAsia="仿宋" w:cs="仿宋"/>
          <w:sz w:val="21"/>
          <w:szCs w:val="21"/>
          <w:lang w:val="en-US" w:eastAsia="zh-CN"/>
        </w:rPr>
        <w:fldChar w:fldCharType="separate"/>
      </w:r>
      <w:r>
        <w:rPr>
          <w:rFonts w:hint="eastAsia" w:ascii="仿宋" w:hAnsi="仿宋" w:eastAsia="仿宋" w:cs="仿宋"/>
          <w:sz w:val="21"/>
          <w:szCs w:val="21"/>
          <w:lang w:val="en-US" w:eastAsia="zh-CN"/>
        </w:rPr>
        <w:t>美团发布2024春节“吃喝玩乐”消费洞察 下沉市场成新引擎 (meituan.com)</w:t>
      </w:r>
      <w:r>
        <w:rPr>
          <w:rFonts w:hint="eastAsia" w:ascii="仿宋" w:hAnsi="仿宋" w:eastAsia="仿宋" w:cs="仿宋"/>
          <w:sz w:val="21"/>
          <w:szCs w:val="21"/>
          <w:lang w:val="en-US" w:eastAsia="zh-CN"/>
        </w:rPr>
        <w:fldChar w:fldCharType="end"/>
      </w:r>
      <w:r>
        <w:rPr>
          <w:rFonts w:hint="eastAsia" w:ascii="仿宋" w:hAnsi="仿宋" w:eastAsia="仿宋" w:cs="仿宋"/>
          <w:sz w:val="21"/>
          <w:szCs w:val="21"/>
          <w:lang w:val="en-US" w:eastAsia="zh-CN"/>
        </w:rPr>
        <w:t>，2024年2月15日</w:t>
      </w:r>
    </w:p>
  </w:footnote>
  <w:footnote w:id="3">
    <w:p>
      <w:pPr>
        <w:pStyle w:val="14"/>
        <w:snapToGrid w:val="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footnoteRef/>
      </w:r>
      <w:r>
        <w:rPr>
          <w:rFonts w:hint="eastAsia" w:ascii="仿宋" w:hAnsi="仿宋" w:eastAsia="仿宋" w:cs="仿宋"/>
          <w:sz w:val="21"/>
          <w:szCs w:val="21"/>
          <w:lang w:val="en-US" w:eastAsia="zh-CN"/>
        </w:rPr>
        <w:t xml:space="preserve"> </w:t>
      </w:r>
      <w:r>
        <w:rPr>
          <w:rFonts w:hint="default" w:ascii="仿宋" w:hAnsi="仿宋" w:eastAsia="仿宋" w:cs="仿宋"/>
          <w:sz w:val="21"/>
          <w:szCs w:val="21"/>
          <w:lang w:val="en-US" w:eastAsia="zh-CN"/>
        </w:rPr>
        <w:t>丹阳市关于全链条加强党员教育管理的实践与思考</w:t>
      </w:r>
      <w:r>
        <w:rPr>
          <w:rFonts w:hint="eastAsia" w:ascii="仿宋" w:hAnsi="仿宋" w:eastAsia="仿宋" w:cs="仿宋"/>
          <w:sz w:val="21"/>
          <w:szCs w:val="21"/>
          <w:lang w:val="en-US" w:eastAsia="zh-CN"/>
        </w:rPr>
        <w:t>，</w:t>
      </w:r>
      <w:r>
        <w:rPr>
          <w:rFonts w:hint="eastAsia" w:ascii="仿宋" w:hAnsi="仿宋" w:eastAsia="仿宋" w:cs="仿宋"/>
          <w:sz w:val="21"/>
          <w:szCs w:val="21"/>
          <w:lang w:val="en-US" w:eastAsia="zh-CN"/>
        </w:rPr>
        <w:fldChar w:fldCharType="begin"/>
      </w:r>
      <w:r>
        <w:rPr>
          <w:rFonts w:hint="eastAsia" w:ascii="仿宋" w:hAnsi="仿宋" w:eastAsia="仿宋" w:cs="仿宋"/>
          <w:sz w:val="21"/>
          <w:szCs w:val="21"/>
          <w:lang w:val="en-US" w:eastAsia="zh-CN"/>
        </w:rPr>
        <w:instrText xml:space="preserve"> HYPERLINK "http://www.dydj.gov.cn/frontend/article/detail?id=2240" </w:instrText>
      </w:r>
      <w:r>
        <w:rPr>
          <w:rFonts w:hint="eastAsia" w:ascii="仿宋" w:hAnsi="仿宋" w:eastAsia="仿宋" w:cs="仿宋"/>
          <w:sz w:val="21"/>
          <w:szCs w:val="21"/>
          <w:lang w:val="en-US" w:eastAsia="zh-CN"/>
        </w:rPr>
        <w:fldChar w:fldCharType="separate"/>
      </w:r>
      <w:r>
        <w:rPr>
          <w:rFonts w:hint="eastAsia" w:ascii="仿宋" w:hAnsi="仿宋" w:eastAsia="仿宋" w:cs="仿宋"/>
          <w:sz w:val="21"/>
          <w:szCs w:val="21"/>
          <w:lang w:val="en-US" w:eastAsia="zh-CN"/>
        </w:rPr>
        <w:t>丹阳市委组织部 (dydj.gov.cn)</w:t>
      </w:r>
      <w:r>
        <w:rPr>
          <w:rFonts w:hint="eastAsia" w:ascii="仿宋" w:hAnsi="仿宋" w:eastAsia="仿宋" w:cs="仿宋"/>
          <w:sz w:val="21"/>
          <w:szCs w:val="21"/>
          <w:lang w:val="en-US" w:eastAsia="zh-CN"/>
        </w:rPr>
        <w:fldChar w:fldCharType="end"/>
      </w:r>
      <w:r>
        <w:rPr>
          <w:rFonts w:hint="eastAsia" w:ascii="仿宋" w:hAnsi="仿宋" w:eastAsia="仿宋" w:cs="仿宋"/>
          <w:sz w:val="21"/>
          <w:szCs w:val="21"/>
          <w:lang w:val="en-US" w:eastAsia="zh-CN"/>
        </w:rPr>
        <w:t>，2025年3月18日。</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584CDB"/>
    <w:multiLevelType w:val="multilevel"/>
    <w:tmpl w:val="47584CDB"/>
    <w:lvl w:ilvl="0" w:tentative="0">
      <w:start w:val="1"/>
      <w:numFmt w:val="japaneseCounting"/>
      <w:lvlText w:val="%1、"/>
      <w:lvlJc w:val="left"/>
      <w:pPr>
        <w:ind w:left="1363" w:hanging="720"/>
      </w:pPr>
      <w:rPr>
        <w:rFonts w:hint="default"/>
      </w:rPr>
    </w:lvl>
    <w:lvl w:ilvl="1" w:tentative="0">
      <w:start w:val="1"/>
      <w:numFmt w:val="lowerLetter"/>
      <w:lvlText w:val="%2)"/>
      <w:lvlJc w:val="left"/>
      <w:pPr>
        <w:ind w:left="1523" w:hanging="440"/>
      </w:pPr>
    </w:lvl>
    <w:lvl w:ilvl="2" w:tentative="0">
      <w:start w:val="1"/>
      <w:numFmt w:val="lowerRoman"/>
      <w:lvlText w:val="%3."/>
      <w:lvlJc w:val="right"/>
      <w:pPr>
        <w:ind w:left="1963" w:hanging="440"/>
      </w:pPr>
    </w:lvl>
    <w:lvl w:ilvl="3" w:tentative="0">
      <w:start w:val="1"/>
      <w:numFmt w:val="decimal"/>
      <w:lvlText w:val="%4."/>
      <w:lvlJc w:val="left"/>
      <w:pPr>
        <w:ind w:left="2403" w:hanging="440"/>
      </w:pPr>
    </w:lvl>
    <w:lvl w:ilvl="4" w:tentative="0">
      <w:start w:val="1"/>
      <w:numFmt w:val="lowerLetter"/>
      <w:lvlText w:val="%5)"/>
      <w:lvlJc w:val="left"/>
      <w:pPr>
        <w:ind w:left="2843" w:hanging="440"/>
      </w:pPr>
    </w:lvl>
    <w:lvl w:ilvl="5" w:tentative="0">
      <w:start w:val="1"/>
      <w:numFmt w:val="lowerRoman"/>
      <w:lvlText w:val="%6."/>
      <w:lvlJc w:val="right"/>
      <w:pPr>
        <w:ind w:left="3283" w:hanging="440"/>
      </w:pPr>
    </w:lvl>
    <w:lvl w:ilvl="6" w:tentative="0">
      <w:start w:val="1"/>
      <w:numFmt w:val="decimal"/>
      <w:lvlText w:val="%7."/>
      <w:lvlJc w:val="left"/>
      <w:pPr>
        <w:ind w:left="3723" w:hanging="440"/>
      </w:pPr>
    </w:lvl>
    <w:lvl w:ilvl="7" w:tentative="0">
      <w:start w:val="1"/>
      <w:numFmt w:val="lowerLetter"/>
      <w:lvlText w:val="%8)"/>
      <w:lvlJc w:val="left"/>
      <w:pPr>
        <w:ind w:left="4163" w:hanging="440"/>
      </w:pPr>
    </w:lvl>
    <w:lvl w:ilvl="8" w:tentative="0">
      <w:start w:val="1"/>
      <w:numFmt w:val="lowerRoman"/>
      <w:lvlText w:val="%9."/>
      <w:lvlJc w:val="right"/>
      <w:pPr>
        <w:ind w:left="4603"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4NGU2MWRlZmU2ODNjZWIwYjBlNzk2ZThlYzZkZGMifQ=="/>
  </w:docVars>
  <w:rsids>
    <w:rsidRoot w:val="0044155E"/>
    <w:rsid w:val="001F5133"/>
    <w:rsid w:val="00212328"/>
    <w:rsid w:val="002F6314"/>
    <w:rsid w:val="00362737"/>
    <w:rsid w:val="00394F68"/>
    <w:rsid w:val="0044155E"/>
    <w:rsid w:val="00462128"/>
    <w:rsid w:val="00471DB0"/>
    <w:rsid w:val="005D4909"/>
    <w:rsid w:val="00B55240"/>
    <w:rsid w:val="00BB1F4F"/>
    <w:rsid w:val="00BE7E08"/>
    <w:rsid w:val="00C222C9"/>
    <w:rsid w:val="00D33428"/>
    <w:rsid w:val="00D93A81"/>
    <w:rsid w:val="00DC734F"/>
    <w:rsid w:val="00DE73B1"/>
    <w:rsid w:val="00F3130E"/>
    <w:rsid w:val="095161D6"/>
    <w:rsid w:val="1C814835"/>
    <w:rsid w:val="5B285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5"/>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39"/>
    <w:unhideWhenUsed/>
    <w:uiPriority w:val="99"/>
    <w:pPr>
      <w:tabs>
        <w:tab w:val="center" w:pos="4153"/>
        <w:tab w:val="right" w:pos="8306"/>
      </w:tabs>
      <w:snapToGrid w:val="0"/>
      <w:spacing w:line="240" w:lineRule="auto"/>
    </w:pPr>
    <w:rPr>
      <w:sz w:val="18"/>
      <w:szCs w:val="18"/>
    </w:rPr>
  </w:style>
  <w:style w:type="paragraph" w:styleId="12">
    <w:name w:val="header"/>
    <w:basedOn w:val="1"/>
    <w:link w:val="38"/>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footnote text"/>
    <w:basedOn w:val="1"/>
    <w:semiHidden/>
    <w:unhideWhenUsed/>
    <w:uiPriority w:val="99"/>
    <w:pPr>
      <w:snapToGrid w:val="0"/>
      <w:jc w:val="left"/>
    </w:pPr>
    <w:rPr>
      <w:sz w:val="18"/>
    </w:rPr>
  </w:style>
  <w:style w:type="paragraph" w:styleId="15">
    <w:name w:val="Title"/>
    <w:basedOn w:val="1"/>
    <w:next w:val="1"/>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Hyperlink"/>
    <w:basedOn w:val="17"/>
    <w:semiHidden/>
    <w:unhideWhenUsed/>
    <w:uiPriority w:val="99"/>
    <w:rPr>
      <w:color w:val="0000FF"/>
      <w:u w:val="single"/>
    </w:rPr>
  </w:style>
  <w:style w:type="character" w:styleId="19">
    <w:name w:val="footnote reference"/>
    <w:basedOn w:val="17"/>
    <w:semiHidden/>
    <w:unhideWhenUsed/>
    <w:uiPriority w:val="99"/>
    <w:rPr>
      <w:vertAlign w:val="superscript"/>
    </w:rPr>
  </w:style>
  <w:style w:type="character" w:customStyle="1" w:styleId="20">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7"/>
    <w:link w:val="5"/>
    <w:semiHidden/>
    <w:uiPriority w:val="9"/>
    <w:rPr>
      <w:rFonts w:cstheme="majorBidi"/>
      <w:color w:val="2F5597" w:themeColor="accent1" w:themeShade="BF"/>
      <w:sz w:val="28"/>
      <w:szCs w:val="28"/>
    </w:rPr>
  </w:style>
  <w:style w:type="character" w:customStyle="1" w:styleId="24">
    <w:name w:val="标题 5 字符"/>
    <w:basedOn w:val="17"/>
    <w:link w:val="6"/>
    <w:semiHidden/>
    <w:uiPriority w:val="9"/>
    <w:rPr>
      <w:rFonts w:cstheme="majorBidi"/>
      <w:color w:val="2F5597" w:themeColor="accent1" w:themeShade="BF"/>
      <w:sz w:val="24"/>
    </w:rPr>
  </w:style>
  <w:style w:type="character" w:customStyle="1" w:styleId="25">
    <w:name w:val="标题 6 字符"/>
    <w:basedOn w:val="17"/>
    <w:link w:val="7"/>
    <w:semiHidden/>
    <w:uiPriority w:val="9"/>
    <w:rPr>
      <w:rFonts w:cstheme="majorBidi"/>
      <w:b/>
      <w:bCs/>
      <w:color w:val="2F5597" w:themeColor="accent1" w:themeShade="BF"/>
    </w:rPr>
  </w:style>
  <w:style w:type="character" w:customStyle="1" w:styleId="26">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7"/>
    <w:link w:val="35"/>
    <w:uiPriority w:val="30"/>
    <w:rPr>
      <w:i/>
      <w:iCs/>
      <w:color w:val="2F5597" w:themeColor="accent1" w:themeShade="BF"/>
    </w:rPr>
  </w:style>
  <w:style w:type="character" w:customStyle="1" w:styleId="37">
    <w:name w:val="Intense Reference"/>
    <w:basedOn w:val="17"/>
    <w:qFormat/>
    <w:uiPriority w:val="32"/>
    <w:rPr>
      <w:b/>
      <w:bCs/>
      <w:smallCaps/>
      <w:color w:val="2F5597" w:themeColor="accent1" w:themeShade="BF"/>
      <w:spacing w:val="5"/>
    </w:rPr>
  </w:style>
  <w:style w:type="character" w:customStyle="1" w:styleId="38">
    <w:name w:val="页眉 字符"/>
    <w:basedOn w:val="17"/>
    <w:link w:val="12"/>
    <w:uiPriority w:val="99"/>
    <w:rPr>
      <w:sz w:val="18"/>
      <w:szCs w:val="18"/>
    </w:rPr>
  </w:style>
  <w:style w:type="character" w:customStyle="1" w:styleId="39">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570</Words>
  <Characters>3252</Characters>
  <Lines>27</Lines>
  <Paragraphs>7</Paragraphs>
  <TotalTime>0</TotalTime>
  <ScaleCrop>false</ScaleCrop>
  <LinksUpToDate>false</LinksUpToDate>
  <CharactersWithSpaces>3815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2025-05-15T01:38:00Z</dcterms:created>
  <dc:creator>Lin ZHOU</dc:creator>
  <cp:lastModifiedBy>周麟</cp:lastModifiedBy>
  <dcterms:modified xsi:type="dcterms:W3CDTF">2025-05-15T03:41:13Z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BA07A5C3680349DF9CFFF101897F24C4_12</vt:lpwstr>
  </property>
</Properties>
</file>