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F1337">
      <w:pPr>
        <w:spacing w:before="0" w:after="40" w:line="264" w:lineRule="auto"/>
      </w:pPr>
      <w:r>
        <w:rPr>
          <w:rFonts w:ascii="PingFang SC" w:hAnsi="PingFang SC" w:eastAsia="PingFang SC" w:cs="PingFang SC"/>
          <w:b/>
          <w:color w:val="000000"/>
          <w:sz w:val="40"/>
        </w:rPr>
        <w:t>合肥市包河区政务无人机巡查需求与起降点适宜性初步样品</w:t>
      </w:r>
    </w:p>
    <w:p w14:paraId="354ABE5D">
      <w:pPr>
        <w:spacing w:before="0" w:after="160" w:line="264" w:lineRule="auto"/>
      </w:pPr>
      <w:r>
        <w:rPr>
          <w:rFonts w:ascii="PingFang SC" w:hAnsi="PingFang SC" w:eastAsia="PingFang SC" w:cs="PingFang SC"/>
          <w:color w:val="5A5A5A"/>
          <w:sz w:val="21"/>
        </w:rPr>
        <w:t>第 4 天成果样品 | 需求识别图、起降点适宜性图、变量重要性结果</w:t>
      </w:r>
    </w:p>
    <w:tbl>
      <w:tblPr>
        <w:tblStyle w:val="32"/>
        <w:tblW w:w="0" w:type="auto"/>
        <w:jc w:val="center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0"/>
        <w:gridCol w:w="7200"/>
      </w:tblGrid>
      <w:tr w14:paraId="2EE70AFC">
        <w:trPr>
          <w:jc w:val="center"/>
        </w:trPr>
        <w:tc>
          <w:tcPr>
            <w:tcW w:w="705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w14:paraId="2A5CF9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atLeast"/>
              <w:textAlignment w:val="auto"/>
            </w:pPr>
            <w:r>
              <w:rPr>
                <w:rFonts w:hint="eastAsia" w:cs="PingFang SC"/>
                <w:b/>
                <w:color w:val="2E74B5"/>
                <w:sz w:val="24"/>
                <w:lang w:val="en-US" w:eastAsia="zh-CN"/>
              </w:rPr>
              <w:t>核心</w:t>
            </w:r>
            <w:r>
              <w:rPr>
                <w:rFonts w:ascii="PingFang SC" w:hAnsi="PingFang SC" w:eastAsia="PingFang SC" w:cs="PingFang SC"/>
                <w:b/>
                <w:color w:val="2E74B5"/>
                <w:sz w:val="24"/>
              </w:rPr>
              <w:t>结论</w:t>
            </w:r>
          </w:p>
          <w:p w14:paraId="343112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100" w:lineRule="atLeast"/>
              <w:textAlignment w:val="auto"/>
            </w:pPr>
            <w:r>
              <w:rPr>
                <w:rFonts w:ascii="PingFang SC" w:hAnsi="PingFang SC" w:eastAsia="PingFang SC" w:cs="PingFang SC"/>
                <w:sz w:val="19"/>
              </w:rPr>
              <w:t>包河区政务无人机潜在巡查需求较高区域主要集中在夜间活动强、人口较密集、POI 与道路设施较集中的城市化片区；起降点适宜性较高区域与高需求区域大体一致，但进一步受到道路可达性、建设用地适中性、水系距离和生态占比适中性的影响。</w:t>
            </w:r>
          </w:p>
          <w:p w14:paraId="052577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atLeast"/>
              <w:textAlignment w:val="auto"/>
            </w:pPr>
            <w:r>
              <w:rPr>
                <w:rFonts w:ascii="PingFang SC" w:hAnsi="PingFang SC" w:eastAsia="PingFang SC" w:cs="PingFang SC"/>
                <w:b/>
                <w:color w:val="2E74B5"/>
                <w:sz w:val="24"/>
              </w:rPr>
              <w:t>关键发现</w:t>
            </w:r>
          </w:p>
          <w:p w14:paraId="47ABC573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40" w:line="100" w:lineRule="atLeast"/>
              <w:textAlignment w:val="auto"/>
            </w:pPr>
            <w:r>
              <w:rPr>
                <w:rFonts w:ascii="PingFang SC" w:hAnsi="PingFang SC" w:eastAsia="PingFang SC" w:cs="PingFang SC"/>
                <w:sz w:val="18"/>
              </w:rPr>
              <w:t>需求指数范围为 0.2206-0.6208，北部和中西部部分网格较高。</w:t>
            </w:r>
          </w:p>
          <w:p w14:paraId="61F8E0CA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40" w:line="100" w:lineRule="atLeast"/>
              <w:textAlignment w:val="auto"/>
            </w:pPr>
            <w:r>
              <w:rPr>
                <w:rFonts w:ascii="PingFang SC" w:hAnsi="PingFang SC" w:eastAsia="PingFang SC" w:cs="PingFang SC"/>
                <w:sz w:val="18"/>
              </w:rPr>
              <w:t>相关分析中，夜间灯光 Pearson 0.803，人口密度 0.774。</w:t>
            </w:r>
          </w:p>
          <w:p w14:paraId="7876DAAE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40" w:line="100" w:lineRule="atLeast"/>
              <w:textAlignment w:val="auto"/>
            </w:pPr>
            <w:r>
              <w:rPr>
                <w:rFonts w:ascii="PingFang SC" w:hAnsi="PingFang SC" w:eastAsia="PingFang SC" w:cs="PingFang SC"/>
                <w:sz w:val="18"/>
              </w:rPr>
              <w:t>随机森林测试集 R2 为 0.813，夜间灯光、人口密度、POI 密度贡献靠前。</w:t>
            </w:r>
          </w:p>
          <w:p w14:paraId="328F2B5E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40" w:line="100" w:lineRule="atLeast"/>
              <w:textAlignment w:val="auto"/>
            </w:pPr>
            <w:r>
              <w:rPr>
                <w:rFonts w:ascii="PingFang SC" w:hAnsi="PingFang SC" w:eastAsia="PingFang SC" w:cs="PingFang SC"/>
                <w:sz w:val="18"/>
              </w:rPr>
              <w:t>起降点适宜性前五位网格为 BH0253、BH0324、BH0286、BH0192、BH0335。</w:t>
            </w:r>
          </w:p>
        </w:tc>
        <w:tc>
          <w:tcPr>
            <w:tcW w:w="705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w14:paraId="20CF16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atLeast"/>
              <w:textAlignment w:val="auto"/>
            </w:pPr>
            <w:r>
              <w:rPr>
                <w:rFonts w:ascii="PingFang SC" w:hAnsi="PingFang SC" w:eastAsia="PingFang SC" w:cs="PingFang SC"/>
                <w:b/>
                <w:color w:val="2E74B5"/>
                <w:sz w:val="24"/>
              </w:rPr>
              <w:t>规划启示</w:t>
            </w:r>
          </w:p>
          <w:p w14:paraId="4E74D671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40" w:line="100" w:lineRule="atLeast"/>
              <w:textAlignment w:val="auto"/>
            </w:pPr>
            <w:r>
              <w:rPr>
                <w:rFonts w:ascii="PingFang SC" w:hAnsi="PingFang SC" w:eastAsia="PingFang SC" w:cs="PingFang SC"/>
                <w:sz w:val="18"/>
              </w:rPr>
              <w:t>低空节点应作为城市治理与公共安全基础设施统筹布局。</w:t>
            </w:r>
          </w:p>
          <w:p w14:paraId="3F0EF049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40" w:line="100" w:lineRule="atLeast"/>
              <w:textAlignment w:val="auto"/>
            </w:pPr>
            <w:r>
              <w:rPr>
                <w:rFonts w:ascii="PingFang SC" w:hAnsi="PingFang SC" w:eastAsia="PingFang SC" w:cs="PingFang SC"/>
                <w:sz w:val="18"/>
              </w:rPr>
              <w:t>第一版适宜性网格只能作为候选片区，不能直接等同于正式建设点位。</w:t>
            </w:r>
          </w:p>
          <w:p w14:paraId="652BA74F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40" w:line="100" w:lineRule="atLeast"/>
              <w:textAlignment w:val="auto"/>
            </w:pPr>
            <w:r>
              <w:rPr>
                <w:rFonts w:ascii="PingFang SC" w:hAnsi="PingFang SC" w:eastAsia="PingFang SC" w:cs="PingFang SC"/>
                <w:sz w:val="18"/>
              </w:rPr>
              <w:t>正式选址需补充禁飞区、净空、建筑高度、用地权属、电力接入和安全缓冲等约束。</w:t>
            </w:r>
          </w:p>
          <w:p w14:paraId="107FFD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40" w:line="100" w:lineRule="atLeast"/>
              <w:textAlignment w:val="auto"/>
            </w:pPr>
            <w:r>
              <w:rPr>
                <w:rFonts w:ascii="PingFang SC" w:hAnsi="PingFang SC" w:eastAsia="PingFang SC" w:cs="PingFang SC"/>
                <w:b/>
                <w:color w:val="2E74B5"/>
                <w:sz w:val="24"/>
              </w:rPr>
              <w:t>数据来源</w:t>
            </w:r>
          </w:p>
          <w:p w14:paraId="4D26F5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40" w:line="100" w:lineRule="atLeast"/>
              <w:textAlignment w:val="auto"/>
              <w:rPr>
                <w:rFonts w:ascii="PingFang SC" w:hAnsi="PingFang SC" w:eastAsia="PingFang SC" w:cs="PingFang SC"/>
                <w:sz w:val="17"/>
              </w:rPr>
            </w:pPr>
            <w:r>
              <w:rPr>
                <w:rFonts w:ascii="PingFang SC" w:hAnsi="PingFang SC" w:eastAsia="PingFang SC" w:cs="PingFang SC"/>
                <w:sz w:val="17"/>
              </w:rPr>
              <w:t>OSM/Geofabrik 安徽道路、水系、POI 与水体数据；ESA WorldCover 土地覆盖；WorldPop 2026 年 100m 人口栅格；2024 年夜间灯光栅格。</w:t>
            </w:r>
          </w:p>
          <w:p w14:paraId="2408D1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40" w:line="100" w:lineRule="atLeast"/>
              <w:textAlignment w:val="auto"/>
              <w:rPr>
                <w:rFonts w:hint="default" w:cs="PingFang SC"/>
                <w:b/>
                <w:color w:val="2E74B5"/>
                <w:sz w:val="24"/>
                <w:lang w:val="en-US" w:eastAsia="zh-CN"/>
              </w:rPr>
            </w:pPr>
            <w:r>
              <w:rPr>
                <w:rFonts w:hint="eastAsia" w:cs="PingFang SC"/>
                <w:b/>
                <w:color w:val="2E74B5"/>
                <w:sz w:val="24"/>
                <w:lang w:val="en-US" w:eastAsia="zh-CN"/>
              </w:rPr>
              <w:t>主要方法</w:t>
            </w:r>
          </w:p>
          <w:p w14:paraId="5AFC3C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40" w:line="100" w:lineRule="atLeast"/>
              <w:textAlignment w:val="auto"/>
              <w:rPr>
                <w:rFonts w:hint="default" w:ascii="PingFang SC Semibold" w:hAnsi="PingFang SC Semibold" w:eastAsia="PingFang SC Semibold" w:cs="PingFang SC Semibold"/>
                <w:b/>
                <w:bCs/>
                <w:sz w:val="17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b w:val="0"/>
                <w:bCs w:val="0"/>
                <w:sz w:val="17"/>
                <w:lang w:val="en-US" w:eastAsia="zh-CN"/>
              </w:rPr>
              <w:t>标准化处理、相关性分析、随机森林。</w:t>
            </w:r>
          </w:p>
        </w:tc>
      </w:tr>
    </w:tbl>
    <w:p w14:paraId="1FB23AE7"/>
    <w:tbl>
      <w:tblPr>
        <w:tblStyle w:val="32"/>
        <w:tblW w:w="0" w:type="auto"/>
        <w:jc w:val="center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0"/>
        <w:gridCol w:w="4800"/>
        <w:gridCol w:w="4800"/>
      </w:tblGrid>
      <w:tr w14:paraId="4746212A">
        <w:trPr>
          <w:jc w:val="center"/>
        </w:trPr>
        <w:tc>
          <w:tcPr>
            <w:tcW w:w="48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219CDFE">
            <w:pPr>
              <w:jc w:val="center"/>
            </w:pPr>
            <w:r>
              <w:drawing>
                <wp:inline distT="0" distB="0" distL="114300" distR="114300">
                  <wp:extent cx="1901190" cy="2681605"/>
                  <wp:effectExtent l="0" t="0" r="3810" b="1079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268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18A50">
            <w:pPr>
              <w:jc w:val="center"/>
            </w:pPr>
            <w:r>
              <w:rPr>
                <w:rFonts w:ascii="PingFang SC" w:hAnsi="PingFang SC" w:eastAsia="PingFang SC" w:cs="PingFang SC"/>
                <w:color w:val="5A5A5A"/>
                <w:sz w:val="17"/>
              </w:rPr>
              <w:t>巡查需求指数图</w:t>
            </w:r>
          </w:p>
        </w:tc>
        <w:tc>
          <w:tcPr>
            <w:tcW w:w="48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7CC22BA">
            <w:pPr>
              <w:jc w:val="center"/>
            </w:pPr>
            <w:r>
              <w:drawing>
                <wp:inline distT="0" distB="0" distL="114300" distR="114300">
                  <wp:extent cx="1887855" cy="2662555"/>
                  <wp:effectExtent l="0" t="0" r="17145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855" cy="266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56BF6">
            <w:pPr>
              <w:jc w:val="center"/>
            </w:pPr>
            <w:r>
              <w:rPr>
                <w:rFonts w:ascii="PingFang SC" w:hAnsi="PingFang SC" w:eastAsia="PingFang SC" w:cs="PingFang SC"/>
                <w:color w:val="5A5A5A"/>
                <w:sz w:val="17"/>
              </w:rPr>
              <w:t>起降点适宜性图</w:t>
            </w:r>
          </w:p>
        </w:tc>
        <w:tc>
          <w:tcPr>
            <w:tcW w:w="48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A5EC07C">
            <w:pPr>
              <w:jc w:val="center"/>
            </w:pPr>
            <w:r>
              <w:drawing>
                <wp:inline distT="0" distB="0" distL="114300" distR="114300">
                  <wp:extent cx="2331720" cy="1443990"/>
                  <wp:effectExtent l="0" t="0" r="508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444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2C7C8">
            <w:pPr>
              <w:jc w:val="center"/>
            </w:pPr>
            <w:r>
              <w:rPr>
                <w:rFonts w:ascii="PingFang SC" w:hAnsi="PingFang SC" w:eastAsia="PingFang SC" w:cs="PingFang SC"/>
                <w:color w:val="5A5A5A"/>
                <w:sz w:val="17"/>
              </w:rPr>
              <w:t>随机森林变量重要性</w:t>
            </w:r>
          </w:p>
        </w:tc>
      </w:tr>
    </w:tbl>
    <w:p w14:paraId="267206CA">
      <w:bookmarkStart w:id="0" w:name="_GoBack"/>
    </w:p>
    <w:bookmarkEnd w:id="0"/>
    <w:sectPr>
      <w:footerReference r:id="rId5" w:type="default"/>
      <w:pgSz w:w="15840" w:h="12240" w:orient="landscape"/>
      <w:pgMar w:top="720" w:right="720" w:bottom="720" w:left="720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F35233">
    <w:pPr>
      <w:pStyle w:val="24"/>
      <w:jc w:val="right"/>
    </w:pPr>
    <w:r>
      <w:rPr>
        <w:rFonts w:ascii="PingFang SC" w:hAnsi="PingFang SC" w:eastAsia="PingFang SC" w:cs="PingFang SC"/>
        <w:color w:val="5A5A5A"/>
        <w:sz w:val="16"/>
      </w:rPr>
      <w:t>low-altitude-urban-governance-pilot | 2026-07-10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9F7E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PingFang SC" w:hAnsi="PingFang SC" w:eastAsia="PingFang SC" w:cs="PingFang SC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449</Words>
  <Characters>550</Characters>
  <Lines>0</Lines>
  <Paragraphs>0</Paragraphs>
  <TotalTime>65</TotalTime>
  <ScaleCrop>false</ScaleCrop>
  <LinksUpToDate>false</LinksUpToDate>
  <CharactersWithSpaces>573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槎山小宝</cp:lastModifiedBy>
  <dcterms:modified xsi:type="dcterms:W3CDTF">2026-07-11T09:36:29Z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D441644E9F07F4431D9E516A5692E829_42</vt:lpwstr>
  </property>
</Properties>
</file>