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BE7D7" w14:textId="77777777" w:rsidR="002A5CEC" w:rsidRDefault="002A5CEC">
      <w:pPr>
        <w:pStyle w:val="Bod"/>
        <w:ind w:firstLine="0"/>
        <w:jc w:val="center"/>
        <w:rPr>
          <w:b/>
          <w:sz w:val="20"/>
        </w:rPr>
      </w:pPr>
      <w:r>
        <w:rPr>
          <w:b/>
          <w:sz w:val="20"/>
        </w:rPr>
        <w:t>SAAS SERVICES ORDER FORM</w:t>
      </w:r>
    </w:p>
    <w:tbl>
      <w:tblPr>
        <w:tblW w:w="995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40"/>
        <w:gridCol w:w="24"/>
        <w:gridCol w:w="4887"/>
      </w:tblGrid>
      <w:tr w:rsidR="002A5CEC" w14:paraId="076A7D22" w14:textId="77777777">
        <w:tc>
          <w:tcPr>
            <w:tcW w:w="5064" w:type="dxa"/>
            <w:gridSpan w:val="2"/>
          </w:tcPr>
          <w:p w14:paraId="0449F48E" w14:textId="3A01F539" w:rsidR="002A5CEC" w:rsidRDefault="002A5CEC">
            <w:pPr>
              <w:spacing w:before="120"/>
            </w:pPr>
            <w:r>
              <w:t>Customer:</w:t>
            </w:r>
            <w:r w:rsidR="001F6116">
              <w:t xml:space="preserve"> </w:t>
            </w:r>
            <w:r w:rsidR="004013CD">
              <w:t>OpenAI</w:t>
            </w:r>
            <w:r w:rsidR="00737460">
              <w:t>, Inc.</w:t>
            </w:r>
            <w:r w:rsidR="001F6116">
              <w:t xml:space="preserve"> </w:t>
            </w:r>
            <w:r>
              <w:tab/>
            </w:r>
            <w:r>
              <w:tab/>
            </w:r>
          </w:p>
        </w:tc>
        <w:tc>
          <w:tcPr>
            <w:tcW w:w="4887" w:type="dxa"/>
          </w:tcPr>
          <w:p w14:paraId="2437B013" w14:textId="394541F2" w:rsidR="002A5CEC" w:rsidRDefault="002A5CEC">
            <w:pPr>
              <w:spacing w:before="120"/>
            </w:pPr>
            <w:r>
              <w:t xml:space="preserve">Contact: </w:t>
            </w:r>
            <w:r w:rsidR="004013CD">
              <w:t>Sam Altman</w:t>
            </w:r>
          </w:p>
        </w:tc>
      </w:tr>
      <w:tr w:rsidR="002A5CEC" w14:paraId="5D5B9385" w14:textId="77777777">
        <w:tc>
          <w:tcPr>
            <w:tcW w:w="5064" w:type="dxa"/>
            <w:gridSpan w:val="2"/>
          </w:tcPr>
          <w:p w14:paraId="1B4F259F" w14:textId="4A244B0F" w:rsidR="002A5CEC" w:rsidRDefault="002A5CEC">
            <w:pPr>
              <w:spacing w:before="120"/>
            </w:pPr>
            <w:r>
              <w:t>Address:</w:t>
            </w:r>
            <w:r w:rsidR="001F6116">
              <w:t xml:space="preserve"> 123 </w:t>
            </w:r>
            <w:r w:rsidR="004013CD">
              <w:t>OpenAI</w:t>
            </w:r>
            <w:r w:rsidR="001F6116">
              <w:t xml:space="preserve"> Drive, San Francisco, CA - 94117</w:t>
            </w:r>
          </w:p>
        </w:tc>
        <w:tc>
          <w:tcPr>
            <w:tcW w:w="4887" w:type="dxa"/>
          </w:tcPr>
          <w:p w14:paraId="4662F4F1" w14:textId="77777777" w:rsidR="002A5CEC" w:rsidRDefault="002A5CEC">
            <w:pPr>
              <w:spacing w:before="120"/>
            </w:pPr>
            <w:r>
              <w:t xml:space="preserve">Phone: </w:t>
            </w:r>
            <w:r w:rsidR="001F6116">
              <w:t>630-888-8888</w:t>
            </w:r>
          </w:p>
        </w:tc>
      </w:tr>
      <w:tr w:rsidR="002A5CEC" w14:paraId="237C7F44" w14:textId="77777777">
        <w:tc>
          <w:tcPr>
            <w:tcW w:w="5064" w:type="dxa"/>
            <w:gridSpan w:val="2"/>
          </w:tcPr>
          <w:p w14:paraId="1D374A95" w14:textId="77777777" w:rsidR="002A5CEC" w:rsidRDefault="002A5CEC">
            <w:pPr>
              <w:spacing w:before="120"/>
            </w:pPr>
            <w:r>
              <w:t xml:space="preserve"> </w:t>
            </w:r>
          </w:p>
        </w:tc>
        <w:tc>
          <w:tcPr>
            <w:tcW w:w="4887" w:type="dxa"/>
          </w:tcPr>
          <w:p w14:paraId="6D34F3DE" w14:textId="664F6041" w:rsidR="002A5CEC" w:rsidRDefault="002A5CEC">
            <w:pPr>
              <w:spacing w:before="120"/>
            </w:pPr>
            <w:r>
              <w:t xml:space="preserve">E-Mail: </w:t>
            </w:r>
            <w:r w:rsidR="004013CD">
              <w:t>saltman</w:t>
            </w:r>
            <w:r w:rsidR="001F6116">
              <w:t>@</w:t>
            </w:r>
            <w:r w:rsidR="004013CD">
              <w:t>openai</w:t>
            </w:r>
            <w:r w:rsidR="001F6116">
              <w:t>.com</w:t>
            </w:r>
          </w:p>
        </w:tc>
      </w:tr>
      <w:tr w:rsidR="002A5CEC" w14:paraId="1A0E74EA" w14:textId="77777777">
        <w:tc>
          <w:tcPr>
            <w:tcW w:w="9951" w:type="dxa"/>
            <w:gridSpan w:val="3"/>
          </w:tcPr>
          <w:p w14:paraId="7A2B11AA" w14:textId="77777777" w:rsidR="002A5CEC" w:rsidRDefault="002A5CEC">
            <w:pPr>
              <w:pStyle w:val="Header"/>
              <w:tabs>
                <w:tab w:val="clear" w:pos="4320"/>
                <w:tab w:val="clear" w:pos="8640"/>
              </w:tabs>
              <w:jc w:val="both"/>
              <w:rPr>
                <w:b/>
              </w:rPr>
            </w:pPr>
          </w:p>
          <w:p w14:paraId="6151AF47" w14:textId="77777777" w:rsidR="002A5CEC" w:rsidRDefault="002A5CEC">
            <w:pPr>
              <w:pStyle w:val="Header"/>
              <w:jc w:val="both"/>
            </w:pPr>
            <w:r>
              <w:rPr>
                <w:b/>
              </w:rPr>
              <w:t>Services</w:t>
            </w:r>
            <w:r>
              <w:t xml:space="preserve">: </w:t>
            </w:r>
            <w:r>
              <w:rPr>
                <w:b/>
                <w:i/>
                <w:highlight w:val="yellow"/>
              </w:rPr>
              <w:t>[Name and briefly describe services here]</w:t>
            </w:r>
            <w:r>
              <w:rPr>
                <w:b/>
                <w:i/>
              </w:rPr>
              <w:t xml:space="preserve"> ___________ </w:t>
            </w:r>
            <w:r>
              <w:t>(the “Service(s)”).</w:t>
            </w:r>
          </w:p>
          <w:p w14:paraId="15BE0EB0" w14:textId="77777777" w:rsidR="002A5CEC" w:rsidRDefault="002A5CEC">
            <w:pPr>
              <w:pStyle w:val="Header"/>
              <w:jc w:val="both"/>
            </w:pPr>
            <w:r>
              <w:t xml:space="preserve"> </w:t>
            </w:r>
            <w:r>
              <w:rPr>
                <w:b/>
                <w:i/>
              </w:rPr>
              <w:t xml:space="preserve">  </w:t>
            </w:r>
          </w:p>
          <w:p w14:paraId="37462BE3" w14:textId="77777777" w:rsidR="002A5CEC" w:rsidRDefault="002A5CEC">
            <w:pPr>
              <w:pStyle w:val="Header"/>
              <w:tabs>
                <w:tab w:val="clear" w:pos="4320"/>
                <w:tab w:val="clear" w:pos="8640"/>
              </w:tabs>
            </w:pPr>
          </w:p>
        </w:tc>
      </w:tr>
      <w:tr w:rsidR="002A5CEC" w14:paraId="74F4C40C" w14:textId="77777777">
        <w:tc>
          <w:tcPr>
            <w:tcW w:w="5040" w:type="dxa"/>
          </w:tcPr>
          <w:p w14:paraId="37A7F97E" w14:textId="0A2D7A24" w:rsidR="002A5CEC" w:rsidRDefault="002A5CEC" w:rsidP="002A5CEC">
            <w:pPr>
              <w:spacing w:before="120"/>
              <w:jc w:val="both"/>
            </w:pPr>
            <w:r>
              <w:rPr>
                <w:b/>
              </w:rPr>
              <w:t>Services Fees</w:t>
            </w:r>
            <w:r>
              <w:t>:  $</w:t>
            </w:r>
            <w:r w:rsidR="00ED0BB7">
              <w:t>54,250</w:t>
            </w:r>
            <w:r w:rsidR="001F6116">
              <w:t xml:space="preserve"> </w:t>
            </w:r>
            <w:r w:rsidRPr="00AF1AA9">
              <w:t xml:space="preserve">per </w:t>
            </w:r>
            <w:r w:rsidRPr="00DB472A">
              <w:t>month, payable in advance</w:t>
            </w:r>
            <w:r w:rsidRPr="00AF1AA9">
              <w:t>, subject to the terms of Section 4 herein</w:t>
            </w:r>
            <w:r>
              <w:t>.</w:t>
            </w:r>
          </w:p>
        </w:tc>
        <w:tc>
          <w:tcPr>
            <w:tcW w:w="4911" w:type="dxa"/>
            <w:gridSpan w:val="2"/>
          </w:tcPr>
          <w:p w14:paraId="421B315D" w14:textId="3944C1A7" w:rsidR="002A5CEC" w:rsidRDefault="002A5CEC">
            <w:pPr>
              <w:spacing w:before="120"/>
            </w:pPr>
            <w:r>
              <w:rPr>
                <w:b/>
              </w:rPr>
              <w:t>Initial Service Term</w:t>
            </w:r>
            <w:r>
              <w:t xml:space="preserve">:  </w:t>
            </w:r>
            <w:r w:rsidR="00ED0BB7">
              <w:t>1</w:t>
            </w:r>
            <w:r w:rsidR="001F6116">
              <w:t xml:space="preserve"> years</w:t>
            </w:r>
          </w:p>
          <w:p w14:paraId="2841876A" w14:textId="77777777" w:rsidR="002A5CEC" w:rsidRDefault="002A5CEC">
            <w:pPr>
              <w:spacing w:before="120"/>
              <w:jc w:val="both"/>
            </w:pPr>
          </w:p>
        </w:tc>
      </w:tr>
      <w:tr w:rsidR="002A5CEC" w14:paraId="645DB8FE" w14:textId="77777777">
        <w:tc>
          <w:tcPr>
            <w:tcW w:w="9951" w:type="dxa"/>
            <w:gridSpan w:val="3"/>
          </w:tcPr>
          <w:p w14:paraId="6D11F8B1" w14:textId="77777777" w:rsidR="002A5CEC" w:rsidRPr="00DB472A" w:rsidRDefault="002A5CEC">
            <w:pPr>
              <w:spacing w:before="120"/>
              <w:jc w:val="both"/>
            </w:pPr>
            <w:r>
              <w:rPr>
                <w:b/>
              </w:rPr>
              <w:t xml:space="preserve">Service Capacity: </w:t>
            </w:r>
            <w:r>
              <w:rPr>
                <w:highlight w:val="yellow"/>
              </w:rPr>
              <w:t>___________________</w:t>
            </w:r>
            <w:proofErr w:type="gramStart"/>
            <w:r>
              <w:t xml:space="preserve">   </w:t>
            </w:r>
            <w:r>
              <w:rPr>
                <w:b/>
                <w:i/>
                <w:highlight w:val="yellow"/>
              </w:rPr>
              <w:t>[</w:t>
            </w:r>
            <w:proofErr w:type="gramEnd"/>
            <w:r>
              <w:rPr>
                <w:b/>
                <w:i/>
                <w:highlight w:val="yellow"/>
              </w:rPr>
              <w:t xml:space="preserve">Note: include any limits on usage.]  </w:t>
            </w:r>
          </w:p>
          <w:p w14:paraId="657E9390" w14:textId="77777777" w:rsidR="002A5CEC" w:rsidRDefault="002A5CEC">
            <w:pPr>
              <w:spacing w:before="120"/>
              <w:jc w:val="both"/>
              <w:rPr>
                <w:b/>
                <w:i/>
              </w:rPr>
            </w:pPr>
            <w:r>
              <w:rPr>
                <w:b/>
                <w:i/>
                <w:highlight w:val="yellow"/>
              </w:rPr>
              <w:t>Also, if additional fees will be required for overages, include details here or in fees section above]</w:t>
            </w:r>
          </w:p>
          <w:p w14:paraId="43EFDF7E" w14:textId="77777777" w:rsidR="002A5CEC" w:rsidRDefault="002A5CEC">
            <w:pPr>
              <w:spacing w:before="120"/>
              <w:jc w:val="both"/>
              <w:rPr>
                <w:b/>
              </w:rPr>
            </w:pPr>
          </w:p>
        </w:tc>
      </w:tr>
      <w:tr w:rsidR="002A5CEC" w14:paraId="55E11E5E" w14:textId="77777777">
        <w:tc>
          <w:tcPr>
            <w:tcW w:w="9951" w:type="dxa"/>
            <w:gridSpan w:val="3"/>
          </w:tcPr>
          <w:p w14:paraId="7A8EC867" w14:textId="77777777" w:rsidR="002A5CEC" w:rsidRDefault="002A5CEC">
            <w:pPr>
              <w:spacing w:before="120"/>
              <w:jc w:val="both"/>
            </w:pPr>
            <w:r>
              <w:rPr>
                <w:b/>
              </w:rPr>
              <w:t>Implementation Services</w:t>
            </w:r>
            <w:r>
              <w:t>:  Company will use commercially reasonable efforts to provide Customer the services described in the Statement of Work (“SOW”) attached as Exhibit A hereto (“Implementation Services”), and Customer shall pay Company the Implementation Fee in accordance with the terms herein.</w:t>
            </w:r>
          </w:p>
          <w:p w14:paraId="52AB1958" w14:textId="77777777" w:rsidR="002A5CEC" w:rsidRDefault="002A5CEC">
            <w:pPr>
              <w:spacing w:before="120"/>
              <w:jc w:val="both"/>
            </w:pPr>
            <w:r>
              <w:rPr>
                <w:b/>
              </w:rPr>
              <w:t>Implementation Fee (one-time)</w:t>
            </w:r>
            <w:r>
              <w:t>:  $____________</w:t>
            </w:r>
          </w:p>
          <w:p w14:paraId="08F81D76" w14:textId="77777777" w:rsidR="002A5CEC" w:rsidRDefault="002A5CEC" w:rsidP="002A5CEC">
            <w:pPr>
              <w:spacing w:before="120"/>
              <w:jc w:val="both"/>
            </w:pPr>
            <w:r w:rsidRPr="00DF57A1">
              <w:rPr>
                <w:b/>
                <w:i/>
                <w:highlight w:val="yellow"/>
              </w:rPr>
              <w:t>[</w:t>
            </w:r>
            <w:r>
              <w:rPr>
                <w:b/>
                <w:i/>
                <w:highlight w:val="yellow"/>
              </w:rPr>
              <w:t>OPTIONAL</w:t>
            </w:r>
            <w:r w:rsidRPr="00DF57A1">
              <w:rPr>
                <w:b/>
                <w:i/>
                <w:highlight w:val="yellow"/>
              </w:rPr>
              <w:t xml:space="preserve">: </w:t>
            </w:r>
            <w:r>
              <w:rPr>
                <w:b/>
                <w:i/>
                <w:highlight w:val="yellow"/>
              </w:rPr>
              <w:t xml:space="preserve">If you delete this section, remove any reference to </w:t>
            </w:r>
            <w:r w:rsidRPr="00DF57A1">
              <w:rPr>
                <w:b/>
                <w:i/>
                <w:highlight w:val="yellow"/>
              </w:rPr>
              <w:t>“</w:t>
            </w:r>
            <w:r>
              <w:rPr>
                <w:b/>
                <w:i/>
                <w:highlight w:val="yellow"/>
              </w:rPr>
              <w:t>Implementation</w:t>
            </w:r>
            <w:r w:rsidRPr="00DF57A1">
              <w:rPr>
                <w:b/>
                <w:i/>
                <w:highlight w:val="yellow"/>
              </w:rPr>
              <w:t xml:space="preserve"> Services” in the </w:t>
            </w:r>
            <w:r>
              <w:rPr>
                <w:b/>
                <w:i/>
                <w:highlight w:val="yellow"/>
              </w:rPr>
              <w:t>Terms and Conditions</w:t>
            </w:r>
            <w:r w:rsidRPr="00DF57A1">
              <w:rPr>
                <w:b/>
                <w:i/>
                <w:highlight w:val="yellow"/>
              </w:rPr>
              <w:t>]</w:t>
            </w:r>
            <w:r>
              <w:t xml:space="preserve">  </w:t>
            </w:r>
          </w:p>
          <w:p w14:paraId="318EFF33" w14:textId="77777777" w:rsidR="002A5CEC" w:rsidRDefault="002A5CEC" w:rsidP="002A5CEC">
            <w:pPr>
              <w:spacing w:before="120"/>
              <w:jc w:val="both"/>
              <w:rPr>
                <w:b/>
                <w:i/>
              </w:rPr>
            </w:pPr>
          </w:p>
        </w:tc>
      </w:tr>
      <w:tr w:rsidR="002A5CEC" w14:paraId="6F326CC5" w14:textId="77777777">
        <w:tc>
          <w:tcPr>
            <w:tcW w:w="9951" w:type="dxa"/>
            <w:gridSpan w:val="3"/>
          </w:tcPr>
          <w:p w14:paraId="3856E9FE" w14:textId="77777777" w:rsidR="002A5CEC" w:rsidRDefault="002A5CEC">
            <w:pPr>
              <w:spacing w:before="120"/>
              <w:jc w:val="both"/>
            </w:pPr>
            <w:r>
              <w:rPr>
                <w:b/>
              </w:rPr>
              <w:t>Pilot Use</w:t>
            </w:r>
            <w:r>
              <w:t xml:space="preserve">: Check here_____ if Services use during the Pilot Period will be restricted to non-productive evaluation use.  If so, then, notwithstanding anything else, in connection with such pilot/evaluation use (1) no fees will apply, except for any Pilot Use Fee specified below, (2) the Services are provided “AS IS” and no warranty obligations of Company will apply, and (3) Customer may terminate this Agreement and all of its rights hereunder by providing Company written notice thereof no less than 10 days prior to the end of the Pilot Period; otherwise, this Agreement shall continue in effect for the Initial Service Term (subject to earlier termination as provided in the Agreement).  </w:t>
            </w:r>
          </w:p>
          <w:p w14:paraId="795B9A0C" w14:textId="77777777" w:rsidR="002A5CEC" w:rsidRPr="002F506F" w:rsidRDefault="002A5CEC">
            <w:pPr>
              <w:spacing w:before="120"/>
              <w:jc w:val="both"/>
              <w:rPr>
                <w:b/>
                <w:i/>
              </w:rPr>
            </w:pPr>
            <w:r w:rsidRPr="002F506F">
              <w:rPr>
                <w:b/>
                <w:i/>
                <w:highlight w:val="yellow"/>
              </w:rPr>
              <w:t>[</w:t>
            </w:r>
            <w:r>
              <w:rPr>
                <w:b/>
                <w:i/>
                <w:highlight w:val="yellow"/>
              </w:rPr>
              <w:t>OPTIONAL:  delete this section if you are not offering a pilot</w:t>
            </w:r>
            <w:r w:rsidRPr="002F506F">
              <w:rPr>
                <w:b/>
                <w:i/>
                <w:highlight w:val="yellow"/>
              </w:rPr>
              <w:t>]</w:t>
            </w:r>
          </w:p>
          <w:p w14:paraId="4A31CA53" w14:textId="77777777" w:rsidR="002A5CEC" w:rsidRDefault="002A5CEC">
            <w:pPr>
              <w:spacing w:before="120"/>
              <w:jc w:val="both"/>
              <w:rPr>
                <w:b/>
              </w:rPr>
            </w:pPr>
            <w:r>
              <w:rPr>
                <w:b/>
              </w:rPr>
              <w:t>Pilot Period</w:t>
            </w:r>
            <w:proofErr w:type="gramStart"/>
            <w:r>
              <w:rPr>
                <w:b/>
              </w:rPr>
              <w:t xml:space="preserve">:  </w:t>
            </w:r>
            <w:r>
              <w:rPr>
                <w:b/>
                <w:highlight w:val="yellow"/>
              </w:rPr>
              <w:t>[</w:t>
            </w:r>
            <w:proofErr w:type="gramEnd"/>
            <w:r>
              <w:rPr>
                <w:b/>
                <w:highlight w:val="yellow"/>
              </w:rPr>
              <w:t>Sixty (60) days]</w:t>
            </w:r>
          </w:p>
          <w:p w14:paraId="732BB7AD" w14:textId="77777777" w:rsidR="002A5CEC" w:rsidRDefault="002A5CEC" w:rsidP="002A5CEC">
            <w:pPr>
              <w:spacing w:before="120"/>
              <w:jc w:val="both"/>
              <w:rPr>
                <w:b/>
              </w:rPr>
            </w:pPr>
            <w:r>
              <w:rPr>
                <w:b/>
              </w:rPr>
              <w:t xml:space="preserve">Pilot Use Fee: </w:t>
            </w:r>
            <w:r>
              <w:rPr>
                <w:b/>
                <w:highlight w:val="yellow"/>
              </w:rPr>
              <w:t>[$XXX]</w:t>
            </w:r>
          </w:p>
        </w:tc>
      </w:tr>
    </w:tbl>
    <w:p w14:paraId="7C83A43E" w14:textId="77777777" w:rsidR="002A5CEC" w:rsidRDefault="002A5CEC" w:rsidP="002A5CEC">
      <w:pPr>
        <w:pStyle w:val="Caption"/>
        <w:jc w:val="left"/>
      </w:pPr>
    </w:p>
    <w:p w14:paraId="6140E744" w14:textId="77777777" w:rsidR="002A5CEC" w:rsidRDefault="002A5CEC">
      <w:pPr>
        <w:pStyle w:val="Caption"/>
      </w:pPr>
      <w:r>
        <w:t>SAAS SERVICES AGREEMENT</w:t>
      </w:r>
    </w:p>
    <w:p w14:paraId="11F50894" w14:textId="77777777" w:rsidR="002A5CEC" w:rsidRDefault="002A5CEC">
      <w:pPr>
        <w:spacing w:before="120"/>
        <w:jc w:val="both"/>
      </w:pPr>
      <w:r>
        <w:t xml:space="preserve">This SaaS Services Agreement (“Agreement”) is entered into on this </w:t>
      </w:r>
      <w:r w:rsidR="00A639DA">
        <w:t>16</w:t>
      </w:r>
      <w:r w:rsidR="001F6116" w:rsidRPr="001F6116">
        <w:rPr>
          <w:vertAlign w:val="superscript"/>
        </w:rPr>
        <w:t>th</w:t>
      </w:r>
      <w:r w:rsidR="001F6116">
        <w:t xml:space="preserve"> </w:t>
      </w:r>
      <w:r>
        <w:t xml:space="preserve">day of </w:t>
      </w:r>
      <w:proofErr w:type="gramStart"/>
      <w:r w:rsidR="00A639DA">
        <w:t>July</w:t>
      </w:r>
      <w:r>
        <w:t>,</w:t>
      </w:r>
      <w:proofErr w:type="gramEnd"/>
      <w:r>
        <w:t xml:space="preserve"> </w:t>
      </w:r>
      <w:r w:rsidR="00A639DA">
        <w:t>2023</w:t>
      </w:r>
      <w:r>
        <w:t xml:space="preserve"> (the “Effective Date”) between </w:t>
      </w:r>
      <w:r w:rsidR="001F6116">
        <w:t>Docsum, Inc.</w:t>
      </w:r>
      <w:r>
        <w:t xml:space="preserve"> with a place of business at </w:t>
      </w:r>
      <w:r w:rsidR="001F6116">
        <w:t>137 Parker Avenue Easton, PA - 18042</w:t>
      </w:r>
      <w:r>
        <w:t xml:space="preserve"> (“Company”), and the Customer listed above (“Customer”).  </w:t>
      </w:r>
      <w:r>
        <w:rPr>
          <w:u w:val="single"/>
        </w:rPr>
        <w:t>This Agreement includes and incorporates the above Order Form, as well as the attached Terms and Conditions and contains, among other things, warranty disclaimers, liability limitations and use limitations.</w:t>
      </w:r>
      <w:r>
        <w:t xml:space="preserve">  There shall be no force or effect to any different terms of any related purchase order or similar form even if signed by the parties after the date hereof.  </w:t>
      </w:r>
    </w:p>
    <w:p w14:paraId="0056C653" w14:textId="39B92679" w:rsidR="002A5CEC" w:rsidRDefault="001F6116">
      <w:pPr>
        <w:spacing w:before="120"/>
        <w:rPr>
          <w:b/>
        </w:rPr>
      </w:pPr>
      <w:r>
        <w:rPr>
          <w:b/>
        </w:rPr>
        <w:t>Docsum, Inc.</w:t>
      </w:r>
      <w:r>
        <w:rPr>
          <w:b/>
        </w:rPr>
        <w:tab/>
      </w:r>
      <w:r w:rsidR="002A5CEC">
        <w:rPr>
          <w:b/>
        </w:rPr>
        <w:tab/>
      </w:r>
      <w:r w:rsidR="002A5CEC">
        <w:rPr>
          <w:b/>
        </w:rPr>
        <w:tab/>
      </w:r>
      <w:r w:rsidR="002A5CEC">
        <w:rPr>
          <w:b/>
        </w:rPr>
        <w:tab/>
      </w:r>
      <w:r w:rsidR="002A5CEC">
        <w:rPr>
          <w:b/>
        </w:rPr>
        <w:tab/>
      </w:r>
      <w:r w:rsidR="004013CD">
        <w:rPr>
          <w:b/>
        </w:rPr>
        <w:t>OpenAI</w:t>
      </w:r>
      <w:r>
        <w:rPr>
          <w:b/>
        </w:rPr>
        <w:t>, Inc.</w:t>
      </w:r>
    </w:p>
    <w:p w14:paraId="1C03063E" w14:textId="77777777" w:rsidR="00475904" w:rsidRDefault="00475904">
      <w:pPr>
        <w:spacing w:before="120"/>
        <w:rPr>
          <w:b/>
        </w:rPr>
      </w:pPr>
    </w:p>
    <w:p w14:paraId="3B1332D2" w14:textId="77777777" w:rsidR="002A5CEC" w:rsidRDefault="002A5CEC">
      <w:pPr>
        <w:spacing w:before="120"/>
      </w:pPr>
      <w:r>
        <w:t>By:</w:t>
      </w:r>
      <w:r>
        <w:rPr>
          <w:u w:val="single"/>
        </w:rPr>
        <w:tab/>
      </w:r>
      <w:r>
        <w:rPr>
          <w:u w:val="single"/>
        </w:rPr>
        <w:tab/>
      </w:r>
      <w:r>
        <w:rPr>
          <w:u w:val="single"/>
        </w:rPr>
        <w:tab/>
      </w:r>
      <w:r>
        <w:rPr>
          <w:u w:val="single"/>
        </w:rPr>
        <w:tab/>
      </w:r>
      <w:r>
        <w:rPr>
          <w:u w:val="single"/>
        </w:rPr>
        <w:tab/>
      </w:r>
      <w:r>
        <w:tab/>
        <w:t xml:space="preserve">By: </w:t>
      </w:r>
      <w:r>
        <w:rPr>
          <w:u w:val="single"/>
        </w:rPr>
        <w:tab/>
      </w:r>
      <w:r>
        <w:rPr>
          <w:u w:val="single"/>
        </w:rPr>
        <w:tab/>
      </w:r>
      <w:r>
        <w:rPr>
          <w:u w:val="single"/>
        </w:rPr>
        <w:tab/>
      </w:r>
      <w:r>
        <w:rPr>
          <w:u w:val="single"/>
        </w:rPr>
        <w:tab/>
      </w:r>
      <w:r>
        <w:rPr>
          <w:u w:val="single"/>
        </w:rPr>
        <w:tab/>
      </w:r>
      <w:r>
        <w:rPr>
          <w:u w:val="single"/>
        </w:rPr>
        <w:tab/>
      </w:r>
    </w:p>
    <w:p w14:paraId="6A91704A" w14:textId="722380C6" w:rsidR="002A5CEC" w:rsidRDefault="002A5CEC">
      <w:pPr>
        <w:spacing w:before="120"/>
        <w:rPr>
          <w:u w:val="single"/>
        </w:rPr>
      </w:pPr>
      <w:r>
        <w:t>Name:</w:t>
      </w:r>
      <w:r>
        <w:rPr>
          <w:u w:val="single"/>
        </w:rPr>
        <w:tab/>
      </w:r>
      <w:r w:rsidR="001F6116">
        <w:rPr>
          <w:u w:val="single"/>
        </w:rPr>
        <w:t>Shaunak Turaga</w:t>
      </w:r>
      <w:r>
        <w:rPr>
          <w:u w:val="single"/>
        </w:rPr>
        <w:tab/>
      </w:r>
      <w:r>
        <w:rPr>
          <w:u w:val="single"/>
        </w:rPr>
        <w:tab/>
      </w:r>
      <w:r>
        <w:rPr>
          <w:u w:val="single"/>
        </w:rPr>
        <w:tab/>
      </w:r>
      <w:r>
        <w:tab/>
        <w:t>Name:</w:t>
      </w:r>
      <w:r>
        <w:rPr>
          <w:u w:val="single"/>
        </w:rPr>
        <w:tab/>
      </w:r>
      <w:r w:rsidR="004013CD">
        <w:rPr>
          <w:u w:val="single"/>
        </w:rPr>
        <w:t>Sam Altman</w:t>
      </w:r>
      <w:r w:rsidR="004013CD">
        <w:rPr>
          <w:u w:val="single"/>
        </w:rPr>
        <w:tab/>
      </w:r>
      <w:r>
        <w:rPr>
          <w:u w:val="single"/>
        </w:rPr>
        <w:tab/>
      </w:r>
      <w:r>
        <w:rPr>
          <w:u w:val="single"/>
        </w:rPr>
        <w:tab/>
      </w:r>
      <w:r>
        <w:rPr>
          <w:u w:val="single"/>
        </w:rPr>
        <w:tab/>
      </w:r>
    </w:p>
    <w:p w14:paraId="688DA417" w14:textId="77777777" w:rsidR="002A5CEC" w:rsidRDefault="002A5CEC">
      <w:pPr>
        <w:spacing w:before="120"/>
        <w:rPr>
          <w:b/>
        </w:rPr>
        <w:sectPr w:rsidR="002A5CEC">
          <w:footerReference w:type="even" r:id="rId7"/>
          <w:footerReference w:type="default" r:id="rId8"/>
          <w:footerReference w:type="first" r:id="rId9"/>
          <w:endnotePr>
            <w:numFmt w:val="decimal"/>
          </w:endnotePr>
          <w:pgSz w:w="12240" w:h="15840" w:code="1"/>
          <w:pgMar w:top="1440" w:right="1440" w:bottom="1440" w:left="1440" w:header="432" w:footer="432" w:gutter="0"/>
          <w:cols w:space="720"/>
          <w:titlePg/>
        </w:sectPr>
      </w:pPr>
      <w:r>
        <w:t>Title:</w:t>
      </w:r>
      <w:r>
        <w:rPr>
          <w:u w:val="single"/>
        </w:rPr>
        <w:tab/>
      </w:r>
      <w:r w:rsidR="001F6116">
        <w:rPr>
          <w:u w:val="single"/>
        </w:rPr>
        <w:t>CEO</w:t>
      </w:r>
      <w:r>
        <w:rPr>
          <w:u w:val="single"/>
        </w:rPr>
        <w:tab/>
      </w:r>
      <w:r>
        <w:rPr>
          <w:u w:val="single"/>
        </w:rPr>
        <w:tab/>
      </w:r>
      <w:r>
        <w:rPr>
          <w:u w:val="single"/>
        </w:rPr>
        <w:tab/>
      </w:r>
      <w:r>
        <w:rPr>
          <w:u w:val="single"/>
        </w:rPr>
        <w:tab/>
      </w:r>
      <w:r>
        <w:tab/>
        <w:t xml:space="preserve">Title: </w:t>
      </w:r>
      <w:r>
        <w:rPr>
          <w:u w:val="single"/>
        </w:rPr>
        <w:tab/>
      </w:r>
      <w:r w:rsidR="001F6116">
        <w:rPr>
          <w:u w:val="single"/>
        </w:rPr>
        <w:t>CEO</w:t>
      </w:r>
      <w:r>
        <w:rPr>
          <w:u w:val="single"/>
        </w:rPr>
        <w:tab/>
      </w:r>
      <w:r>
        <w:rPr>
          <w:u w:val="single"/>
        </w:rPr>
        <w:tab/>
      </w:r>
      <w:r>
        <w:rPr>
          <w:u w:val="single"/>
        </w:rPr>
        <w:tab/>
      </w:r>
      <w:r>
        <w:rPr>
          <w:u w:val="single"/>
        </w:rPr>
        <w:tab/>
      </w:r>
      <w:r>
        <w:rPr>
          <w:u w:val="single"/>
        </w:rPr>
        <w:tab/>
      </w:r>
    </w:p>
    <w:p w14:paraId="1CDD0510" w14:textId="77777777" w:rsidR="002A5CEC" w:rsidRDefault="002A5CEC">
      <w:pPr>
        <w:pStyle w:val="Title"/>
        <w:widowControl/>
        <w:spacing w:after="120"/>
        <w:sectPr w:rsidR="002A5CEC">
          <w:footerReference w:type="default" r:id="rId10"/>
          <w:footerReference w:type="first" r:id="rId11"/>
          <w:endnotePr>
            <w:numFmt w:val="decimal"/>
          </w:endnotePr>
          <w:pgSz w:w="12240" w:h="15840"/>
          <w:pgMar w:top="1440" w:right="720" w:bottom="1440" w:left="720" w:header="720" w:footer="720" w:gutter="0"/>
          <w:cols w:space="720"/>
          <w:titlePg/>
        </w:sectPr>
      </w:pPr>
      <w:r>
        <w:lastRenderedPageBreak/>
        <w:t>TERMS AND CONDITIONS</w:t>
      </w:r>
    </w:p>
    <w:p w14:paraId="6617F035" w14:textId="77777777" w:rsidR="002A5CEC" w:rsidRDefault="002A5CEC">
      <w:pPr>
        <w:pStyle w:val="Heading3"/>
        <w:rPr>
          <w:sz w:val="20"/>
        </w:rPr>
      </w:pPr>
      <w:r>
        <w:rPr>
          <w:sz w:val="20"/>
        </w:rPr>
        <w:t>SAAS SERVICES AND SUPPORT</w:t>
      </w:r>
    </w:p>
    <w:p w14:paraId="3F670057" w14:textId="77777777" w:rsidR="002A5CEC" w:rsidRDefault="002A5CEC">
      <w:pPr>
        <w:pStyle w:val="Heading4"/>
        <w:rPr>
          <w:sz w:val="20"/>
        </w:rPr>
      </w:pPr>
      <w:r>
        <w:rPr>
          <w:sz w:val="20"/>
        </w:rPr>
        <w:t>Subject to the terms of this Agreement, Company will use commercially reasonable efforts to provide Customer the Services [</w:t>
      </w:r>
      <w:r w:rsidRPr="009253F1">
        <w:rPr>
          <w:sz w:val="20"/>
          <w:highlight w:val="yellow"/>
        </w:rPr>
        <w:t>in accordance with the Service Level Terms attached hereto as Exhibit B</w:t>
      </w:r>
      <w:r>
        <w:rPr>
          <w:sz w:val="20"/>
        </w:rPr>
        <w:t xml:space="preserve">].  </w:t>
      </w:r>
      <w:r>
        <w:rPr>
          <w:b/>
          <w:i/>
          <w:sz w:val="20"/>
          <w:highlight w:val="yellow"/>
        </w:rPr>
        <w:t>[</w:t>
      </w:r>
      <w:proofErr w:type="gramStart"/>
      <w:r>
        <w:rPr>
          <w:b/>
          <w:i/>
          <w:sz w:val="20"/>
          <w:highlight w:val="yellow"/>
        </w:rPr>
        <w:t>OPTIONAL</w:t>
      </w:r>
      <w:r w:rsidRPr="00BB5BE1">
        <w:rPr>
          <w:b/>
          <w:i/>
          <w:sz w:val="20"/>
          <w:highlight w:val="yellow"/>
        </w:rPr>
        <w:t xml:space="preserve"> ]</w:t>
      </w:r>
      <w:proofErr w:type="gramEnd"/>
      <w:r>
        <w:rPr>
          <w:sz w:val="20"/>
        </w:rPr>
        <w:t xml:space="preserve">  As part of the registration process, Customer will identify an administrative user name and password for Customer’s Company account.  Company reserves the right to refuse registration </w:t>
      </w:r>
      <w:proofErr w:type="gramStart"/>
      <w:r>
        <w:rPr>
          <w:sz w:val="20"/>
        </w:rPr>
        <w:t>of, or</w:t>
      </w:r>
      <w:proofErr w:type="gramEnd"/>
      <w:r>
        <w:rPr>
          <w:sz w:val="20"/>
        </w:rPr>
        <w:t xml:space="preserve"> cancel passwords it deems inappropriate.</w:t>
      </w:r>
    </w:p>
    <w:p w14:paraId="6D84D056" w14:textId="77777777" w:rsidR="002A5CEC" w:rsidRDefault="002A5CEC">
      <w:pPr>
        <w:pStyle w:val="Heading4"/>
        <w:rPr>
          <w:sz w:val="20"/>
        </w:rPr>
      </w:pPr>
      <w:r>
        <w:rPr>
          <w:sz w:val="20"/>
        </w:rPr>
        <w:t xml:space="preserve">Subject to the terms hereof, Company will provide Customer with reasonable technical support services in accordance with the terms set forth in Exhibit C.  </w:t>
      </w:r>
      <w:r>
        <w:rPr>
          <w:b/>
          <w:i/>
          <w:sz w:val="20"/>
          <w:highlight w:val="yellow"/>
        </w:rPr>
        <w:t>[OPTIONAL: As an alternative, some companies simply include a commitment to provide support “in accordance with Company’s standard practice…”]</w:t>
      </w:r>
    </w:p>
    <w:p w14:paraId="1B395F11" w14:textId="77777777" w:rsidR="002A5CEC" w:rsidRDefault="002A5CEC">
      <w:pPr>
        <w:pStyle w:val="Heading3"/>
        <w:rPr>
          <w:sz w:val="20"/>
        </w:rPr>
      </w:pPr>
      <w:r>
        <w:rPr>
          <w:sz w:val="20"/>
        </w:rPr>
        <w:t>RESTRICTIONS AND RESPONSIBILITIES</w:t>
      </w:r>
    </w:p>
    <w:p w14:paraId="0300D157" w14:textId="77777777" w:rsidR="002A5CEC" w:rsidRPr="008C23F9" w:rsidRDefault="002A5CEC" w:rsidP="002A5CEC">
      <w:pPr>
        <w:pStyle w:val="Heading4"/>
        <w:rPr>
          <w:b/>
          <w:i/>
          <w:sz w:val="20"/>
        </w:rPr>
      </w:pPr>
      <w:r>
        <w:rPr>
          <w:sz w:val="20"/>
        </w:rP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w:t>
      </w:r>
      <w:r w:rsidRPr="008C23F9">
        <w:rPr>
          <w:sz w:val="20"/>
        </w:rPr>
        <w:t xml:space="preserve">for the benefit of a third; or remove any proprietary notices or labels.  </w:t>
      </w:r>
      <w:r w:rsidRPr="008C23F9">
        <w:rPr>
          <w:sz w:val="20"/>
          <w:highlight w:val="yellow"/>
        </w:rPr>
        <w:t>With respect to any Software that is distributed or provided to Customer for use on Customer premises</w:t>
      </w:r>
      <w:r>
        <w:rPr>
          <w:sz w:val="20"/>
          <w:highlight w:val="yellow"/>
        </w:rPr>
        <w:t xml:space="preserve"> or devices</w:t>
      </w:r>
      <w:r w:rsidRPr="008C23F9">
        <w:rPr>
          <w:sz w:val="20"/>
          <w:highlight w:val="yellow"/>
        </w:rPr>
        <w:t xml:space="preserve">, Company hereby grants Customer a non-exclusive, non-transferable, non-sublicensable license to use such Software </w:t>
      </w:r>
      <w:r>
        <w:rPr>
          <w:sz w:val="20"/>
          <w:highlight w:val="yellow"/>
        </w:rPr>
        <w:t xml:space="preserve">during the Term </w:t>
      </w:r>
      <w:r w:rsidRPr="008C23F9">
        <w:rPr>
          <w:sz w:val="20"/>
          <w:highlight w:val="yellow"/>
        </w:rPr>
        <w:t>only in connection with the Services.</w:t>
      </w:r>
      <w:r w:rsidRPr="008C23F9">
        <w:rPr>
          <w:sz w:val="20"/>
        </w:rPr>
        <w:t xml:space="preserve"> </w:t>
      </w:r>
      <w:r w:rsidRPr="008C23F9">
        <w:rPr>
          <w:b/>
          <w:i/>
          <w:sz w:val="20"/>
          <w:highlight w:val="yellow"/>
        </w:rPr>
        <w:t>[</w:t>
      </w:r>
      <w:r>
        <w:rPr>
          <w:b/>
          <w:i/>
          <w:sz w:val="20"/>
          <w:highlight w:val="yellow"/>
        </w:rPr>
        <w:t>OPTIONAL: if there is no distributed software, this clause can be deleted.</w:t>
      </w:r>
      <w:r w:rsidRPr="008C23F9">
        <w:rPr>
          <w:b/>
          <w:i/>
          <w:sz w:val="20"/>
          <w:highlight w:val="yellow"/>
        </w:rPr>
        <w:t>]</w:t>
      </w:r>
      <w:r w:rsidRPr="008C23F9">
        <w:rPr>
          <w:sz w:val="20"/>
        </w:rPr>
        <w:t xml:space="preserve">  </w:t>
      </w:r>
    </w:p>
    <w:p w14:paraId="516BB8FE" w14:textId="77777777" w:rsidR="002A5CEC" w:rsidRPr="008C23F9" w:rsidRDefault="002A5CEC" w:rsidP="002A5CEC">
      <w:pPr>
        <w:pStyle w:val="Heading4"/>
        <w:rPr>
          <w:b/>
          <w:i/>
          <w:sz w:val="20"/>
        </w:rPr>
      </w:pPr>
      <w:r>
        <w:rPr>
          <w:sz w:val="20"/>
        </w:rPr>
        <w:t xml:space="preserve">Further, </w:t>
      </w:r>
      <w:r w:rsidRPr="000954AA">
        <w:rPr>
          <w:sz w:val="20"/>
        </w:rPr>
        <w:t>Customer may not remove or export from the United States or allow the export or re-export of the Services, Software or anything related thereto, or any direct product thereof in violation of any restrictions, laws or regulations of the United States Department of Commerce, the United States Department of Treasury Office of Foreign Assets Control, or any other United States or foreign agency or authority.  As defined in FAR section 2.101, the Software and documentation are “commercial items” and according to DFAR section 252.227</w:t>
      </w:r>
      <w:r w:rsidRPr="000954AA">
        <w:rPr>
          <w:sz w:val="20"/>
        </w:rPr>
        <w:noBreakHyphen/>
        <w:t>7014(a)(1) and (5) are deemed to be “commercial computer software” and “commercial computer software documentation.”  Consistent with DFAR section 227.7202 and FAR section 12.212, any use modification, reproduction, release, performance, display, or disclosure of such commercial software or commercial software documentation by the U.S. Government will be governed solely by the terms of this Agreement and will be prohibited except to the extent expressly permitted by the terms of this Agreement.</w:t>
      </w:r>
      <w:r w:rsidRPr="00EE0ECA">
        <w:rPr>
          <w:b/>
          <w:i/>
          <w:sz w:val="20"/>
          <w:highlight w:val="yellow"/>
        </w:rPr>
        <w:t xml:space="preserve">[Note: export and government rights clauses are typically less important for pure hosted solutions, </w:t>
      </w:r>
      <w:r w:rsidRPr="00EE0ECA">
        <w:rPr>
          <w:b/>
          <w:i/>
          <w:sz w:val="20"/>
          <w:highlight w:val="yellow"/>
        </w:rPr>
        <w:t>but there are still some potential triggers with certain kinds of technical information (and if there is any client-side code).]</w:t>
      </w:r>
      <w:r>
        <w:rPr>
          <w:sz w:val="20"/>
        </w:rPr>
        <w:t xml:space="preserve">  </w:t>
      </w:r>
    </w:p>
    <w:p w14:paraId="2CA4BF92" w14:textId="77777777" w:rsidR="002A5CEC" w:rsidRDefault="002A5CEC">
      <w:pPr>
        <w:pStyle w:val="Heading4"/>
        <w:rPr>
          <w:sz w:val="20"/>
        </w:rPr>
      </w:pPr>
      <w:r>
        <w:rPr>
          <w:sz w:val="20"/>
        </w:rPr>
        <w:t>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w:t>
      </w:r>
      <w:proofErr w:type="gramStart"/>
      <w:r>
        <w:rPr>
          <w:sz w:val="20"/>
        </w:rPr>
        <w:t>.]</w:t>
      </w:r>
      <w:r w:rsidRPr="00412333">
        <w:rPr>
          <w:b/>
          <w:i/>
          <w:sz w:val="20"/>
          <w:highlight w:val="yellow"/>
        </w:rPr>
        <w:t>[</w:t>
      </w:r>
      <w:proofErr w:type="gramEnd"/>
      <w:r w:rsidRPr="00412333">
        <w:rPr>
          <w:b/>
          <w:i/>
          <w:sz w:val="20"/>
          <w:highlight w:val="yellow"/>
        </w:rPr>
        <w:t xml:space="preserve">Note: many larger customers resist these types of indemnity clauses.  The decision on </w:t>
      </w:r>
      <w:proofErr w:type="gramStart"/>
      <w:r w:rsidRPr="00412333">
        <w:rPr>
          <w:b/>
          <w:i/>
          <w:sz w:val="20"/>
          <w:highlight w:val="yellow"/>
        </w:rPr>
        <w:t>whether or not</w:t>
      </w:r>
      <w:proofErr w:type="gramEnd"/>
      <w:r w:rsidRPr="00412333">
        <w:rPr>
          <w:b/>
          <w:i/>
          <w:sz w:val="20"/>
          <w:highlight w:val="yellow"/>
        </w:rPr>
        <w:t xml:space="preserve"> to include this clause may depend on the type of solution and potential commercial risk actually posed by Customer’s usage</w:t>
      </w:r>
      <w:r>
        <w:rPr>
          <w:b/>
          <w:i/>
          <w:sz w:val="20"/>
          <w:highlight w:val="yellow"/>
        </w:rPr>
        <w:t>.</w:t>
      </w:r>
      <w:r w:rsidRPr="00412333">
        <w:rPr>
          <w:b/>
          <w:i/>
          <w:sz w:val="20"/>
          <w:highlight w:val="yellow"/>
        </w:rPr>
        <w:t>]</w:t>
      </w:r>
      <w:r>
        <w:rPr>
          <w:sz w:val="20"/>
        </w:rPr>
        <w:t xml:space="preserve"> Although Company has no obligation to monitor Customer’s use of the Services, Company may do so and may prohibit any use of the Services it believes may be (or alleged to be) in violation of the foregoing.</w:t>
      </w:r>
    </w:p>
    <w:p w14:paraId="4755FF9B" w14:textId="77777777" w:rsidR="002A5CEC" w:rsidRDefault="002A5CEC">
      <w:pPr>
        <w:pStyle w:val="Heading4"/>
        <w:rPr>
          <w:sz w:val="20"/>
        </w:rPr>
      </w:pPr>
      <w:r>
        <w:rPr>
          <w:sz w:val="20"/>
        </w:rPr>
        <w:t>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p w14:paraId="493BC6A8" w14:textId="77777777" w:rsidR="002A5CEC" w:rsidRDefault="002A5CEC">
      <w:pPr>
        <w:pStyle w:val="Heading3"/>
        <w:rPr>
          <w:sz w:val="20"/>
        </w:rPr>
      </w:pPr>
      <w:r>
        <w:rPr>
          <w:sz w:val="20"/>
        </w:rPr>
        <w:t>CONFIDENTIALITY; PROPRIETARY RIGHTS</w:t>
      </w:r>
    </w:p>
    <w:p w14:paraId="154103B6" w14:textId="77777777" w:rsidR="002A5CEC" w:rsidRDefault="002A5CEC">
      <w:pPr>
        <w:rPr>
          <w:b/>
          <w:i/>
        </w:rPr>
      </w:pPr>
    </w:p>
    <w:p w14:paraId="7A380713" w14:textId="77777777" w:rsidR="002A5CEC" w:rsidRDefault="002A5CEC">
      <w:pPr>
        <w:pStyle w:val="Heading4"/>
        <w:rPr>
          <w:b/>
          <w:i/>
          <w:sz w:val="20"/>
        </w:rPr>
      </w:pPr>
      <w:r>
        <w:rPr>
          <w:sz w:val="20"/>
        </w:rPr>
        <w:t xml:space="preserve">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w:t>
      </w:r>
      <w:r w:rsidRPr="00DB472A">
        <w:rPr>
          <w:sz w:val="20"/>
        </w:rPr>
        <w:t>Proprietary Information of Customer includes non-public data provided by Customer to Company to enable the provision of the Services (“Customer Data”)</w:t>
      </w:r>
      <w:r w:rsidRPr="001F3831">
        <w:rPr>
          <w:sz w:val="20"/>
        </w:rPr>
        <w:t>.</w:t>
      </w:r>
      <w:r>
        <w:rPr>
          <w:sz w:val="20"/>
        </w:rPr>
        <w:t xml:space="preserve"> The Receiving Party agrees: (</w:t>
      </w:r>
      <w:proofErr w:type="spellStart"/>
      <w:r>
        <w:rPr>
          <w:sz w:val="20"/>
        </w:rPr>
        <w:t>i</w:t>
      </w:r>
      <w:proofErr w:type="spellEnd"/>
      <w:r>
        <w:rPr>
          <w:sz w:val="20"/>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any information that the Receiving Party can document (a) is or becomes generally available to the public, or (b) was in its possession or known by </w:t>
      </w:r>
      <w:proofErr w:type="spellStart"/>
      <w:r>
        <w:rPr>
          <w:sz w:val="20"/>
        </w:rPr>
        <w:t>it</w:t>
      </w:r>
      <w:proofErr w:type="spellEnd"/>
      <w:r>
        <w:rPr>
          <w:sz w:val="20"/>
        </w:rPr>
        <w:t xml:space="preserve"> prior to receipt from the Disclosing Party, or (c) was rightfully disclosed to it without restriction by a third party, or (d) was independently developed without use of </w:t>
      </w:r>
      <w:r>
        <w:rPr>
          <w:sz w:val="20"/>
        </w:rPr>
        <w:lastRenderedPageBreak/>
        <w:t xml:space="preserve">any Proprietary Information of the Disclosing Party or (e) is required to be disclosed by law.  </w:t>
      </w:r>
    </w:p>
    <w:p w14:paraId="52745950" w14:textId="77777777" w:rsidR="002A5CEC" w:rsidRDefault="002A5CEC">
      <w:pPr>
        <w:pStyle w:val="Heading4"/>
        <w:rPr>
          <w:b/>
          <w:i/>
          <w:sz w:val="20"/>
        </w:rPr>
      </w:pPr>
      <w:r>
        <w:rPr>
          <w:sz w:val="20"/>
        </w:rPr>
        <w:t xml:space="preserve">Customer shall own all right, title and interest in and to the Customer </w:t>
      </w:r>
      <w:proofErr w:type="gramStart"/>
      <w:r>
        <w:rPr>
          <w:sz w:val="20"/>
        </w:rPr>
        <w:t>Data[</w:t>
      </w:r>
      <w:proofErr w:type="gramEnd"/>
      <w:r>
        <w:rPr>
          <w:sz w:val="20"/>
        </w:rPr>
        <w:t>, as well as any data that is based on or derived from the Customer Data and provided to Customer as part of the Services</w:t>
      </w:r>
      <w:r w:rsidRPr="00DB472A">
        <w:rPr>
          <w:sz w:val="20"/>
        </w:rPr>
        <w:t>]</w:t>
      </w:r>
      <w:r w:rsidRPr="00EE0ECA">
        <w:rPr>
          <w:b/>
          <w:i/>
          <w:sz w:val="20"/>
          <w:highlight w:val="yellow"/>
        </w:rPr>
        <w:t>[</w:t>
      </w:r>
      <w:r>
        <w:rPr>
          <w:b/>
          <w:i/>
          <w:sz w:val="20"/>
          <w:highlight w:val="yellow"/>
        </w:rPr>
        <w:t>OPTIONAL</w:t>
      </w:r>
      <w:r w:rsidRPr="00EE0ECA">
        <w:rPr>
          <w:b/>
          <w:i/>
          <w:sz w:val="20"/>
          <w:highlight w:val="yellow"/>
        </w:rPr>
        <w:t>: this grant of rights to derivative data may not be appropriate in all cases</w:t>
      </w:r>
      <w:r>
        <w:rPr>
          <w:b/>
          <w:i/>
          <w:sz w:val="20"/>
          <w:highlight w:val="yellow"/>
        </w:rPr>
        <w:t>.  Some SaaS companies prefer to keep ownership of derived data and list it below (at least as a starting point for negotiation.</w:t>
      </w:r>
      <w:r w:rsidRPr="00EE0ECA">
        <w:rPr>
          <w:b/>
          <w:i/>
          <w:sz w:val="20"/>
          <w:highlight w:val="yellow"/>
        </w:rPr>
        <w:t>]</w:t>
      </w:r>
      <w:r>
        <w:rPr>
          <w:sz w:val="20"/>
        </w:rPr>
        <w:t xml:space="preserve">.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w:t>
      </w:r>
    </w:p>
    <w:p w14:paraId="5493442D" w14:textId="77777777" w:rsidR="002A5CEC" w:rsidRDefault="002A5CEC">
      <w:pPr>
        <w:pStyle w:val="Heading4"/>
        <w:rPr>
          <w:b/>
          <w:i/>
          <w:sz w:val="20"/>
        </w:rPr>
      </w:pPr>
      <w:r>
        <w:rPr>
          <w:sz w:val="20"/>
        </w:rPr>
        <w:t>[Notwithstanding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therefrom), and  Company will be free (during and after the term hereof) to (</w:t>
      </w:r>
      <w:proofErr w:type="spellStart"/>
      <w:r>
        <w:rPr>
          <w:sz w:val="20"/>
        </w:rPr>
        <w:t>i</w:t>
      </w:r>
      <w:proofErr w:type="spellEnd"/>
      <w:r>
        <w:rPr>
          <w:sz w:val="20"/>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w:t>
      </w:r>
      <w:r w:rsidRPr="00FC336A">
        <w:rPr>
          <w:b/>
          <w:i/>
          <w:sz w:val="20"/>
          <w:highlight w:val="yellow"/>
        </w:rPr>
        <w:t xml:space="preserve">[Note: it is important to determine what data rights are necessary for </w:t>
      </w:r>
      <w:r>
        <w:rPr>
          <w:b/>
          <w:i/>
          <w:sz w:val="20"/>
          <w:highlight w:val="yellow"/>
        </w:rPr>
        <w:t xml:space="preserve">the </w:t>
      </w:r>
      <w:r w:rsidRPr="00FC336A">
        <w:rPr>
          <w:b/>
          <w:i/>
          <w:sz w:val="20"/>
          <w:highlight w:val="yellow"/>
        </w:rPr>
        <w:t>company going forward and adjust this language as appropriate]</w:t>
      </w:r>
      <w:r>
        <w:rPr>
          <w:sz w:val="20"/>
        </w:rPr>
        <w:t xml:space="preserve">  No rights or licenses are granted except as expressly set forth herein.   </w:t>
      </w:r>
    </w:p>
    <w:p w14:paraId="30AB64B1" w14:textId="77777777" w:rsidR="002A5CEC" w:rsidRDefault="002A5CEC">
      <w:pPr>
        <w:pStyle w:val="Heading3"/>
        <w:rPr>
          <w:sz w:val="20"/>
        </w:rPr>
      </w:pPr>
      <w:r>
        <w:rPr>
          <w:sz w:val="20"/>
        </w:rPr>
        <w:t>PAYMENT OF FEES</w:t>
      </w:r>
    </w:p>
    <w:p w14:paraId="3A4294D2" w14:textId="77777777" w:rsidR="002A5CEC" w:rsidRDefault="002A5CEC">
      <w:pPr>
        <w:pStyle w:val="Heading4"/>
        <w:rPr>
          <w:sz w:val="20"/>
        </w:rPr>
      </w:pPr>
      <w:r>
        <w:rPr>
          <w:sz w:val="20"/>
        </w:rPr>
        <w:t xml:space="preserve">Customer will pay Company the then applicable fees described in the Order Form for the Services and Implementation Services in accordance with the terms therein (the “Fees”).  </w:t>
      </w:r>
      <w:r w:rsidRPr="00DB472A">
        <w:rPr>
          <w:sz w:val="20"/>
        </w:rPr>
        <w:t>If Customer’s use of the Services exceeds the Service Capacity set forth on the Order Form or otherwise</w:t>
      </w:r>
      <w:r>
        <w:rPr>
          <w:sz w:val="20"/>
        </w:rPr>
        <w:t xml:space="preserv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w:t>
      </w:r>
      <w:r w:rsidRPr="00DB472A">
        <w:rPr>
          <w:sz w:val="20"/>
        </w:rPr>
        <w:t>and Fees at the end of the Initial Service Term or then</w:t>
      </w:r>
      <w:r w:rsidRPr="00DB472A">
        <w:rPr>
          <w:sz w:val="20"/>
        </w:rPr>
        <w:noBreakHyphen/>
        <w:t>current renewal term, upon thirty (30) days prior notice to Customer (which may be sent by email</w:t>
      </w:r>
      <w:r w:rsidRPr="001F3831">
        <w:rPr>
          <w:sz w:val="20"/>
        </w:rPr>
        <w:t>).</w:t>
      </w:r>
      <w:r>
        <w:rPr>
          <w:sz w:val="20"/>
        </w:rPr>
        <w:t xml:space="preserve"> If Customer believes that Company has billed Customer incorrectly, Customer must contact Company no later than 60 days after the closing date on the first billing statement in which the error or problem appeared, </w:t>
      </w:r>
      <w:proofErr w:type="gramStart"/>
      <w:r>
        <w:rPr>
          <w:sz w:val="20"/>
        </w:rPr>
        <w:t>in order to</w:t>
      </w:r>
      <w:proofErr w:type="gramEnd"/>
      <w:r>
        <w:rPr>
          <w:sz w:val="20"/>
        </w:rPr>
        <w:t xml:space="preserve"> receive an adjustment or credit.  Inquiries should be directed to Company’s customer support department.</w:t>
      </w:r>
    </w:p>
    <w:p w14:paraId="275410CF" w14:textId="77777777" w:rsidR="002A5CEC" w:rsidRDefault="002A5CEC" w:rsidP="002A5CEC">
      <w:pPr>
        <w:pStyle w:val="Heading4"/>
      </w:pPr>
      <w:r>
        <w:rPr>
          <w:sz w:val="20"/>
        </w:rPr>
        <w:t xml:space="preserve">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w:t>
      </w:r>
      <w:r>
        <w:rPr>
          <w:sz w:val="20"/>
        </w:rPr>
        <w:t>maximum permitted by law, whichever is lower, plus all expenses of collection and may result in immediate termination of Service. Customer shall be responsible for all taxes associated with Services other than U.S. taxes based on Company’s net income.</w:t>
      </w:r>
      <w:r>
        <w:t xml:space="preserve">  </w:t>
      </w:r>
    </w:p>
    <w:p w14:paraId="5F15AAD7" w14:textId="77777777" w:rsidR="002A5CEC" w:rsidRDefault="002A5CEC">
      <w:pPr>
        <w:pStyle w:val="Heading3"/>
        <w:rPr>
          <w:sz w:val="20"/>
        </w:rPr>
      </w:pPr>
      <w:r>
        <w:rPr>
          <w:sz w:val="20"/>
        </w:rPr>
        <w:t>TERM AND TERMINATION</w:t>
      </w:r>
    </w:p>
    <w:p w14:paraId="5D47EB8C" w14:textId="77777777" w:rsidR="002A5CEC" w:rsidRDefault="002A5CEC">
      <w:pPr>
        <w:pStyle w:val="Heading4"/>
        <w:rPr>
          <w:sz w:val="20"/>
        </w:rPr>
      </w:pPr>
      <w:r>
        <w:rPr>
          <w:sz w:val="20"/>
        </w:rPr>
        <w:t xml:space="preserve">Subject to earlier termination as provided below, this Agreement is for the Initial Service Term as specified in the Order </w:t>
      </w:r>
      <w:proofErr w:type="gramStart"/>
      <w:r>
        <w:rPr>
          <w:sz w:val="20"/>
        </w:rPr>
        <w:t>Form, and</w:t>
      </w:r>
      <w:proofErr w:type="gramEnd"/>
      <w:r>
        <w:rPr>
          <w:sz w:val="20"/>
        </w:rPr>
        <w:t xml:space="preserve"> shall be automatically renewed for additional periods of the same duration as the Initial Service Term (collectively, the “Term”), unless either party requests termination at least thirty (30) days prior to the end of the then-current term.</w:t>
      </w:r>
    </w:p>
    <w:p w14:paraId="2B2433DA" w14:textId="77777777" w:rsidR="002A5CEC" w:rsidRDefault="002A5CEC">
      <w:pPr>
        <w:pStyle w:val="Heading4"/>
        <w:rPr>
          <w:sz w:val="20"/>
        </w:rPr>
      </w:pPr>
      <w:r>
        <w:rPr>
          <w:sz w:val="20"/>
        </w:rPr>
        <w:t xml:space="preserve">In addition to any other </w:t>
      </w:r>
      <w:proofErr w:type="gramStart"/>
      <w:r>
        <w:rPr>
          <w:sz w:val="20"/>
        </w:rPr>
        <w:t>remedies</w:t>
      </w:r>
      <w:proofErr w:type="gramEnd"/>
      <w:r>
        <w:rPr>
          <w:sz w:val="20"/>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w:t>
      </w:r>
      <w:r>
        <w:rPr>
          <w:sz w:val="20"/>
          <w:highlight w:val="yellow"/>
        </w:rPr>
        <w:t>Upon any termination, Company will make all Customer Data available to Customer for electronic retrieval for a period of thirty (30) days, but thereafter Company may, but is not obligated to, delete stored Customer Data.</w:t>
      </w:r>
      <w:r>
        <w:rPr>
          <w:sz w:val="20"/>
        </w:rPr>
        <w:t xml:space="preserve">] </w:t>
      </w:r>
      <w:r>
        <w:rPr>
          <w:b/>
          <w:i/>
          <w:sz w:val="20"/>
          <w:highlight w:val="yellow"/>
        </w:rPr>
        <w:t xml:space="preserve">[Confirm appropriate language for </w:t>
      </w:r>
      <w:proofErr w:type="gramStart"/>
      <w:r>
        <w:rPr>
          <w:b/>
          <w:i/>
          <w:sz w:val="20"/>
          <w:highlight w:val="yellow"/>
        </w:rPr>
        <w:t>customer  data</w:t>
      </w:r>
      <w:proofErr w:type="gramEnd"/>
      <w:r>
        <w:rPr>
          <w:b/>
          <w:i/>
          <w:sz w:val="20"/>
          <w:highlight w:val="yellow"/>
        </w:rPr>
        <w:t xml:space="preserve"> retrieval upon termination, if applicable (or remove)]</w:t>
      </w:r>
      <w:r>
        <w:rPr>
          <w:sz w:val="20"/>
        </w:rPr>
        <w:t xml:space="preserve">  All sections of this Agreement which by their nature should survive termination will survive termination, including, without limitation, accrued rights to payment, confidentiality obligations, warranty disclaimers, and limitations of liability. </w:t>
      </w:r>
    </w:p>
    <w:p w14:paraId="26E5EB71" w14:textId="77777777" w:rsidR="002A5CEC" w:rsidRDefault="002A5CEC">
      <w:pPr>
        <w:pStyle w:val="Heading3"/>
        <w:rPr>
          <w:sz w:val="20"/>
        </w:rPr>
      </w:pPr>
      <w:r>
        <w:rPr>
          <w:sz w:val="20"/>
        </w:rPr>
        <w:t>WARRANTY AND DISCLAIMER</w:t>
      </w:r>
    </w:p>
    <w:p w14:paraId="5D861F32" w14:textId="77777777" w:rsidR="002A5CEC" w:rsidRDefault="002A5CEC">
      <w:pPr>
        <w:pStyle w:val="Bod"/>
        <w:rPr>
          <w:sz w:val="20"/>
        </w:rPr>
      </w:pPr>
      <w:r>
        <w:rPr>
          <w:sz w:val="20"/>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r>
        <w:rPr>
          <w:caps/>
          <w:sz w:val="20"/>
        </w:rPr>
        <w:t>However, Company does not warrant that the Services will be uninterrupted or error free; nor does it make any warranty as to the results that may be obtained from use of the Services.</w:t>
      </w:r>
      <w:r>
        <w:rPr>
          <w:b/>
          <w:i/>
          <w:sz w:val="20"/>
        </w:rPr>
        <w:t xml:space="preserve">  </w:t>
      </w:r>
      <w:r>
        <w:rPr>
          <w:sz w:val="20"/>
        </w:rPr>
        <w:t>EXCEPT AS EXPRESSLY SET FORTH IN THIS SECTION, THE SERVICES AND IMPLEMENTATION SERVICES ARE PROVIDED “AS IS” AND COMPANY DISCLAIMS ALL WARRANTIES, EXPRESS OR IMPLIED, INCLUDING, BUT NOT LIMITED TO, IMPLIED WARRANTIES OF MERCHANTABILITY AND FITNESS FOR A PARTICULAR PURPOSE AND NON-INFRINGEMENT.</w:t>
      </w:r>
    </w:p>
    <w:p w14:paraId="7D67B680" w14:textId="77777777" w:rsidR="002A5CEC" w:rsidRDefault="002A5CEC" w:rsidP="002A5CEC">
      <w:pPr>
        <w:pStyle w:val="Heading3"/>
        <w:numPr>
          <w:ilvl w:val="0"/>
          <w:numId w:val="0"/>
        </w:numPr>
        <w:rPr>
          <w:sz w:val="20"/>
        </w:rPr>
      </w:pPr>
    </w:p>
    <w:p w14:paraId="0ED13793" w14:textId="77777777" w:rsidR="002A5CEC" w:rsidRDefault="002A5CEC">
      <w:pPr>
        <w:pStyle w:val="Heading3"/>
        <w:rPr>
          <w:sz w:val="20"/>
        </w:rPr>
      </w:pPr>
      <w:r>
        <w:rPr>
          <w:sz w:val="20"/>
        </w:rPr>
        <w:lastRenderedPageBreak/>
        <w:t xml:space="preserve">INDEMNITY </w:t>
      </w:r>
    </w:p>
    <w:p w14:paraId="0B4DCB9C" w14:textId="77777777" w:rsidR="002A5CEC" w:rsidRDefault="002A5CEC" w:rsidP="002A5CEC">
      <w:pPr>
        <w:pStyle w:val="Heading3"/>
        <w:numPr>
          <w:ilvl w:val="0"/>
          <w:numId w:val="0"/>
        </w:numPr>
        <w:rPr>
          <w:sz w:val="20"/>
        </w:rPr>
      </w:pPr>
      <w:r w:rsidRPr="005D7C62">
        <w:rPr>
          <w:i/>
          <w:sz w:val="20"/>
          <w:highlight w:val="yellow"/>
        </w:rPr>
        <w:t>[</w:t>
      </w:r>
      <w:r>
        <w:rPr>
          <w:i/>
          <w:sz w:val="20"/>
          <w:highlight w:val="yellow"/>
        </w:rPr>
        <w:t>OPTIONAL</w:t>
      </w:r>
      <w:r w:rsidRPr="005D7C62">
        <w:rPr>
          <w:i/>
          <w:sz w:val="20"/>
          <w:highlight w:val="yellow"/>
        </w:rPr>
        <w:t xml:space="preserve">: </w:t>
      </w:r>
      <w:r>
        <w:rPr>
          <w:i/>
          <w:sz w:val="20"/>
          <w:highlight w:val="yellow"/>
        </w:rPr>
        <w:t xml:space="preserve">many </w:t>
      </w:r>
      <w:r w:rsidRPr="005D7C62">
        <w:rPr>
          <w:i/>
          <w:sz w:val="20"/>
          <w:highlight w:val="yellow"/>
        </w:rPr>
        <w:t xml:space="preserve">start-up companies choose not to offer indemnity as a starting point – particularly for very </w:t>
      </w:r>
      <w:proofErr w:type="gramStart"/>
      <w:r w:rsidRPr="005D7C62">
        <w:rPr>
          <w:i/>
          <w:sz w:val="20"/>
          <w:highlight w:val="yellow"/>
        </w:rPr>
        <w:t>low cost</w:t>
      </w:r>
      <w:proofErr w:type="gramEnd"/>
      <w:r w:rsidRPr="005D7C62">
        <w:rPr>
          <w:i/>
          <w:sz w:val="20"/>
          <w:highlight w:val="yellow"/>
        </w:rPr>
        <w:t xml:space="preserve"> services</w:t>
      </w:r>
      <w:r>
        <w:rPr>
          <w:i/>
          <w:sz w:val="20"/>
          <w:highlight w:val="yellow"/>
        </w:rPr>
        <w:t xml:space="preserve">. Otherwise, the formulation below is a </w:t>
      </w:r>
      <w:proofErr w:type="gramStart"/>
      <w:r>
        <w:rPr>
          <w:i/>
          <w:sz w:val="20"/>
          <w:highlight w:val="yellow"/>
        </w:rPr>
        <w:t>fairly Company-favorable</w:t>
      </w:r>
      <w:proofErr w:type="gramEnd"/>
      <w:r>
        <w:rPr>
          <w:i/>
          <w:sz w:val="20"/>
          <w:highlight w:val="yellow"/>
        </w:rPr>
        <w:t xml:space="preserve"> indemnity provision.</w:t>
      </w:r>
      <w:r w:rsidRPr="005D7C62">
        <w:rPr>
          <w:i/>
          <w:sz w:val="20"/>
          <w:highlight w:val="yellow"/>
        </w:rPr>
        <w:t>]</w:t>
      </w:r>
    </w:p>
    <w:p w14:paraId="4288E4E8" w14:textId="77777777" w:rsidR="002A5CEC" w:rsidRPr="005D7C62" w:rsidRDefault="002A5CEC" w:rsidP="002A5CEC">
      <w:pPr>
        <w:ind w:firstLine="720"/>
        <w:jc w:val="both"/>
        <w:rPr>
          <w:b/>
          <w:i/>
        </w:rPr>
      </w:pPr>
      <w:r w:rsidRPr="00003020">
        <w:t xml:space="preserve">Company shall hold </w:t>
      </w:r>
      <w:r>
        <w:t>Customer</w:t>
      </w:r>
      <w:r w:rsidRPr="00003020">
        <w:t xml:space="preserve"> harmless from liability to third parties resulting from infringement by </w:t>
      </w:r>
      <w:r>
        <w:t xml:space="preserve">the Service </w:t>
      </w:r>
      <w:r w:rsidRPr="00003020">
        <w:t>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w:t>
      </w:r>
      <w:r>
        <w:t>ns do not apply with respect to</w:t>
      </w:r>
      <w:r w:rsidRPr="00003020">
        <w:t xml:space="preserve"> portions or components of</w:t>
      </w:r>
      <w:r>
        <w:t xml:space="preserve"> the Service</w:t>
      </w:r>
      <w:r w:rsidRPr="00003020">
        <w:t xml:space="preserve"> (</w:t>
      </w:r>
      <w:proofErr w:type="spellStart"/>
      <w:r w:rsidRPr="00003020">
        <w:t>i</w:t>
      </w:r>
      <w:proofErr w:type="spellEnd"/>
      <w:r w:rsidRPr="00003020">
        <w:t xml:space="preserve">) not supplied by Company, (ii) made in whole or in part in accordance </w:t>
      </w:r>
      <w:r>
        <w:t>with</w:t>
      </w:r>
      <w:r w:rsidRPr="00003020">
        <w:t xml:space="preserve"> </w:t>
      </w:r>
      <w:r>
        <w:t>Customer</w:t>
      </w:r>
      <w:r w:rsidRPr="00003020">
        <w:t xml:space="preserve"> specifications, (iii) that are modified after delivery by Company, (iv) combined with other products, processes or materials where the alleged infringement relates to such combination, (v) where </w:t>
      </w:r>
      <w:r>
        <w:t>Customer</w:t>
      </w:r>
      <w:r w:rsidRPr="00003020">
        <w:t xml:space="preserve"> continues allegedly infringing activity after being notified thereof or after being informed of modifications that would have avoided the alleged infringement, or (vi) where </w:t>
      </w:r>
      <w:r>
        <w:t xml:space="preserve">Customer’s use of the Service </w:t>
      </w:r>
      <w:r w:rsidRPr="00003020">
        <w:t>is not strictly in accordance with this Agreement.</w:t>
      </w:r>
      <w:r>
        <w:t xml:space="preserve">  </w:t>
      </w:r>
      <w:r w:rsidRPr="00FC3F3A">
        <w:t xml:space="preserve">If, due to a </w:t>
      </w:r>
      <w:r>
        <w:t>c</w:t>
      </w:r>
      <w:r w:rsidRPr="00FC3F3A">
        <w:t>laim</w:t>
      </w:r>
      <w:r>
        <w:t xml:space="preserve"> of infringement</w:t>
      </w:r>
      <w:r w:rsidRPr="00FC3F3A">
        <w:t xml:space="preserve">, the </w:t>
      </w:r>
      <w:r>
        <w:t xml:space="preserve">Services </w:t>
      </w:r>
      <w:r w:rsidRPr="00FC3F3A">
        <w:t xml:space="preserve">are held by a court of competent jurisdiction to be or are believed by </w:t>
      </w:r>
      <w:r>
        <w:t xml:space="preserve">Company </w:t>
      </w:r>
      <w:r w:rsidRPr="00FC3F3A">
        <w:t xml:space="preserve">to </w:t>
      </w:r>
      <w:r>
        <w:t xml:space="preserve">be </w:t>
      </w:r>
      <w:r w:rsidRPr="00FC3F3A">
        <w:t>infring</w:t>
      </w:r>
      <w:r>
        <w:t>ing</w:t>
      </w:r>
      <w:r w:rsidRPr="00FC3F3A">
        <w:t xml:space="preserve">, </w:t>
      </w:r>
      <w:r>
        <w:t xml:space="preserve">Company </w:t>
      </w:r>
      <w:r w:rsidRPr="00FC3F3A">
        <w:t>may</w:t>
      </w:r>
      <w:r>
        <w:t xml:space="preserve">, </w:t>
      </w:r>
      <w:r w:rsidRPr="00FC3F3A">
        <w:t xml:space="preserve">at its </w:t>
      </w:r>
      <w:r>
        <w:t xml:space="preserve">option and </w:t>
      </w:r>
      <w:r w:rsidRPr="00FC3F3A">
        <w:t xml:space="preserve">expense (a) replace or modify the </w:t>
      </w:r>
      <w:r>
        <w:t xml:space="preserve">Service </w:t>
      </w:r>
      <w:r w:rsidRPr="00FC3F3A">
        <w:t xml:space="preserve">to be non-infringing provided that such modification or replacement contains substantially similar features and functionality, (b) obtain for </w:t>
      </w:r>
      <w:r>
        <w:t xml:space="preserve">Customer </w:t>
      </w:r>
      <w:r w:rsidRPr="00FC3F3A">
        <w:t xml:space="preserve">a license to continue using the </w:t>
      </w:r>
      <w:r>
        <w:t xml:space="preserve">Service, </w:t>
      </w:r>
      <w:r w:rsidRPr="00FC3F3A">
        <w:t>or</w:t>
      </w:r>
      <w:r>
        <w:t xml:space="preserve"> (c) if neither of the foregoing is commercially practicable,</w:t>
      </w:r>
      <w:r w:rsidRPr="00FC3F3A">
        <w:t xml:space="preserve"> </w:t>
      </w:r>
      <w:r>
        <w:t>t</w:t>
      </w:r>
      <w:r w:rsidRPr="00FC3F3A">
        <w:t xml:space="preserve">erminate </w:t>
      </w:r>
      <w:r>
        <w:t>this Agreement and Customer’s rights hereunder and provide Customer a refund of any prepaid, unused fees for the Service.</w:t>
      </w:r>
    </w:p>
    <w:p w14:paraId="18C26BD4" w14:textId="77777777" w:rsidR="002A5CEC" w:rsidRPr="00003020" w:rsidRDefault="002A5CEC" w:rsidP="002A5CEC">
      <w:pPr>
        <w:ind w:firstLine="720"/>
        <w:jc w:val="both"/>
      </w:pPr>
      <w:r w:rsidRPr="00003020">
        <w:t xml:space="preserve">  </w:t>
      </w:r>
    </w:p>
    <w:p w14:paraId="75AF6BCB" w14:textId="77777777" w:rsidR="002A5CEC" w:rsidRDefault="002A5CEC">
      <w:pPr>
        <w:pStyle w:val="Heading3"/>
        <w:rPr>
          <w:sz w:val="20"/>
        </w:rPr>
      </w:pPr>
      <w:r>
        <w:rPr>
          <w:sz w:val="20"/>
        </w:rPr>
        <w:t>LIMITATION OF LIABILITY</w:t>
      </w:r>
    </w:p>
    <w:p w14:paraId="65C74B65" w14:textId="77777777" w:rsidR="002A5CEC" w:rsidRPr="00536C53" w:rsidRDefault="002A5CEC">
      <w:pPr>
        <w:pStyle w:val="Bod"/>
        <w:rPr>
          <w:b/>
          <w:i/>
          <w:sz w:val="20"/>
        </w:rPr>
      </w:pPr>
      <w:r>
        <w:rPr>
          <w:sz w:val="20"/>
        </w:rPr>
        <w:t xml:space="preserve">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 THERETO UNDER ANY CONTRACT, NEGLIGENCE, STRICT LIABILITY OR OTHER THEORY: (A) FOR ERROR OR INTERRUPTION OF USE OR FOR LOSS OR INACCURACY OR CORRUPTION OF DATA OR COST OF PROCUREMENT OF SUBSTITUTE GOODS, SERVICES OR TECHNOLOGY OR LOSS OF BUSINESS; (B) FOR ANY INDIRECT, EXEMPLARY, INCIDENTAL, SPECIAL OR CONSEQUENTIAL DAMAGES; (C) FOR ANY MATTER BEYOND COMPANY’S REASONABLE CONTROL; OR (D) FOR ANY AMOUNTS THAT, TOGETHER WITH AMOUNTS ASSOCIATED WITH ALL OTHER CLAIMS, </w:t>
      </w:r>
      <w:r>
        <w:rPr>
          <w:sz w:val="20"/>
        </w:rPr>
        <w:t xml:space="preserve">EXCEED THE FEES PAID BY CUSTOMER TO COMPANY FOR THE SERVICES UNDER THIS AGREEMENT IN THE 12 MONTHS PRIOR TO THE ACT THAT GAVE RISE TO THE LIABILITY, IN EACH CASE, WHETHER OR NOT COMPANY HAS BEEN ADVISED OF THE POSSIBILITY OF SUCH DAMAGES. </w:t>
      </w:r>
      <w:r w:rsidRPr="00536C53">
        <w:rPr>
          <w:b/>
          <w:i/>
          <w:sz w:val="20"/>
          <w:highlight w:val="yellow"/>
        </w:rPr>
        <w:t>[Note:  Liability limitations are frequently heavily negotiated</w:t>
      </w:r>
      <w:r>
        <w:rPr>
          <w:b/>
          <w:i/>
          <w:sz w:val="20"/>
          <w:highlight w:val="yellow"/>
        </w:rPr>
        <w:t xml:space="preserve"> in larger deals. T</w:t>
      </w:r>
      <w:r w:rsidRPr="00536C53">
        <w:rPr>
          <w:b/>
          <w:i/>
          <w:sz w:val="20"/>
          <w:highlight w:val="yellow"/>
        </w:rPr>
        <w:t>his starting point is very Company-favorable but may need to be scaled back with larger customers]</w:t>
      </w:r>
    </w:p>
    <w:p w14:paraId="29A45D40" w14:textId="77777777" w:rsidR="002A5CEC" w:rsidRDefault="002A5CEC">
      <w:pPr>
        <w:pStyle w:val="Heading3"/>
        <w:rPr>
          <w:sz w:val="20"/>
        </w:rPr>
      </w:pPr>
      <w:r>
        <w:rPr>
          <w:sz w:val="20"/>
        </w:rPr>
        <w:t>MISCELLANEOUS</w:t>
      </w:r>
    </w:p>
    <w:p w14:paraId="219A27E2" w14:textId="77777777" w:rsidR="002A5CEC" w:rsidRPr="003E68D3" w:rsidRDefault="002A5CEC">
      <w:pPr>
        <w:pStyle w:val="BodyTextIndent3"/>
        <w:rPr>
          <w:b/>
          <w:i/>
          <w:sz w:val="20"/>
        </w:rPr>
      </w:pPr>
      <w:r>
        <w:rPr>
          <w:sz w:val="20"/>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0"/>
        </w:rPr>
        <w:t>as a result of</w:t>
      </w:r>
      <w:proofErr w:type="gramEnd"/>
      <w:r>
        <w:rPr>
          <w:sz w:val="20"/>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[California] without regard to its conflict of </w:t>
      </w:r>
      <w:proofErr w:type="spellStart"/>
      <w:r>
        <w:rPr>
          <w:sz w:val="20"/>
        </w:rPr>
        <w:t>laws</w:t>
      </w:r>
      <w:proofErr w:type="spellEnd"/>
      <w:r>
        <w:rPr>
          <w:sz w:val="20"/>
        </w:rPr>
        <w:t xml:space="preserve"> provisions.  </w:t>
      </w:r>
      <w:r w:rsidRPr="000B2ABF">
        <w:rPr>
          <w:b/>
          <w:i/>
          <w:sz w:val="20"/>
          <w:highlight w:val="yellow"/>
        </w:rPr>
        <w:t xml:space="preserve">[Note: choice of law is frequently negotiated. </w:t>
      </w:r>
      <w:r>
        <w:rPr>
          <w:b/>
          <w:i/>
          <w:sz w:val="20"/>
          <w:highlight w:val="yellow"/>
        </w:rPr>
        <w:t xml:space="preserve"> Most often, you will propose your state, they will counter with their state, and you will both agree on either Delaware or New York as a reasonable compromise.</w:t>
      </w:r>
      <w:r w:rsidRPr="000B2ABF">
        <w:rPr>
          <w:b/>
          <w:i/>
          <w:sz w:val="20"/>
          <w:highlight w:val="yellow"/>
        </w:rPr>
        <w:t>]</w:t>
      </w:r>
      <w:r>
        <w:rPr>
          <w:sz w:val="20"/>
        </w:rPr>
        <w:t xml:space="preserve">  [The parties shall work together in good faith to issue at least one mutually agreed upon press release within 90 days of the Effective Date, and Customer otherwise agrees to reasonably cooperate with Company to serve as a reference account upon request.]  </w:t>
      </w:r>
      <w:r w:rsidRPr="003E68D3">
        <w:rPr>
          <w:b/>
          <w:i/>
          <w:sz w:val="20"/>
          <w:highlight w:val="yellow"/>
        </w:rPr>
        <w:t>[</w:t>
      </w:r>
      <w:r>
        <w:rPr>
          <w:b/>
          <w:i/>
          <w:sz w:val="20"/>
          <w:highlight w:val="yellow"/>
        </w:rPr>
        <w:t>OPTIONAL</w:t>
      </w:r>
      <w:r w:rsidRPr="003E68D3">
        <w:rPr>
          <w:b/>
          <w:i/>
          <w:sz w:val="20"/>
          <w:highlight w:val="yellow"/>
        </w:rPr>
        <w:t>: there are several variations on these concepts that could be used as a starting point, but start-ups should typically expect resistance from large customers on these points]</w:t>
      </w:r>
    </w:p>
    <w:p w14:paraId="31F8D574" w14:textId="77777777" w:rsidR="002A5CEC" w:rsidRDefault="002A5CEC">
      <w:pPr>
        <w:pStyle w:val="BodyTextIndent3"/>
        <w:ind w:firstLine="0"/>
        <w:rPr>
          <w:sz w:val="20"/>
        </w:rPr>
      </w:pPr>
      <w:r>
        <w:rPr>
          <w:sz w:val="20"/>
        </w:rPr>
        <w:t xml:space="preserve"> </w:t>
      </w:r>
    </w:p>
    <w:p w14:paraId="3221A081" w14:textId="77777777" w:rsidR="002A5CEC" w:rsidRDefault="002A5CEC">
      <w:pPr>
        <w:pStyle w:val="BodyTextIndent3"/>
        <w:ind w:firstLine="0"/>
        <w:rPr>
          <w:sz w:val="20"/>
        </w:rPr>
        <w:sectPr w:rsidR="002A5CEC">
          <w:footerReference w:type="default" r:id="rId12"/>
          <w:endnotePr>
            <w:numFmt w:val="decimal"/>
          </w:endnotePr>
          <w:type w:val="continuous"/>
          <w:pgSz w:w="12240" w:h="15840"/>
          <w:pgMar w:top="1440" w:right="720" w:bottom="1008" w:left="720" w:header="720" w:footer="720" w:gutter="0"/>
          <w:cols w:num="2" w:space="288"/>
          <w:titlePg/>
        </w:sectPr>
      </w:pPr>
    </w:p>
    <w:p w14:paraId="4F1734C7" w14:textId="77777777" w:rsidR="002A5CEC" w:rsidRDefault="002A5CEC">
      <w:pPr>
        <w:pStyle w:val="BodyTextIndent3"/>
        <w:ind w:firstLine="0"/>
        <w:jc w:val="center"/>
        <w:rPr>
          <w:b/>
          <w:sz w:val="22"/>
          <w:szCs w:val="22"/>
          <w:u w:val="single"/>
        </w:rPr>
      </w:pPr>
      <w:r>
        <w:rPr>
          <w:b/>
          <w:sz w:val="22"/>
          <w:szCs w:val="22"/>
          <w:u w:val="single"/>
        </w:rPr>
        <w:lastRenderedPageBreak/>
        <w:t>EXHIBIT A</w:t>
      </w:r>
    </w:p>
    <w:p w14:paraId="48508DCF" w14:textId="77777777" w:rsidR="002A5CEC" w:rsidRDefault="002A5CEC">
      <w:pPr>
        <w:pStyle w:val="BodyTextIndent3"/>
        <w:ind w:firstLine="0"/>
        <w:jc w:val="center"/>
        <w:rPr>
          <w:b/>
          <w:sz w:val="22"/>
          <w:szCs w:val="22"/>
        </w:rPr>
      </w:pPr>
      <w:r>
        <w:rPr>
          <w:b/>
          <w:sz w:val="22"/>
          <w:szCs w:val="22"/>
        </w:rPr>
        <w:t>Statement of Work</w:t>
      </w:r>
    </w:p>
    <w:p w14:paraId="555D1E08" w14:textId="77777777" w:rsidR="002A5CEC" w:rsidRPr="00DB472A" w:rsidRDefault="002A5CEC" w:rsidP="002A5CEC">
      <w:pPr>
        <w:pStyle w:val="BodyTextIndent3"/>
        <w:ind w:firstLine="0"/>
        <w:jc w:val="center"/>
        <w:rPr>
          <w:b/>
          <w:sz w:val="20"/>
        </w:rPr>
      </w:pPr>
      <w:r w:rsidRPr="00DB472A">
        <w:rPr>
          <w:b/>
          <w:sz w:val="20"/>
          <w:highlight w:val="yellow"/>
        </w:rPr>
        <w:t>[OPTIONAL]</w:t>
      </w:r>
    </w:p>
    <w:p w14:paraId="7055FEF5" w14:textId="77777777" w:rsidR="002A5CEC" w:rsidRPr="00DB472A" w:rsidRDefault="002A5CEC" w:rsidP="002A5CEC">
      <w:pPr>
        <w:pStyle w:val="BodyTextIndent3"/>
        <w:ind w:firstLine="0"/>
        <w:jc w:val="center"/>
        <w:rPr>
          <w:sz w:val="20"/>
        </w:rPr>
      </w:pPr>
      <w:r w:rsidRPr="00DB472A">
        <w:rPr>
          <w:i/>
          <w:sz w:val="20"/>
        </w:rPr>
        <w:t>Examples of things to include in this section</w:t>
      </w:r>
    </w:p>
    <w:p w14:paraId="2E22E5FB" w14:textId="77777777" w:rsidR="002A5CEC" w:rsidRPr="00DB472A" w:rsidRDefault="002A5CEC" w:rsidP="002A5CEC">
      <w:pPr>
        <w:pStyle w:val="BodyTextIndent3"/>
        <w:ind w:firstLine="0"/>
        <w:jc w:val="center"/>
        <w:rPr>
          <w:sz w:val="22"/>
          <w:szCs w:val="22"/>
        </w:rPr>
      </w:pPr>
      <w:r w:rsidRPr="00DB472A">
        <w:rPr>
          <w:sz w:val="20"/>
        </w:rPr>
        <w:t>Bulk provisioning of user accounts</w:t>
      </w:r>
      <w:r w:rsidRPr="00DB472A">
        <w:rPr>
          <w:sz w:val="20"/>
        </w:rPr>
        <w:br/>
        <w:t>Customer training (on site or via webinar)</w:t>
      </w:r>
      <w:r w:rsidRPr="00DB472A">
        <w:rPr>
          <w:sz w:val="20"/>
        </w:rPr>
        <w:br/>
        <w:t>Providing documentation</w:t>
      </w:r>
      <w:r w:rsidRPr="00DB472A">
        <w:rPr>
          <w:sz w:val="20"/>
        </w:rPr>
        <w:br/>
        <w:t>Custom development work (one-time)</w:t>
      </w:r>
      <w:r w:rsidRPr="00DB472A">
        <w:rPr>
          <w:sz w:val="20"/>
        </w:rPr>
        <w:br/>
        <w:t>etc.</w:t>
      </w:r>
      <w:r w:rsidRPr="00DB472A">
        <w:rPr>
          <w:sz w:val="20"/>
        </w:rPr>
        <w:br/>
      </w:r>
      <w:r>
        <w:rPr>
          <w:sz w:val="22"/>
          <w:szCs w:val="22"/>
        </w:rPr>
        <w:br/>
      </w:r>
    </w:p>
    <w:p w14:paraId="0BDD9418" w14:textId="77777777" w:rsidR="002A5CEC" w:rsidRDefault="002A5CEC" w:rsidP="002A5CEC">
      <w:pPr>
        <w:pStyle w:val="BodyTextIndent3"/>
        <w:ind w:firstLine="0"/>
        <w:jc w:val="center"/>
        <w:rPr>
          <w:b/>
          <w:sz w:val="22"/>
          <w:szCs w:val="22"/>
          <w:u w:val="single"/>
        </w:rPr>
      </w:pPr>
      <w:r>
        <w:rPr>
          <w:b/>
          <w:sz w:val="22"/>
          <w:szCs w:val="22"/>
        </w:rPr>
        <w:br w:type="page"/>
      </w:r>
      <w:r>
        <w:rPr>
          <w:b/>
          <w:sz w:val="22"/>
          <w:szCs w:val="22"/>
          <w:u w:val="single"/>
        </w:rPr>
        <w:lastRenderedPageBreak/>
        <w:t>EXHIBIT B</w:t>
      </w:r>
    </w:p>
    <w:p w14:paraId="4E872240" w14:textId="77777777" w:rsidR="002A5CEC" w:rsidRDefault="002A5CEC" w:rsidP="002A5CEC">
      <w:pPr>
        <w:pStyle w:val="BodyTextIndent3"/>
        <w:ind w:firstLine="0"/>
        <w:jc w:val="center"/>
        <w:rPr>
          <w:b/>
          <w:sz w:val="22"/>
          <w:szCs w:val="22"/>
        </w:rPr>
      </w:pPr>
      <w:r>
        <w:rPr>
          <w:b/>
          <w:sz w:val="22"/>
          <w:szCs w:val="22"/>
        </w:rPr>
        <w:t>Service Level Terms</w:t>
      </w:r>
    </w:p>
    <w:p w14:paraId="3139E0AB" w14:textId="77777777" w:rsidR="002A5CEC" w:rsidRPr="00D02268" w:rsidRDefault="002A5CEC" w:rsidP="002A5CEC">
      <w:pPr>
        <w:pStyle w:val="BodyTextIndent3"/>
        <w:rPr>
          <w:b/>
          <w:i/>
          <w:sz w:val="20"/>
        </w:rPr>
      </w:pPr>
      <w:r w:rsidRPr="00D02268">
        <w:rPr>
          <w:b/>
          <w:i/>
          <w:sz w:val="20"/>
          <w:highlight w:val="yellow"/>
        </w:rPr>
        <w:t>[</w:t>
      </w:r>
      <w:r>
        <w:rPr>
          <w:b/>
          <w:i/>
          <w:sz w:val="20"/>
          <w:highlight w:val="yellow"/>
        </w:rPr>
        <w:t>OPTIONAL</w:t>
      </w:r>
      <w:r w:rsidRPr="00D02268">
        <w:rPr>
          <w:b/>
          <w:i/>
          <w:sz w:val="20"/>
          <w:highlight w:val="yellow"/>
        </w:rPr>
        <w:t>: the language below is an example of a very simple short-form SLA.  These terms can range from one paragraph to several pages depending on the industry, the nature of the solution and the customer profile.]</w:t>
      </w:r>
    </w:p>
    <w:p w14:paraId="146CDDC9" w14:textId="77777777" w:rsidR="002A5CEC" w:rsidRPr="00D02268" w:rsidRDefault="002A5CEC" w:rsidP="002A5CEC">
      <w:pPr>
        <w:pStyle w:val="BodyTextIndent3"/>
        <w:rPr>
          <w:sz w:val="20"/>
        </w:rPr>
      </w:pPr>
      <w:r w:rsidRPr="00D02268">
        <w:rPr>
          <w:sz w:val="20"/>
        </w:rPr>
        <w:t>The Services shall be available 99</w:t>
      </w:r>
      <w:r>
        <w:rPr>
          <w:sz w:val="20"/>
        </w:rPr>
        <w:t>.9</w:t>
      </w:r>
      <w:r w:rsidRPr="00D02268">
        <w:rPr>
          <w:sz w:val="20"/>
        </w:rPr>
        <w:t xml:space="preserve">%, measured monthly, excluding holidays and weekends and scheduled maintenance.  If Customer requests maintenance during these hours, any uptime or downtime calculation will exclude periods affected by such maintenance.  Further, any downtime resulting from outages of </w:t>
      </w:r>
      <w:proofErr w:type="gramStart"/>
      <w:r w:rsidRPr="00D02268">
        <w:rPr>
          <w:sz w:val="20"/>
        </w:rPr>
        <w:t>third party</w:t>
      </w:r>
      <w:proofErr w:type="gramEnd"/>
      <w:r w:rsidRPr="00D02268">
        <w:rPr>
          <w:sz w:val="20"/>
        </w:rPr>
        <w:t xml:space="preserve"> connections or utilities or other reason</w:t>
      </w:r>
      <w:r>
        <w:rPr>
          <w:sz w:val="20"/>
        </w:rPr>
        <w:t>s</w:t>
      </w:r>
      <w:r w:rsidRPr="00D02268">
        <w:rPr>
          <w:sz w:val="20"/>
        </w:rPr>
        <w:t xml:space="preserve"> beyond </w:t>
      </w:r>
      <w:r>
        <w:rPr>
          <w:sz w:val="20"/>
        </w:rPr>
        <w:t>Company</w:t>
      </w:r>
      <w:r w:rsidRPr="00D02268">
        <w:rPr>
          <w:sz w:val="20"/>
        </w:rPr>
        <w:t xml:space="preserve">’s control will also be excluded from any such calculation. Customer's sole and exclusive remedy, and </w:t>
      </w:r>
      <w:r>
        <w:rPr>
          <w:sz w:val="20"/>
        </w:rPr>
        <w:t>Company</w:t>
      </w:r>
      <w:r w:rsidRPr="00D02268">
        <w:rPr>
          <w:sz w:val="20"/>
        </w:rPr>
        <w:t xml:space="preserve">'s entire liability, in connection with Service availability shall be that for each period of downtime lasting longer than </w:t>
      </w:r>
      <w:r>
        <w:rPr>
          <w:sz w:val="20"/>
        </w:rPr>
        <w:t>[</w:t>
      </w:r>
      <w:r w:rsidRPr="00D02268">
        <w:rPr>
          <w:sz w:val="20"/>
          <w:highlight w:val="yellow"/>
        </w:rPr>
        <w:t>one hour</w:t>
      </w:r>
      <w:r>
        <w:rPr>
          <w:sz w:val="20"/>
        </w:rPr>
        <w:t>]</w:t>
      </w:r>
      <w:r w:rsidRPr="00D02268">
        <w:rPr>
          <w:sz w:val="20"/>
        </w:rPr>
        <w:t xml:space="preserve">, </w:t>
      </w:r>
      <w:r w:rsidRPr="001F3831">
        <w:rPr>
          <w:sz w:val="20"/>
        </w:rPr>
        <w:t xml:space="preserve">Company will credit Customer </w:t>
      </w:r>
      <w:r w:rsidRPr="00FF5049">
        <w:rPr>
          <w:sz w:val="20"/>
          <w:highlight w:val="yellow"/>
        </w:rPr>
        <w:t>5% of Service fees</w:t>
      </w:r>
      <w:r w:rsidRPr="00D31433">
        <w:rPr>
          <w:sz w:val="20"/>
        </w:rPr>
        <w:t xml:space="preserve"> for each period of </w:t>
      </w:r>
      <w:r w:rsidRPr="00FF5049">
        <w:rPr>
          <w:sz w:val="20"/>
          <w:highlight w:val="yellow"/>
        </w:rPr>
        <w:t xml:space="preserve">30 or more consecutive minutes of </w:t>
      </w:r>
      <w:proofErr w:type="gramStart"/>
      <w:r w:rsidRPr="00FF5049">
        <w:rPr>
          <w:sz w:val="20"/>
          <w:highlight w:val="yellow"/>
        </w:rPr>
        <w:t>downtime</w:t>
      </w:r>
      <w:r w:rsidRPr="001F3831">
        <w:rPr>
          <w:sz w:val="20"/>
        </w:rPr>
        <w:t>;</w:t>
      </w:r>
      <w:proofErr w:type="gramEnd"/>
      <w:r w:rsidRPr="001F3831">
        <w:rPr>
          <w:sz w:val="20"/>
        </w:rPr>
        <w:t xml:space="preserve"> </w:t>
      </w:r>
      <w:r w:rsidRPr="00DB472A">
        <w:rPr>
          <w:sz w:val="20"/>
        </w:rPr>
        <w:t>provided that no more than one such credit will accrue per day</w:t>
      </w:r>
      <w:r w:rsidRPr="00D02268">
        <w:rPr>
          <w:sz w:val="20"/>
        </w:rPr>
        <w:t xml:space="preserve">.  Downtime shall begin to accrue as soon as Customer (with notice to </w:t>
      </w:r>
      <w:r>
        <w:rPr>
          <w:sz w:val="20"/>
        </w:rPr>
        <w:t>Company</w:t>
      </w:r>
      <w:r w:rsidRPr="00D02268">
        <w:rPr>
          <w:sz w:val="20"/>
        </w:rPr>
        <w:t xml:space="preserve">) recognizes that downtime is taking </w:t>
      </w:r>
      <w:proofErr w:type="gramStart"/>
      <w:r w:rsidRPr="00D02268">
        <w:rPr>
          <w:sz w:val="20"/>
        </w:rPr>
        <w:t>place, and</w:t>
      </w:r>
      <w:proofErr w:type="gramEnd"/>
      <w:r w:rsidRPr="00D02268">
        <w:rPr>
          <w:sz w:val="20"/>
        </w:rPr>
        <w:t xml:space="preserve"> continues until the availability of the Services is restored.  </w:t>
      </w:r>
      <w:proofErr w:type="gramStart"/>
      <w:r w:rsidRPr="00D02268">
        <w:rPr>
          <w:sz w:val="20"/>
        </w:rPr>
        <w:t>In order to</w:t>
      </w:r>
      <w:proofErr w:type="gramEnd"/>
      <w:r w:rsidRPr="00D02268">
        <w:rPr>
          <w:sz w:val="20"/>
        </w:rPr>
        <w:t xml:space="preserve"> receive downtime credit, Customer </w:t>
      </w:r>
      <w:r w:rsidRPr="001F3831">
        <w:rPr>
          <w:sz w:val="20"/>
        </w:rPr>
        <w:t xml:space="preserve">must notify Company in writing within </w:t>
      </w:r>
      <w:r w:rsidRPr="00DB472A">
        <w:rPr>
          <w:sz w:val="20"/>
        </w:rPr>
        <w:t>24 hours</w:t>
      </w:r>
      <w:r w:rsidRPr="001F3831">
        <w:rPr>
          <w:sz w:val="20"/>
        </w:rPr>
        <w:t xml:space="preserve"> from the time of downtime, and failure to provide such notice will forfeit the right to receive downtime credit.  Such credits may not be redeemed for cash and shall not be cumulative beyond a total of </w:t>
      </w:r>
      <w:r w:rsidRPr="00DB472A">
        <w:rPr>
          <w:sz w:val="20"/>
        </w:rPr>
        <w:t>credits for one (1) week of</w:t>
      </w:r>
      <w:r w:rsidRPr="001F3831">
        <w:rPr>
          <w:sz w:val="20"/>
        </w:rPr>
        <w:t xml:space="preserve"> Service Fees in </w:t>
      </w:r>
      <w:proofErr w:type="gramStart"/>
      <w:r w:rsidRPr="00DB472A">
        <w:rPr>
          <w:sz w:val="20"/>
        </w:rPr>
        <w:t>any one</w:t>
      </w:r>
      <w:proofErr w:type="gramEnd"/>
      <w:r w:rsidRPr="00DB472A">
        <w:rPr>
          <w:sz w:val="20"/>
        </w:rPr>
        <w:t> (1) calendar month</w:t>
      </w:r>
      <w:r w:rsidRPr="001F3831">
        <w:rPr>
          <w:sz w:val="20"/>
        </w:rPr>
        <w:t xml:space="preserve"> in any event.  Company will only apply a credit to the month in which the incident occurred.  Company’s</w:t>
      </w:r>
      <w:r w:rsidRPr="00D02268">
        <w:rPr>
          <w:sz w:val="20"/>
        </w:rPr>
        <w:t xml:space="preserve"> blocking of data communications </w:t>
      </w:r>
      <w:r>
        <w:rPr>
          <w:sz w:val="20"/>
        </w:rPr>
        <w:t xml:space="preserve">or other Service </w:t>
      </w:r>
      <w:r w:rsidRPr="00D02268">
        <w:rPr>
          <w:sz w:val="20"/>
        </w:rPr>
        <w:t xml:space="preserve">in accordance with its policies shall not be deemed to be a failure of </w:t>
      </w:r>
      <w:r>
        <w:rPr>
          <w:sz w:val="20"/>
        </w:rPr>
        <w:t>Company</w:t>
      </w:r>
      <w:r w:rsidRPr="00D02268">
        <w:rPr>
          <w:sz w:val="20"/>
        </w:rPr>
        <w:t xml:space="preserve"> to provide adequate service levels under this Agreement.</w:t>
      </w:r>
    </w:p>
    <w:p w14:paraId="2F851D72" w14:textId="77777777" w:rsidR="002A5CEC" w:rsidRDefault="002A5CEC" w:rsidP="002A5CEC">
      <w:pPr>
        <w:pStyle w:val="BodyTextIndent3"/>
        <w:ind w:firstLine="0"/>
        <w:jc w:val="center"/>
        <w:rPr>
          <w:b/>
          <w:sz w:val="22"/>
          <w:szCs w:val="22"/>
          <w:u w:val="single"/>
        </w:rPr>
      </w:pPr>
      <w:r>
        <w:rPr>
          <w:b/>
          <w:sz w:val="22"/>
          <w:szCs w:val="22"/>
        </w:rPr>
        <w:br w:type="page"/>
      </w:r>
      <w:r>
        <w:rPr>
          <w:b/>
          <w:sz w:val="22"/>
          <w:szCs w:val="22"/>
          <w:u w:val="single"/>
        </w:rPr>
        <w:lastRenderedPageBreak/>
        <w:t>EXHIBIT C</w:t>
      </w:r>
    </w:p>
    <w:p w14:paraId="20C76573" w14:textId="77777777" w:rsidR="002A5CEC" w:rsidRDefault="002A5CEC" w:rsidP="002A5CEC">
      <w:pPr>
        <w:pStyle w:val="BodyTextIndent3"/>
        <w:ind w:firstLine="0"/>
        <w:jc w:val="center"/>
        <w:rPr>
          <w:b/>
          <w:sz w:val="22"/>
          <w:szCs w:val="22"/>
        </w:rPr>
      </w:pPr>
      <w:r>
        <w:rPr>
          <w:b/>
          <w:sz w:val="22"/>
          <w:szCs w:val="22"/>
        </w:rPr>
        <w:t>Support Terms</w:t>
      </w:r>
    </w:p>
    <w:p w14:paraId="1C8BA7C0" w14:textId="77777777" w:rsidR="002A5CEC" w:rsidRPr="00307088" w:rsidRDefault="002A5CEC" w:rsidP="002A5CEC">
      <w:pPr>
        <w:pStyle w:val="BodyTextIndent3"/>
        <w:ind w:firstLine="0"/>
        <w:jc w:val="center"/>
        <w:rPr>
          <w:b/>
          <w:sz w:val="20"/>
        </w:rPr>
      </w:pPr>
      <w:r w:rsidRPr="00307088">
        <w:rPr>
          <w:b/>
          <w:sz w:val="20"/>
          <w:highlight w:val="yellow"/>
        </w:rPr>
        <w:t>[OPTIONAL]</w:t>
      </w:r>
    </w:p>
    <w:p w14:paraId="34AF225B" w14:textId="77777777" w:rsidR="002A5CEC" w:rsidRDefault="002A5CEC" w:rsidP="002A5CEC">
      <w:pPr>
        <w:widowControl/>
        <w:spacing w:before="220"/>
      </w:pPr>
      <w:r w:rsidRPr="00DB472A">
        <w:t xml:space="preserve">Company will </w:t>
      </w:r>
      <w:r>
        <w:t>provide</w:t>
      </w:r>
      <w:r w:rsidRPr="00DB472A">
        <w:t xml:space="preserve"> Technical Support to Customer via both telephone and electronic mail on weekdays during the hours of 9:00 am through 5:00 pm Pacific time</w:t>
      </w:r>
      <w:r>
        <w:t>,</w:t>
      </w:r>
      <w:r w:rsidRPr="00DB472A">
        <w:t xml:space="preserve"> with the exclusion of Federal Holidays</w:t>
      </w:r>
      <w:r>
        <w:t xml:space="preserve"> (“</w:t>
      </w:r>
      <w:r w:rsidRPr="00DB472A">
        <w:rPr>
          <w:b/>
        </w:rPr>
        <w:t>Support Hours</w:t>
      </w:r>
      <w:r>
        <w:t>”)</w:t>
      </w:r>
      <w:r w:rsidRPr="00DB472A">
        <w:t xml:space="preserve">. </w:t>
      </w:r>
    </w:p>
    <w:p w14:paraId="3DC5B9FA" w14:textId="77777777" w:rsidR="002A5CEC" w:rsidRDefault="002A5CEC" w:rsidP="002A5CEC">
      <w:pPr>
        <w:widowControl/>
        <w:spacing w:before="220"/>
      </w:pPr>
      <w:r>
        <w:t xml:space="preserve">Customer may initiate a helpdesk ticket during </w:t>
      </w:r>
      <w:r w:rsidRPr="001F3831">
        <w:t xml:space="preserve">Support </w:t>
      </w:r>
      <w:r>
        <w:t>Hours by calling [888-888-888] or any time by emailing [support@company.com].</w:t>
      </w:r>
    </w:p>
    <w:p w14:paraId="657C7925" w14:textId="77777777" w:rsidR="002A5CEC" w:rsidRPr="001C3A48" w:rsidRDefault="002A5CEC" w:rsidP="002A5CEC">
      <w:pPr>
        <w:widowControl/>
        <w:spacing w:before="220"/>
      </w:pPr>
      <w:r>
        <w:t xml:space="preserve">Company will use commercially reasonable efforts to respond to all </w:t>
      </w:r>
      <w:r w:rsidRPr="001C3A48">
        <w:t>Helpdesk tickets within one (1) business day.</w:t>
      </w:r>
    </w:p>
    <w:p w14:paraId="73406BA9" w14:textId="77777777" w:rsidR="002A5CEC" w:rsidRDefault="002A5CEC">
      <w:pPr>
        <w:pStyle w:val="BodyTextIndent3"/>
        <w:ind w:firstLine="0"/>
        <w:jc w:val="center"/>
        <w:rPr>
          <w:b/>
          <w:sz w:val="22"/>
          <w:szCs w:val="22"/>
        </w:rPr>
      </w:pPr>
    </w:p>
    <w:sectPr w:rsidR="002A5CEC">
      <w:endnotePr>
        <w:numFmt w:val="decimal"/>
      </w:endnotePr>
      <w:pgSz w:w="12240" w:h="15840"/>
      <w:pgMar w:top="1440" w:right="720" w:bottom="1008" w:left="720" w:header="720" w:footer="720" w:gutter="0"/>
      <w:cols w:space="28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6EED3" w14:textId="77777777" w:rsidR="00AC6AC3" w:rsidRDefault="00AC6AC3">
      <w:r>
        <w:separator/>
      </w:r>
    </w:p>
  </w:endnote>
  <w:endnote w:type="continuationSeparator" w:id="0">
    <w:p w14:paraId="2CFC0205" w14:textId="77777777" w:rsidR="00AC6AC3" w:rsidRDefault="00AC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353CB" w14:textId="77777777" w:rsidR="002A5CEC" w:rsidRDefault="002A5CEC">
    <w:pPr>
      <w:pStyle w:val="Footer"/>
    </w:pPr>
    <w:r w:rsidRPr="006C2849">
      <w:rPr>
        <w:rStyle w:val="DocID"/>
      </w:rPr>
      <w:t>LIBC/3968202.1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0EDB9" w14:textId="77777777" w:rsidR="002A5CEC" w:rsidRDefault="002A5CEC">
    <w:pPr>
      <w:pStyle w:val="Footer"/>
    </w:pPr>
    <w:r w:rsidRPr="006C2849">
      <w:rPr>
        <w:rStyle w:val="DocID"/>
      </w:rPr>
      <w:t>LIBC/3968202.1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11CF" w14:textId="77777777" w:rsidR="002A5CEC" w:rsidRDefault="002A5CEC">
    <w:pPr>
      <w:pStyle w:val="zDocID"/>
      <w:framePr w:wrap="around"/>
    </w:pPr>
    <w:r>
      <w:rPr>
        <w:b/>
        <w:sz w:val="18"/>
      </w:rPr>
      <w:tab/>
    </w:r>
  </w:p>
  <w:p w14:paraId="036B224C" w14:textId="77777777" w:rsidR="002A5CEC" w:rsidRDefault="002A5CEC">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475904">
      <w:rPr>
        <w:rStyle w:val="PageNumber"/>
        <w:noProof/>
      </w:rPr>
      <w:t>1</w:t>
    </w:r>
    <w:r>
      <w:rPr>
        <w:rStyle w:val="PageNumber"/>
      </w:rPr>
      <w:fldChar w:fldCharType="end"/>
    </w:r>
  </w:p>
  <w:p w14:paraId="400F66E5" w14:textId="77777777" w:rsidR="002A5CEC" w:rsidRDefault="002A5CEC">
    <w:pPr>
      <w:pStyle w:val="Footer"/>
      <w:rPr>
        <w:rStyle w:val="PageNumbe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5404" w14:textId="77777777" w:rsidR="002A5CEC" w:rsidRDefault="002A5CEC">
    <w:pPr>
      <w:pStyle w:val="zDocID"/>
      <w:framePr w:wrap="around"/>
    </w:pPr>
    <w:r>
      <w:t>GDSVF&amp;H\#308630v1</w:t>
    </w:r>
    <w:r>
      <w:rPr>
        <w:b/>
        <w:sz w:val="18"/>
      </w:rPr>
      <w:tab/>
    </w:r>
  </w:p>
  <w:p w14:paraId="236B0575" w14:textId="77777777" w:rsidR="002A5CEC" w:rsidRDefault="002A5CEC">
    <w:pPr>
      <w:pStyle w:val="Footer"/>
      <w:tabs>
        <w:tab w:val="clear" w:pos="4320"/>
        <w:tab w:val="center" w:pos="5400"/>
      </w:tabs>
      <w:spacing w:line="200" w:lineRule="exact"/>
      <w:rPr>
        <w:rStyle w:val="PageNumber"/>
        <w:sz w:val="20"/>
      </w:rPr>
    </w:pPr>
    <w:r>
      <w:rPr>
        <w:sz w:val="16"/>
      </w:rPr>
      <w:t>GDSVF&amp;H\139611.12</w:t>
    </w:r>
    <w:r>
      <w:rPr>
        <w:sz w:val="16"/>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2</w:t>
    </w:r>
    <w:r>
      <w:rPr>
        <w:rStyle w:val="PageNumber"/>
        <w:sz w:val="20"/>
      </w:rPr>
      <w:fldChar w:fldCharType="end"/>
    </w:r>
  </w:p>
  <w:p w14:paraId="5BBD1179" w14:textId="77777777" w:rsidR="002A5CEC" w:rsidRDefault="002A5CEC">
    <w:pPr>
      <w:pStyle w:val="Footer"/>
      <w:tabs>
        <w:tab w:val="clear" w:pos="4320"/>
        <w:tab w:val="center" w:pos="5400"/>
      </w:tabs>
      <w:spacing w:line="200" w:lineRule="exact"/>
      <w:rPr>
        <w:rStyle w:val="PageNumber"/>
        <w:sz w:val="20"/>
      </w:rPr>
    </w:pPr>
    <w:r w:rsidRPr="006C2849">
      <w:rPr>
        <w:rStyle w:val="DocID"/>
      </w:rPr>
      <w:t>LIBC/3968202.1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EDE63" w14:textId="77777777" w:rsidR="002A5CEC" w:rsidRDefault="002A5CEC">
    <w:pPr>
      <w:pStyle w:val="zDocID"/>
      <w:framePr w:wrap="around"/>
    </w:pPr>
    <w:r>
      <w:rPr>
        <w:b/>
        <w:sz w:val="18"/>
      </w:rPr>
      <w:tab/>
    </w:r>
  </w:p>
  <w:p w14:paraId="0FC660BF" w14:textId="77777777" w:rsidR="002A5CEC" w:rsidRDefault="002A5CEC">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475904">
      <w:rPr>
        <w:rStyle w:val="PageNumber"/>
        <w:noProof/>
      </w:rPr>
      <w:t>5</w:t>
    </w:r>
    <w:r>
      <w:rPr>
        <w:rStyle w:val="PageNumber"/>
      </w:rPr>
      <w:fldChar w:fldCharType="end"/>
    </w:r>
  </w:p>
  <w:p w14:paraId="487A3EA0" w14:textId="77777777" w:rsidR="002A5CEC" w:rsidRDefault="002A5CEC">
    <w:pPr>
      <w:pStyle w:val="Footer"/>
      <w:spacing w:line="200" w:lineRule="exact"/>
      <w:rPr>
        <w:rStyle w:val="PageNumbe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963A" w14:textId="77777777" w:rsidR="002A5CEC" w:rsidRDefault="002A5CEC">
    <w:pPr>
      <w:pStyle w:val="zDocID"/>
      <w:framePr w:wrap="around"/>
    </w:pPr>
    <w:r>
      <w:rPr>
        <w:b/>
        <w:sz w:val="18"/>
      </w:rPr>
      <w:tab/>
    </w:r>
  </w:p>
  <w:p w14:paraId="064111C1" w14:textId="77777777" w:rsidR="002A5CEC" w:rsidRDefault="002A5CEC">
    <w:pPr>
      <w:pStyle w:val="Footer"/>
      <w:tabs>
        <w:tab w:val="clear" w:pos="4320"/>
        <w:tab w:val="center" w:pos="5400"/>
      </w:tabs>
      <w:spacing w:line="200" w:lineRule="exact"/>
      <w:rPr>
        <w:rStyle w:val="PageNumber"/>
      </w:rPr>
    </w:pPr>
    <w:r>
      <w:rPr>
        <w:sz w:val="16"/>
      </w:rPr>
      <w:tab/>
    </w:r>
    <w:r>
      <w:rPr>
        <w:rStyle w:val="PageNumber"/>
      </w:rPr>
      <w:fldChar w:fldCharType="begin"/>
    </w:r>
    <w:r>
      <w:rPr>
        <w:rStyle w:val="PageNumber"/>
      </w:rPr>
      <w:instrText xml:space="preserve"> PAGE </w:instrText>
    </w:r>
    <w:r>
      <w:rPr>
        <w:rStyle w:val="PageNumber"/>
      </w:rPr>
      <w:fldChar w:fldCharType="separate"/>
    </w:r>
    <w:r w:rsidR="00475904">
      <w:rPr>
        <w:rStyle w:val="PageNumber"/>
        <w:noProof/>
      </w:rPr>
      <w:t>4</w:t>
    </w:r>
    <w:r>
      <w:rPr>
        <w:rStyle w:val="PageNumber"/>
      </w:rPr>
      <w:fldChar w:fldCharType="end"/>
    </w:r>
  </w:p>
  <w:p w14:paraId="0952D50F" w14:textId="77777777" w:rsidR="002A5CEC" w:rsidRDefault="002A5CEC">
    <w:pPr>
      <w:pStyle w:val="Footer"/>
      <w:tabs>
        <w:tab w:val="clear" w:pos="4320"/>
        <w:tab w:val="center" w:pos="5400"/>
      </w:tabs>
      <w:spacing w:line="200" w:lineRule="exact"/>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83DD6" w14:textId="77777777" w:rsidR="00AC6AC3" w:rsidRDefault="00AC6AC3">
      <w:r>
        <w:separator/>
      </w:r>
    </w:p>
  </w:footnote>
  <w:footnote w:type="continuationSeparator" w:id="0">
    <w:p w14:paraId="460DF8B1" w14:textId="77777777" w:rsidR="00AC6AC3" w:rsidRDefault="00AC6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E06D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B10ACA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440DE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5923E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C6135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2740C7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52017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7CB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EEF9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2620D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C84E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22EDD0"/>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0487A8B"/>
    <w:multiLevelType w:val="hybridMultilevel"/>
    <w:tmpl w:val="CED2EFA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B33EEA"/>
    <w:multiLevelType w:val="multilevel"/>
    <w:tmpl w:val="D11A50E4"/>
    <w:lvl w:ilvl="0">
      <w:start w:val="1"/>
      <w:numFmt w:val="lowerRoman"/>
      <w:pStyle w:val="Heading1"/>
      <w:lvlText w:val="(%1)"/>
      <w:lvlJc w:val="left"/>
      <w:pPr>
        <w:tabs>
          <w:tab w:val="num" w:pos="720"/>
        </w:tabs>
        <w:ind w:left="0" w:firstLine="0"/>
      </w:pPr>
      <w:rPr>
        <w:rFonts w:ascii="Times New Roman" w:hAnsi="Times New Roman" w:hint="default"/>
        <w:b w:val="0"/>
        <w:i w:val="0"/>
        <w:sz w:val="20"/>
      </w:rPr>
    </w:lvl>
    <w:lvl w:ilvl="1">
      <w:start w:val="1"/>
      <w:numFmt w:val="decimal"/>
      <w:pStyle w:val="Heading2"/>
      <w:lvlText w:val="%2."/>
      <w:lvlJc w:val="left"/>
      <w:pPr>
        <w:tabs>
          <w:tab w:val="num" w:pos="1800"/>
        </w:tabs>
        <w:ind w:left="0" w:firstLine="1440"/>
      </w:pPr>
      <w:rPr>
        <w:rFonts w:ascii="Times New Roman Bold" w:hAnsi="Times New Roman Bold" w:hint="default"/>
        <w:b/>
        <w:i w:val="0"/>
        <w:sz w:val="20"/>
      </w:rPr>
    </w:lvl>
    <w:lvl w:ilvl="2">
      <w:start w:val="1"/>
      <w:numFmt w:val="decimal"/>
      <w:pStyle w:val="Heading3"/>
      <w:lvlText w:val="%3."/>
      <w:lvlJc w:val="left"/>
      <w:pPr>
        <w:tabs>
          <w:tab w:val="num" w:pos="2520"/>
        </w:tabs>
        <w:ind w:left="0" w:firstLine="2160"/>
      </w:pPr>
      <w:rPr>
        <w:rFonts w:ascii="Times New Roman Bold" w:hAnsi="Times New Roman Bold" w:hint="default"/>
        <w:b/>
        <w:i w:val="0"/>
        <w:sz w:val="20"/>
        <w:szCs w:val="20"/>
      </w:rPr>
    </w:lvl>
    <w:lvl w:ilvl="3">
      <w:start w:val="1"/>
      <w:numFmt w:val="decimal"/>
      <w:pStyle w:val="Heading4"/>
      <w:lvlText w:val="%3.%4"/>
      <w:lvlJc w:val="left"/>
      <w:pPr>
        <w:tabs>
          <w:tab w:val="num" w:pos="3240"/>
        </w:tabs>
        <w:ind w:left="0" w:firstLine="2880"/>
      </w:pPr>
      <w:rPr>
        <w:rFonts w:ascii="Times New Roman" w:hAnsi="Times New Roman" w:hint="default"/>
        <w:b w:val="0"/>
        <w:i w:val="0"/>
        <w:sz w:val="20"/>
        <w:szCs w:val="20"/>
      </w:rPr>
    </w:lvl>
    <w:lvl w:ilvl="4">
      <w:start w:val="1"/>
      <w:numFmt w:val="lowerRoman"/>
      <w:pStyle w:val="Heading5"/>
      <w:lvlText w:val="(%5)"/>
      <w:lvlJc w:val="left"/>
      <w:pPr>
        <w:tabs>
          <w:tab w:val="num" w:pos="4320"/>
        </w:tabs>
        <w:ind w:left="0" w:firstLine="3600"/>
      </w:pPr>
      <w:rPr>
        <w:rFonts w:ascii="Times New Roman" w:hAnsi="Times New Roman" w:hint="default"/>
        <w:b w:val="0"/>
        <w:i w:val="0"/>
        <w:sz w:val="20"/>
      </w:rPr>
    </w:lvl>
    <w:lvl w:ilvl="5">
      <w:start w:val="1"/>
      <w:numFmt w:val="lowerRoman"/>
      <w:lvlText w:val="(%6)"/>
      <w:lvlJc w:val="left"/>
      <w:pPr>
        <w:tabs>
          <w:tab w:val="num" w:pos="5040"/>
        </w:tabs>
        <w:ind w:left="0" w:firstLine="4320"/>
      </w:pPr>
      <w:rPr>
        <w:rFonts w:ascii="Arial Narrow" w:hAnsi="Century Schoolbook" w:hint="default"/>
        <w:b w:val="0"/>
        <w:i w:val="0"/>
        <w:sz w:val="24"/>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9ED3295"/>
    <w:multiLevelType w:val="multilevel"/>
    <w:tmpl w:val="4DA88FDA"/>
    <w:lvl w:ilvl="0">
      <w:start w:val="1"/>
      <w:numFmt w:val="decimal"/>
      <w:isLgl/>
      <w:lvlText w:val="%1."/>
      <w:lvlJc w:val="left"/>
      <w:pPr>
        <w:tabs>
          <w:tab w:val="num" w:pos="0"/>
        </w:tabs>
        <w:ind w:left="0" w:hanging="576"/>
      </w:pPr>
      <w:rPr>
        <w:rFonts w:hint="default"/>
      </w:rPr>
    </w:lvl>
    <w:lvl w:ilvl="1">
      <w:start w:val="1"/>
      <w:numFmt w:val="decimal"/>
      <w:isLgl/>
      <w:lvlText w:val="%1.%2."/>
      <w:lvlJc w:val="left"/>
      <w:pPr>
        <w:tabs>
          <w:tab w:val="num" w:pos="1008"/>
        </w:tabs>
        <w:ind w:left="1008" w:hanging="576"/>
      </w:pPr>
      <w:rPr>
        <w:rFonts w:hint="default"/>
        <w:u w:val="single"/>
      </w:rPr>
    </w:lvl>
    <w:lvl w:ilvl="2">
      <w:start w:val="1"/>
      <w:numFmt w:val="decimal"/>
      <w:isLgl/>
      <w:lvlText w:val="%1.%2.%3."/>
      <w:lvlJc w:val="left"/>
      <w:pPr>
        <w:tabs>
          <w:tab w:val="num" w:pos="1584"/>
        </w:tabs>
        <w:ind w:left="1584"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F57794"/>
    <w:multiLevelType w:val="hybridMultilevel"/>
    <w:tmpl w:val="9462E15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5E791B"/>
    <w:multiLevelType w:val="multilevel"/>
    <w:tmpl w:val="FE3AAFAE"/>
    <w:lvl w:ilvl="0">
      <w:start w:val="1"/>
      <w:numFmt w:val="lowerRoman"/>
      <w:lvlText w:val="(%1)"/>
      <w:lvlJc w:val="left"/>
      <w:pPr>
        <w:tabs>
          <w:tab w:val="num" w:pos="720"/>
        </w:tabs>
        <w:ind w:left="0" w:firstLine="0"/>
      </w:pPr>
      <w:rPr>
        <w:rFonts w:ascii="Times New Roman" w:hAnsi="Times New Roman" w:hint="default"/>
        <w:b w:val="0"/>
        <w:i w:val="0"/>
        <w:sz w:val="20"/>
      </w:rPr>
    </w:lvl>
    <w:lvl w:ilvl="1">
      <w:start w:val="1"/>
      <w:numFmt w:val="decimal"/>
      <w:lvlText w:val="%2."/>
      <w:lvlJc w:val="left"/>
      <w:pPr>
        <w:tabs>
          <w:tab w:val="num" w:pos="1800"/>
        </w:tabs>
        <w:ind w:left="0" w:firstLine="1440"/>
      </w:pPr>
      <w:rPr>
        <w:rFonts w:ascii="Times New Roman Bold" w:hAnsi="Times New Roman Bold" w:hint="default"/>
        <w:b/>
        <w:i w:val="0"/>
        <w:sz w:val="20"/>
      </w:rPr>
    </w:lvl>
    <w:lvl w:ilvl="2">
      <w:start w:val="1"/>
      <w:numFmt w:val="decimal"/>
      <w:lvlText w:val="%3."/>
      <w:lvlJc w:val="left"/>
      <w:pPr>
        <w:tabs>
          <w:tab w:val="num" w:pos="2520"/>
        </w:tabs>
        <w:ind w:left="0" w:firstLine="2160"/>
      </w:pPr>
      <w:rPr>
        <w:rFonts w:ascii="Times New Roman Bold" w:hAnsi="Times New Roman Bold" w:hint="default"/>
        <w:b/>
        <w:i w:val="0"/>
        <w:sz w:val="20"/>
      </w:rPr>
    </w:lvl>
    <w:lvl w:ilvl="3">
      <w:start w:val="1"/>
      <w:numFmt w:val="decimal"/>
      <w:lvlText w:val="%3.%4"/>
      <w:lvlJc w:val="left"/>
      <w:pPr>
        <w:tabs>
          <w:tab w:val="num" w:pos="3240"/>
        </w:tabs>
        <w:ind w:left="0" w:firstLine="2880"/>
      </w:pPr>
      <w:rPr>
        <w:rFonts w:ascii="Times New Roman" w:hAnsi="Times New Roman" w:hint="default"/>
        <w:b w:val="0"/>
        <w:i w:val="0"/>
        <w:sz w:val="20"/>
      </w:rPr>
    </w:lvl>
    <w:lvl w:ilvl="4">
      <w:start w:val="1"/>
      <w:numFmt w:val="lowerRoman"/>
      <w:lvlText w:val="(%5)"/>
      <w:lvlJc w:val="left"/>
      <w:pPr>
        <w:tabs>
          <w:tab w:val="num" w:pos="4320"/>
        </w:tabs>
        <w:ind w:left="0" w:firstLine="3600"/>
      </w:pPr>
      <w:rPr>
        <w:rFonts w:ascii="Times New Roman" w:hAnsi="Times New Roman" w:hint="default"/>
        <w:b w:val="0"/>
        <w:i w:val="0"/>
        <w:sz w:val="20"/>
      </w:rPr>
    </w:lvl>
    <w:lvl w:ilvl="5">
      <w:start w:val="1"/>
      <w:numFmt w:val="lowerRoman"/>
      <w:lvlText w:val="(%6)"/>
      <w:lvlJc w:val="left"/>
      <w:pPr>
        <w:tabs>
          <w:tab w:val="num" w:pos="5040"/>
        </w:tabs>
        <w:ind w:left="0" w:firstLine="4320"/>
      </w:pPr>
      <w:rPr>
        <w:rFonts w:ascii="Arial Narrow" w:hAnsi="Century Schoolbook" w:hint="default"/>
        <w:b w:val="0"/>
        <w:i w:val="0"/>
        <w:sz w:val="24"/>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725635750">
    <w:abstractNumId w:val="13"/>
  </w:num>
  <w:num w:numId="2" w16cid:durableId="1198469742">
    <w:abstractNumId w:val="11"/>
  </w:num>
  <w:num w:numId="3" w16cid:durableId="1555463953">
    <w:abstractNumId w:val="10"/>
  </w:num>
  <w:num w:numId="4" w16cid:durableId="359169189">
    <w:abstractNumId w:val="8"/>
  </w:num>
  <w:num w:numId="5" w16cid:durableId="481000214">
    <w:abstractNumId w:val="7"/>
  </w:num>
  <w:num w:numId="6" w16cid:durableId="1535465019">
    <w:abstractNumId w:val="6"/>
  </w:num>
  <w:num w:numId="7" w16cid:durableId="1554655385">
    <w:abstractNumId w:val="5"/>
  </w:num>
  <w:num w:numId="8" w16cid:durableId="562640736">
    <w:abstractNumId w:val="9"/>
  </w:num>
  <w:num w:numId="9" w16cid:durableId="232931889">
    <w:abstractNumId w:val="4"/>
  </w:num>
  <w:num w:numId="10" w16cid:durableId="355280139">
    <w:abstractNumId w:val="3"/>
  </w:num>
  <w:num w:numId="11" w16cid:durableId="1560090351">
    <w:abstractNumId w:val="2"/>
  </w:num>
  <w:num w:numId="12" w16cid:durableId="55401322">
    <w:abstractNumId w:val="1"/>
  </w:num>
  <w:num w:numId="13" w16cid:durableId="9005602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2962803">
    <w:abstractNumId w:val="16"/>
  </w:num>
  <w:num w:numId="15" w16cid:durableId="322123629">
    <w:abstractNumId w:val="15"/>
  </w:num>
  <w:num w:numId="16" w16cid:durableId="2111967275">
    <w:abstractNumId w:val="12"/>
  </w:num>
  <w:num w:numId="17" w16cid:durableId="1777673152">
    <w:abstractNumId w:val="0"/>
  </w:num>
  <w:num w:numId="18" w16cid:durableId="10375864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83"/>
    <w:rsid w:val="000D2926"/>
    <w:rsid w:val="00164279"/>
    <w:rsid w:val="001F6116"/>
    <w:rsid w:val="002A5CEC"/>
    <w:rsid w:val="004013CD"/>
    <w:rsid w:val="0045763E"/>
    <w:rsid w:val="00475904"/>
    <w:rsid w:val="00524486"/>
    <w:rsid w:val="006A0EEB"/>
    <w:rsid w:val="00737460"/>
    <w:rsid w:val="008D6C4E"/>
    <w:rsid w:val="009B139E"/>
    <w:rsid w:val="00A639DA"/>
    <w:rsid w:val="00AC6AC3"/>
    <w:rsid w:val="00C761DA"/>
    <w:rsid w:val="00ED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09D27AD"/>
  <w14:defaultImageDpi w14:val="300"/>
  <w15:chartTrackingRefBased/>
  <w15:docId w15:val="{FED3A126-BCF1-BB4B-B3CD-29EBC25E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lang w:eastAsia="ja-JP"/>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tabs>
        <w:tab w:val="left" w:pos="270"/>
      </w:tabs>
      <w:jc w:val="center"/>
      <w:outlineLvl w:val="1"/>
    </w:pPr>
    <w:rPr>
      <w:b/>
      <w:sz w:val="24"/>
    </w:rPr>
  </w:style>
  <w:style w:type="paragraph" w:styleId="Heading3">
    <w:name w:val="heading 3"/>
    <w:basedOn w:val="Normal"/>
    <w:next w:val="Normal"/>
    <w:qFormat/>
    <w:pPr>
      <w:widowControl/>
      <w:numPr>
        <w:ilvl w:val="2"/>
        <w:numId w:val="1"/>
      </w:numPr>
      <w:tabs>
        <w:tab w:val="clear" w:pos="2520"/>
      </w:tabs>
      <w:suppressAutoHyphens/>
      <w:spacing w:after="120"/>
      <w:ind w:firstLine="0"/>
      <w:outlineLvl w:val="2"/>
    </w:pPr>
    <w:rPr>
      <w:b/>
      <w:sz w:val="16"/>
    </w:rPr>
  </w:style>
  <w:style w:type="paragraph" w:styleId="Heading4">
    <w:name w:val="heading 4"/>
    <w:basedOn w:val="Normal"/>
    <w:next w:val="Normal"/>
    <w:qFormat/>
    <w:pPr>
      <w:widowControl/>
      <w:numPr>
        <w:ilvl w:val="3"/>
        <w:numId w:val="1"/>
      </w:numPr>
      <w:tabs>
        <w:tab w:val="clear" w:pos="3240"/>
      </w:tabs>
      <w:suppressAutoHyphens/>
      <w:spacing w:after="120"/>
      <w:ind w:firstLine="0"/>
      <w:jc w:val="both"/>
      <w:outlineLvl w:val="3"/>
    </w:pPr>
    <w:rPr>
      <w:sz w:val="16"/>
    </w:rPr>
  </w:style>
  <w:style w:type="paragraph" w:styleId="Heading5">
    <w:name w:val="heading 5"/>
    <w:basedOn w:val="Normal"/>
    <w:next w:val="Normal"/>
    <w:qFormat/>
    <w:pPr>
      <w:numPr>
        <w:ilvl w:val="4"/>
        <w:numId w:val="1"/>
      </w:numPr>
      <w:spacing w:before="240" w:after="60"/>
      <w:outlineLvl w:val="4"/>
    </w:pPr>
    <w:rPr>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after="240"/>
      <w:jc w:val="center"/>
    </w:pPr>
    <w:rPr>
      <w:b/>
      <w:kern w:val="28"/>
      <w:u w:val="single"/>
    </w:rPr>
  </w:style>
  <w:style w:type="paragraph" w:styleId="BodyText">
    <w:name w:val="Body Text"/>
    <w:basedOn w:val="Normal"/>
    <w:pPr>
      <w:tabs>
        <w:tab w:val="left" w:pos="0"/>
      </w:tabs>
      <w:suppressAutoHyphens/>
      <w:jc w:val="both"/>
    </w:pPr>
  </w:style>
  <w:style w:type="paragraph" w:styleId="BodyTextIndent">
    <w:name w:val="Body Text Indent"/>
    <w:basedOn w:val="Normal"/>
    <w:pPr>
      <w:ind w:firstLine="720"/>
      <w:jc w:val="both"/>
    </w:pPr>
  </w:style>
  <w:style w:type="paragraph" w:styleId="BodyTextIndent2">
    <w:name w:val="Body Text Indent 2"/>
    <w:basedOn w:val="Normal"/>
    <w:pPr>
      <w:tabs>
        <w:tab w:val="left" w:pos="270"/>
      </w:tabs>
      <w:ind w:firstLine="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customStyle="1" w:styleId="Bod">
    <w:name w:val="Bod"/>
    <w:basedOn w:val="Normal"/>
    <w:pPr>
      <w:widowControl/>
      <w:suppressAutoHyphens/>
      <w:spacing w:after="240"/>
      <w:ind w:firstLine="720"/>
      <w:jc w:val="both"/>
    </w:pPr>
    <w:rPr>
      <w:sz w:val="24"/>
    </w:rPr>
  </w:style>
  <w:style w:type="character" w:styleId="PageNumber">
    <w:name w:val="page number"/>
    <w:rPr>
      <w:rFonts w:ascii="Times New Roman" w:hAnsi="Times New Roman"/>
      <w:sz w:val="24"/>
    </w:rPr>
  </w:style>
  <w:style w:type="paragraph" w:customStyle="1" w:styleId="Title1">
    <w:name w:val="Title1"/>
    <w:basedOn w:val="Normal"/>
    <w:pPr>
      <w:widowControl/>
      <w:suppressAutoHyphens/>
      <w:spacing w:after="240"/>
      <w:jc w:val="center"/>
    </w:pPr>
    <w:rPr>
      <w:b/>
      <w:smallCaps/>
      <w:sz w:val="30"/>
    </w:rPr>
  </w:style>
  <w:style w:type="paragraph" w:customStyle="1" w:styleId="Plain">
    <w:name w:val="Plain"/>
    <w:basedOn w:val="Normal"/>
    <w:pPr>
      <w:widowControl/>
      <w:suppressAutoHyphens/>
      <w:spacing w:after="240"/>
      <w:jc w:val="both"/>
    </w:pPr>
    <w:rPr>
      <w:sz w:val="24"/>
    </w:rPr>
  </w:style>
  <w:style w:type="paragraph" w:styleId="Caption">
    <w:name w:val="caption"/>
    <w:basedOn w:val="Normal"/>
    <w:next w:val="Normal"/>
    <w:qFormat/>
    <w:pPr>
      <w:spacing w:before="120"/>
      <w:jc w:val="center"/>
    </w:pPr>
    <w:rPr>
      <w:b/>
    </w:rPr>
  </w:style>
  <w:style w:type="paragraph" w:styleId="BodyTextIndent3">
    <w:name w:val="Body Text Indent 3"/>
    <w:basedOn w:val="Normal"/>
    <w:link w:val="BodyTextIndent3Char"/>
    <w:pPr>
      <w:widowControl/>
      <w:suppressAutoHyphens/>
      <w:spacing w:after="240"/>
      <w:ind w:firstLine="720"/>
      <w:jc w:val="both"/>
    </w:pPr>
    <w:rPr>
      <w:sz w:val="16"/>
    </w:rPr>
  </w:style>
  <w:style w:type="paragraph" w:customStyle="1" w:styleId="zDocID">
    <w:name w:val="zDocID"/>
    <w:pPr>
      <w:framePr w:w="10800" w:hSpace="180" w:vSpace="180" w:wrap="around" w:vAnchor="page" w:hAnchor="page" w:x="721" w:y="14833" w:anchorLock="1"/>
      <w:tabs>
        <w:tab w:val="right" w:pos="10800"/>
      </w:tabs>
    </w:pPr>
    <w:rPr>
      <w:noProof/>
      <w:sz w:val="16"/>
      <w:lang w:eastAsia="ja-JP"/>
    </w:rPr>
  </w:style>
  <w:style w:type="paragraph" w:customStyle="1" w:styleId="Maintitle">
    <w:name w:val="Maintitle"/>
    <w:basedOn w:val="Bod"/>
    <w:pPr>
      <w:ind w:firstLine="0"/>
      <w:jc w:val="center"/>
    </w:pPr>
    <w:rPr>
      <w:caps/>
    </w:rPr>
  </w:style>
  <w:style w:type="paragraph" w:styleId="BalloonText">
    <w:name w:val="Balloon Text"/>
    <w:basedOn w:val="Normal"/>
    <w:semiHidden/>
    <w:rPr>
      <w:rFonts w:ascii="Tahoma" w:hAnsi="Tahoma" w:cs="Tahoma"/>
      <w:sz w:val="16"/>
      <w:szCs w:val="16"/>
    </w:rPr>
  </w:style>
  <w:style w:type="character" w:customStyle="1" w:styleId="DocID">
    <w:name w:val="DocID"/>
    <w:rPr>
      <w:rFonts w:ascii="Times New Roman" w:hAnsi="Times New Roman" w:cs="Times New Roman"/>
      <w:b w:val="0"/>
      <w:i w:val="0"/>
      <w:caps w:val="0"/>
      <w:color w:val="auto"/>
      <w:spacing w:val="0"/>
      <w:sz w:val="16"/>
      <w:u w:val="none"/>
    </w:rPr>
  </w:style>
  <w:style w:type="character" w:styleId="CommentReference">
    <w:name w:val="annotation reference"/>
    <w:rsid w:val="0074768E"/>
    <w:rPr>
      <w:sz w:val="18"/>
      <w:szCs w:val="18"/>
    </w:rPr>
  </w:style>
  <w:style w:type="paragraph" w:styleId="CommentText">
    <w:name w:val="annotation text"/>
    <w:basedOn w:val="Normal"/>
    <w:link w:val="CommentTextChar"/>
    <w:rsid w:val="0074768E"/>
    <w:rPr>
      <w:sz w:val="24"/>
      <w:szCs w:val="24"/>
    </w:rPr>
  </w:style>
  <w:style w:type="character" w:customStyle="1" w:styleId="CommentTextChar">
    <w:name w:val="Comment Text Char"/>
    <w:link w:val="CommentText"/>
    <w:rsid w:val="0074768E"/>
    <w:rPr>
      <w:sz w:val="24"/>
      <w:szCs w:val="24"/>
      <w:lang w:eastAsia="ja-JP"/>
    </w:rPr>
  </w:style>
  <w:style w:type="paragraph" w:styleId="CommentSubject">
    <w:name w:val="annotation subject"/>
    <w:basedOn w:val="CommentText"/>
    <w:next w:val="CommentText"/>
    <w:link w:val="CommentSubjectChar"/>
    <w:rsid w:val="0074768E"/>
    <w:rPr>
      <w:b/>
      <w:bCs/>
      <w:sz w:val="20"/>
      <w:szCs w:val="20"/>
    </w:rPr>
  </w:style>
  <w:style w:type="character" w:customStyle="1" w:styleId="CommentSubjectChar">
    <w:name w:val="Comment Subject Char"/>
    <w:link w:val="CommentSubject"/>
    <w:rsid w:val="0074768E"/>
    <w:rPr>
      <w:b/>
      <w:bCs/>
      <w:sz w:val="24"/>
      <w:szCs w:val="24"/>
      <w:lang w:eastAsia="ja-JP"/>
    </w:rPr>
  </w:style>
  <w:style w:type="character" w:customStyle="1" w:styleId="BodyTextIndent3Char">
    <w:name w:val="Body Text Indent 3 Char"/>
    <w:link w:val="BodyTextIndent3"/>
    <w:rsid w:val="00592411"/>
    <w:rPr>
      <w:sz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Shaunak Turaga (Docsum)</dc:creator>
  <cp:keywords/>
  <dc:description/>
  <cp:lastModifiedBy>Shaunak Turaga (Docsum)</cp:lastModifiedBy>
  <cp:revision>2</cp:revision>
  <cp:lastPrinted>1601-01-01T00:00:00Z</cp:lastPrinted>
  <dcterms:created xsi:type="dcterms:W3CDTF">2024-10-04T21:26:00Z</dcterms:created>
  <dcterms:modified xsi:type="dcterms:W3CDTF">2024-10-04T21:26:00Z</dcterms:modified>
  <cp:category/>
  <cp:contentStatus/>
</cp:coreProperties>
</file>