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6624"/>
        <w:gridCol w:w="4032"/>
      </w:tblGrid>
      <w:tr>
        <w:tc>
          <w:tcPr>
            <w:tcW w:type="dxa" w:w="5328"/>
            <w:tcMar>
              <w:top w:w="0" w:type="dxa"/>
              <w:bottom w:w="0" w:type="dxa"/>
              <w:start w:w="0" w:type="dxa"/>
              <w:end w:w="0" w:type="dxa"/>
            </w:tcMar>
          </w:tcPr>
          <w:p>
            <w:pPr>
              <w:spacing w:after="0"/>
            </w:pPr>
            <w:r>
              <w:drawing>
                <wp:inline xmlns:a="http://schemas.openxmlformats.org/drawingml/2006/main" xmlns:pic="http://schemas.openxmlformats.org/drawingml/2006/picture">
                  <wp:extent cx="310896" cy="321617"/>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10896" cy="321617"/>
                          </a:xfrm>
                          <a:prstGeom prst="rect"/>
                        </pic:spPr>
                      </pic:pic>
                    </a:graphicData>
                  </a:graphic>
                </wp:inline>
              </w:drawing>
            </w:r>
            <w:r>
              <w:t xml:space="preserve">  </w:t>
            </w:r>
            <w:r>
              <w:rPr>
                <w:rFonts w:ascii="Segoe UI" w:hAnsi="Segoe UI"/>
                <w:b/>
                <w:i w:val="0"/>
                <w:color w:val="1C3A5E"/>
                <w:sz w:val="30"/>
                <w:spacing w:val="28"/>
              </w:rPr>
              <w:t>BONS REALTY</w:t>
            </w:r>
          </w:p>
          <w:p>
            <w:pPr>
              <w:spacing w:before="20"/>
            </w:pPr>
            <w:r>
              <w:rPr>
                <w:rFonts w:ascii="Segoe UI" w:hAnsi="Segoe UI"/>
                <w:b/>
                <w:i w:val="0"/>
                <w:color w:val="5B6B7A"/>
                <w:sz w:val="13"/>
                <w:spacing w:val="52"/>
              </w:rPr>
              <w:t>TRUSTED LOCAL GUIDANCE</w:t>
            </w:r>
          </w:p>
        </w:tc>
        <w:tc>
          <w:tcPr>
            <w:tcW w:type="dxa" w:w="5328"/>
            <w:tcMar>
              <w:top w:w="0" w:type="dxa"/>
              <w:bottom w:w="0" w:type="dxa"/>
              <w:start w:w="0" w:type="dxa"/>
              <w:end w:w="0" w:type="dxa"/>
            </w:tcMar>
          </w:tcPr>
          <w:p>
            <w:pPr>
              <w:spacing w:after="0"/>
              <w:jc w:val="right"/>
            </w:pPr>
            <w:r>
              <w:rPr>
                <w:rFonts w:ascii="Segoe UI" w:hAnsi="Segoe UI"/>
                <w:b/>
                <w:i w:val="0"/>
                <w:color w:val="5B6B7A"/>
                <w:sz w:val="13"/>
                <w:spacing w:val="24"/>
              </w:rPr>
              <w:t>LISTING PACKET · HOMEOWNER RESOURCE</w:t>
            </w:r>
          </w:p>
          <w:p>
            <w:pPr>
              <w:spacing w:before="20"/>
              <w:jc w:val="right"/>
            </w:pPr>
            <w:r>
              <w:rPr>
                <w:rFonts w:ascii="Segoe UI" w:hAnsi="Segoe UI"/>
                <w:b/>
                <w:i w:val="0"/>
                <w:color w:val="1C3A5E"/>
                <w:sz w:val="16"/>
              </w:rPr>
              <w:t>Property Improvement Brief</w:t>
            </w:r>
          </w:p>
        </w:tc>
      </w:tr>
    </w:tbl>
    <w:p>
      <w:pPr>
        <w:spacing w:before="60" w:after="0"/>
        <w:pBdr>
          <w:bottom w:val="single" w:sz="18" w:space="1" w:color="1C3A5E"/>
        </w:pBdr>
      </w:pPr>
    </w:p>
    <w:p>
      <w:pPr>
        <w:spacing w:after="0" w:line="240" w:lineRule="auto"/>
      </w:pPr>
      <w:r>
        <w:rPr>
          <w:sz w:val="8"/>
        </w:rPr>
      </w:r>
    </w:p>
    <w:tbl>
      <w:tblPr>
        <w:tblW w:type="auto" w:w="0"/>
        <w:tblLook w:firstColumn="1" w:firstRow="1" w:lastColumn="0" w:lastRow="0" w:noHBand="0" w:noVBand="1" w:val="04A0"/>
        <w:tblBorders>
          <w:top w:val="single" w:sz="2" w:space="0" w:color="1C3A5E"/>
          <w:left w:val="single" w:sz="2" w:space="0" w:color="1C3A5E"/>
          <w:bottom w:val="single" w:sz="2" w:space="0" w:color="1C3A5E"/>
          <w:right w:val="single" w:sz="2" w:space="0" w:color="1C3A5E"/>
          <w:insideH w:val="single" w:sz="2" w:space="0" w:color="1C3A5E"/>
          <w:insideV w:val="single" w:sz="2" w:space="0" w:color="1C3A5E"/>
        </w:tblBorders>
      </w:tblPr>
      <w:tblGrid>
        <w:gridCol w:w="10656"/>
      </w:tblGrid>
      <w:tr>
        <w:tc>
          <w:tcPr>
            <w:tcW w:type="dxa" w:w="10656"/>
            <w:shd w:val="clear" w:color="auto" w:fill="1C3A5E"/>
            <w:tcMar>
              <w:top w:w="150" w:type="dxa"/>
              <w:bottom w:w="150" w:type="dxa"/>
              <w:start w:w="200" w:type="dxa"/>
              <w:end w:w="200" w:type="dxa"/>
            </w:tcMar>
          </w:tcPr>
          <w:p>
            <w:pPr>
              <w:spacing w:after="40"/>
            </w:pPr>
            <w:r>
              <w:rPr>
                <w:rFonts w:ascii="Segoe UI" w:hAnsi="Segoe UI"/>
                <w:b/>
                <w:i w:val="0"/>
                <w:color w:val="A9C2DC"/>
                <w:sz w:val="13"/>
                <w:spacing w:val="26"/>
              </w:rPr>
              <w:t>HEATING &amp; COOLING · EDUCATIONAL OVERVIEW</w:t>
            </w:r>
          </w:p>
          <w:p>
            <w:pPr>
              <w:spacing w:after="60"/>
            </w:pPr>
            <w:r>
              <w:rPr>
                <w:rFonts w:ascii="Segoe UI" w:hAnsi="Segoe UI"/>
                <w:b/>
                <w:i w:val="0"/>
                <w:color w:val="FFFFFF"/>
                <w:sz w:val="38"/>
              </w:rPr>
              <w:t>Potential HVAC Upgrade Option for This Home</w:t>
            </w:r>
          </w:p>
          <w:p>
            <w:r>
              <w:rPr>
                <w:rFonts w:ascii="Segoe UI" w:hAnsi="Segoe UI"/>
                <w:b w:val="0"/>
                <w:i w:val="0"/>
                <w:color w:val="D5E2EF"/>
                <w:sz w:val="20"/>
              </w:rPr>
              <w:t>Efficient whole-home heating and cooling — without existing ductwork.</w:t>
            </w:r>
          </w:p>
        </w:tc>
      </w:tr>
    </w:tbl>
    <w:p>
      <w:pPr>
        <w:spacing w:before="180" w:after="60"/>
      </w:pPr>
      <w:r>
        <w:rPr>
          <w:rFonts w:ascii="Segoe UI" w:hAnsi="Segoe UI"/>
          <w:b/>
          <w:i w:val="0"/>
          <w:color w:val="B98A3E"/>
          <w:sz w:val="22"/>
        </w:rPr>
        <w:t xml:space="preserve">—  </w:t>
      </w:r>
      <w:r>
        <w:rPr>
          <w:rFonts w:ascii="Segoe UI" w:hAnsi="Segoe UI"/>
          <w:b/>
          <w:i w:val="0"/>
          <w:color w:val="1C3A5E"/>
          <w:sz w:val="23"/>
        </w:rPr>
        <w:t>Considering Central Air?</w:t>
      </w:r>
    </w:p>
    <w:p>
      <w:pPr>
        <w:spacing w:after="40"/>
      </w:pPr>
      <w:r>
        <w:rPr>
          <w:rFonts w:ascii="Segoe UI" w:hAnsi="Segoe UI"/>
          <w:b w:val="0"/>
          <w:i w:val="0"/>
          <w:color w:val="26303A"/>
          <w:sz w:val="18"/>
        </w:rPr>
        <w:t xml:space="preserve">Homes without existing ductwork can be difficult and costly to fit for traditional central air. A </w:t>
      </w:r>
      <w:r>
        <w:rPr>
          <w:rFonts w:ascii="Segoe UI" w:hAnsi="Segoe UI"/>
          <w:b/>
          <w:i w:val="0"/>
          <w:color w:val="1C3A5E"/>
          <w:sz w:val="18"/>
        </w:rPr>
        <w:t>ductless mini-split system</w:t>
      </w:r>
      <w:r>
        <w:rPr>
          <w:rFonts w:ascii="Segoe UI" w:hAnsi="Segoe UI"/>
          <w:b w:val="0"/>
          <w:i w:val="0"/>
          <w:color w:val="26303A"/>
          <w:sz w:val="18"/>
        </w:rPr>
        <w:t xml:space="preserve"> may offer an alternative worth exploring. A mini-split pairs one compact outdoor unit with one or more slim indoor units, delivering both </w:t>
      </w:r>
      <w:r>
        <w:rPr>
          <w:rFonts w:ascii="Segoe UI" w:hAnsi="Segoe UI"/>
          <w:b/>
          <w:i w:val="0"/>
          <w:color w:val="1C3A5E"/>
          <w:sz w:val="18"/>
        </w:rPr>
        <w:t>heating and cooling</w:t>
      </w:r>
      <w:r>
        <w:rPr>
          <w:rFonts w:ascii="Segoe UI" w:hAnsi="Segoe UI"/>
          <w:b w:val="0"/>
          <w:i w:val="0"/>
          <w:color w:val="26303A"/>
          <w:sz w:val="18"/>
        </w:rPr>
        <w:t xml:space="preserve"> year-round. Because refrigerant lines run through a small opening rather than bulky ducts, </w:t>
      </w:r>
      <w:r>
        <w:rPr>
          <w:rFonts w:ascii="Segoe UI" w:hAnsi="Segoe UI"/>
          <w:b/>
          <w:i w:val="0"/>
          <w:color w:val="1C3A5E"/>
          <w:sz w:val="18"/>
        </w:rPr>
        <w:t>no existing ductwork is required</w:t>
      </w:r>
      <w:r>
        <w:rPr>
          <w:rFonts w:ascii="Segoe UI" w:hAnsi="Segoe UI"/>
          <w:b w:val="0"/>
          <w:i w:val="0"/>
          <w:color w:val="26303A"/>
          <w:sz w:val="18"/>
        </w:rPr>
        <w:t>—which can make it a practical consideration for older homes. Whether it is the right fit here depends on the property and should be confirmed by a licensed contractor.</w:t>
      </w:r>
    </w:p>
    <w:p>
      <w:pPr>
        <w:spacing w:after="0" w:line="240" w:lineRule="auto"/>
      </w:pPr>
      <w:r>
        <w:rPr>
          <w:sz w:val="8"/>
        </w:rPr>
      </w:r>
    </w:p>
    <w:tbl>
      <w:tblPr>
        <w:tblW w:type="auto" w:w="0"/>
        <w:tblLook w:firstColumn="1" w:firstRow="1" w:lastColumn="0" w:lastRow="0" w:noHBand="0" w:noVBand="1" w:val="04A0"/>
        <w:tblBorders>
          <w:top w:val="none"/>
          <w:left w:val="none"/>
          <w:bottom w:val="none"/>
          <w:right w:val="none"/>
          <w:insideH w:val="none"/>
          <w:insideV w:val="none"/>
        </w:tblBorders>
      </w:tblPr>
      <w:tblGrid>
        <w:gridCol w:w="5328"/>
        <w:gridCol w:w="5328"/>
      </w:tblGrid>
      <w:tr>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9914"/>
                        <wp:docPr id="2" name="Picture 2"/>
                        <wp:cNvGraphicFramePr>
                          <a:graphicFrameLocks noChangeAspect="1"/>
                        </wp:cNvGraphicFramePr>
                        <a:graphic>
                          <a:graphicData uri="http://schemas.openxmlformats.org/drawingml/2006/picture">
                            <pic:pic>
                              <pic:nvPicPr>
                                <pic:cNvPr id="0" name="ic_noduct.png"/>
                                <pic:cNvPicPr/>
                              </pic:nvPicPr>
                              <pic:blipFill>
                                <a:blip r:embed="rId10"/>
                                <a:stretch>
                                  <a:fillRect/>
                                </a:stretch>
                              </pic:blipFill>
                              <pic:spPr>
                                <a:xfrm>
                                  <a:off x="0" y="0"/>
                                  <a:ext cx="201168" cy="209914"/>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No Existing Ductwork Needed</w:t>
                  </w:r>
                </w:p>
                <w:p>
                  <w:pPr>
                    <w:spacing w:after="0" w:line="252" w:lineRule="auto"/>
                  </w:pPr>
                  <w:r>
                    <w:rPr>
                      <w:rFonts w:ascii="Segoe UI" w:hAnsi="Segoe UI"/>
                      <w:b w:val="0"/>
                      <w:i w:val="0"/>
                      <w:color w:val="5B6B7A"/>
                      <w:sz w:val="16"/>
                    </w:rPr>
                    <w:t>Installs where ducts don’t exist or aren’t practical.</w:t>
                  </w:r>
                </w:p>
              </w:tc>
            </w:tr>
          </w:tbl>
          <w:p/>
        </w:tc>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1168"/>
                        <wp:docPr id="3" name="Picture 3"/>
                        <wp:cNvGraphicFramePr>
                          <a:graphicFrameLocks noChangeAspect="1"/>
                        </wp:cNvGraphicFramePr>
                        <a:graphic>
                          <a:graphicData uri="http://schemas.openxmlformats.org/drawingml/2006/picture">
                            <pic:pic>
                              <pic:nvPicPr>
                                <pic:cNvPr id="0" name="ic_disrupt.png"/>
                                <pic:cNvPicPr/>
                              </pic:nvPicPr>
                              <pic:blipFill>
                                <a:blip r:embed="rId11"/>
                                <a:stretch>
                                  <a:fillRect/>
                                </a:stretch>
                              </pic:blipFill>
                              <pic:spPr>
                                <a:xfrm>
                                  <a:off x="0" y="0"/>
                                  <a:ext cx="201168" cy="201168"/>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Minimal Disruption</w:t>
                  </w:r>
                </w:p>
                <w:p>
                  <w:pPr>
                    <w:spacing w:after="0" w:line="252" w:lineRule="auto"/>
                  </w:pPr>
                  <w:r>
                    <w:rPr>
                      <w:rFonts w:ascii="Segoe UI" w:hAnsi="Segoe UI"/>
                      <w:b w:val="0"/>
                      <w:i w:val="0"/>
                      <w:color w:val="5B6B7A"/>
                      <w:sz w:val="16"/>
                    </w:rPr>
                    <w:t>Typically installed in a day or two with little demolition.</w:t>
                  </w:r>
                </w:p>
              </w:tc>
            </w:tr>
          </w:tbl>
          <w:p/>
        </w:tc>
      </w:tr>
      <w:tr>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9914"/>
                        <wp:docPr id="4" name="Picture 4"/>
                        <wp:cNvGraphicFramePr>
                          <a:graphicFrameLocks noChangeAspect="1"/>
                        </wp:cNvGraphicFramePr>
                        <a:graphic>
                          <a:graphicData uri="http://schemas.openxmlformats.org/drawingml/2006/picture">
                            <pic:pic>
                              <pic:nvPicPr>
                                <pic:cNvPr id="0" name="ic_efficient.png"/>
                                <pic:cNvPicPr/>
                              </pic:nvPicPr>
                              <pic:blipFill>
                                <a:blip r:embed="rId12"/>
                                <a:stretch>
                                  <a:fillRect/>
                                </a:stretch>
                              </pic:blipFill>
                              <pic:spPr>
                                <a:xfrm>
                                  <a:off x="0" y="0"/>
                                  <a:ext cx="201168" cy="209914"/>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Energy Efficient</w:t>
                  </w:r>
                </w:p>
                <w:p>
                  <w:pPr>
                    <w:spacing w:after="0" w:line="252" w:lineRule="auto"/>
                  </w:pPr>
                  <w:r>
                    <w:rPr>
                      <w:rFonts w:ascii="Segoe UI" w:hAnsi="Segoe UI"/>
                      <w:b w:val="0"/>
                      <w:i w:val="0"/>
                      <w:color w:val="5B6B7A"/>
                      <w:sz w:val="16"/>
                    </w:rPr>
                    <w:t>Inverter heat-pump technology can lower energy use.</w:t>
                  </w:r>
                </w:p>
              </w:tc>
            </w:tr>
          </w:tbl>
          <w:p/>
        </w:tc>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1168"/>
                        <wp:docPr id="5" name="Picture 5"/>
                        <wp:cNvGraphicFramePr>
                          <a:graphicFrameLocks noChangeAspect="1"/>
                        </wp:cNvGraphicFramePr>
                        <a:graphic>
                          <a:graphicData uri="http://schemas.openxmlformats.org/drawingml/2006/picture">
                            <pic:pic>
                              <pic:nvPicPr>
                                <pic:cNvPr id="0" name="ic_quiet.png"/>
                                <pic:cNvPicPr/>
                              </pic:nvPicPr>
                              <pic:blipFill>
                                <a:blip r:embed="rId13"/>
                                <a:stretch>
                                  <a:fillRect/>
                                </a:stretch>
                              </pic:blipFill>
                              <pic:spPr>
                                <a:xfrm>
                                  <a:off x="0" y="0"/>
                                  <a:ext cx="201168" cy="201168"/>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Quiet Operation</w:t>
                  </w:r>
                </w:p>
                <w:p>
                  <w:pPr>
                    <w:spacing w:after="0" w:line="252" w:lineRule="auto"/>
                  </w:pPr>
                  <w:r>
                    <w:rPr>
                      <w:rFonts w:ascii="Segoe UI" w:hAnsi="Segoe UI"/>
                      <w:b w:val="0"/>
                      <w:i w:val="0"/>
                      <w:color w:val="5B6B7A"/>
                      <w:sz w:val="16"/>
                    </w:rPr>
                    <w:t>Indoor units run softly—often near a whisper.</w:t>
                  </w:r>
                </w:p>
              </w:tc>
            </w:tr>
          </w:tbl>
          <w:p/>
        </w:tc>
      </w:tr>
      <w:tr>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9914"/>
                        <wp:docPr id="6" name="Picture 6"/>
                        <wp:cNvGraphicFramePr>
                          <a:graphicFrameLocks noChangeAspect="1"/>
                        </wp:cNvGraphicFramePr>
                        <a:graphic>
                          <a:graphicData uri="http://schemas.openxmlformats.org/drawingml/2006/picture">
                            <pic:pic>
                              <pic:nvPicPr>
                                <pic:cNvPr id="0" name="ic_control.png"/>
                                <pic:cNvPicPr/>
                              </pic:nvPicPr>
                              <pic:blipFill>
                                <a:blip r:embed="rId14"/>
                                <a:stretch>
                                  <a:fillRect/>
                                </a:stretch>
                              </pic:blipFill>
                              <pic:spPr>
                                <a:xfrm>
                                  <a:off x="0" y="0"/>
                                  <a:ext cx="201168" cy="209914"/>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Individual Room Control</w:t>
                  </w:r>
                </w:p>
                <w:p>
                  <w:pPr>
                    <w:spacing w:after="0" w:line="252" w:lineRule="auto"/>
                  </w:pPr>
                  <w:r>
                    <w:rPr>
                      <w:rFonts w:ascii="Segoe UI" w:hAnsi="Segoe UI"/>
                      <w:b w:val="0"/>
                      <w:i w:val="0"/>
                      <w:color w:val="5B6B7A"/>
                      <w:sz w:val="16"/>
                    </w:rPr>
                    <w:t>Set each zone’s temperature independently.</w:t>
                  </w:r>
                </w:p>
              </w:tc>
            </w:tr>
          </w:tbl>
          <w:p/>
        </w:tc>
        <w:tc>
          <w:tcPr>
            <w:tcW w:type="dxa" w:w="5328"/>
            <w:tcMar>
              <w:top w:w="30" w:type="dxa"/>
              <w:bottom w:w="60" w:type="dxa"/>
              <w:start w:w="20" w:type="dxa"/>
              <w:end w:w="120" w:type="dxa"/>
            </w:tcMar>
          </w:tcPr>
          <w:tbl>
            <w:tblPr>
              <w:tblW w:type="auto" w:w="0"/>
              <w:tblLook w:firstColumn="1" w:firstRow="1" w:lastColumn="0" w:lastRow="0" w:noHBand="0" w:noVBand="1" w:val="04A0"/>
              <w:tblBorders>
                <w:top w:val="none"/>
                <w:left w:val="none"/>
                <w:bottom w:val="none"/>
                <w:right w:val="none"/>
                <w:insideH w:val="none"/>
                <w:insideV w:val="none"/>
              </w:tblBorders>
            </w:tblPr>
            <w:tblGrid>
              <w:gridCol w:w="461"/>
              <w:gridCol w:w="4464"/>
            </w:tblGrid>
            <w:tr>
              <w:tc>
                <w:tcPr>
                  <w:tcW w:type="dxa" w:w="2664"/>
                  <w:tcMar>
                    <w:top w:w="10" w:type="dxa"/>
                    <w:bottom w:w="0" w:type="dxa"/>
                    <w:start w:w="0" w:type="dxa"/>
                    <w:end w:w="40" w:type="dxa"/>
                  </w:tcMar>
                </w:tcPr>
                <w:p>
                  <w:pPr>
                    <w:spacing w:after="0"/>
                  </w:pPr>
                  <w:r>
                    <w:drawing>
                      <wp:inline xmlns:a="http://schemas.openxmlformats.org/drawingml/2006/main" xmlns:pic="http://schemas.openxmlformats.org/drawingml/2006/picture">
                        <wp:extent cx="201168" cy="201168"/>
                        <wp:docPr id="7" name="Picture 7"/>
                        <wp:cNvGraphicFramePr>
                          <a:graphicFrameLocks noChangeAspect="1"/>
                        </wp:cNvGraphicFramePr>
                        <a:graphic>
                          <a:graphicData uri="http://schemas.openxmlformats.org/drawingml/2006/picture">
                            <pic:pic>
                              <pic:nvPicPr>
                                <pic:cNvPr id="0" name="ic_ranch.png"/>
                                <pic:cNvPicPr/>
                              </pic:nvPicPr>
                              <pic:blipFill>
                                <a:blip r:embed="rId15"/>
                                <a:stretch>
                                  <a:fillRect/>
                                </a:stretch>
                              </pic:blipFill>
                              <pic:spPr>
                                <a:xfrm>
                                  <a:off x="0" y="0"/>
                                  <a:ext cx="201168" cy="201168"/>
                                </a:xfrm>
                                <a:prstGeom prst="rect"/>
                              </pic:spPr>
                            </pic:pic>
                          </a:graphicData>
                        </a:graphic>
                      </wp:inline>
                    </w:drawing>
                  </w:r>
                </w:p>
              </w:tc>
              <w:tc>
                <w:tcPr>
                  <w:tcW w:type="dxa" w:w="2664"/>
                  <w:tcMar>
                    <w:top w:w="0" w:type="dxa"/>
                    <w:bottom w:w="0" w:type="dxa"/>
                    <w:start w:w="0" w:type="dxa"/>
                    <w:end w:w="0" w:type="dxa"/>
                  </w:tcMar>
                </w:tcPr>
                <w:p>
                  <w:pPr>
                    <w:spacing w:after="0" w:line="252" w:lineRule="auto"/>
                  </w:pPr>
                  <w:r>
                    <w:rPr>
                      <w:rFonts w:ascii="Segoe UI" w:hAnsi="Segoe UI"/>
                      <w:b/>
                      <w:i w:val="0"/>
                      <w:color w:val="1C3A5E"/>
                      <w:sz w:val="18"/>
                    </w:rPr>
                    <w:t>Great Retrofit for Ranch Homes</w:t>
                  </w:r>
                </w:p>
                <w:p>
                  <w:pPr>
                    <w:spacing w:after="0" w:line="252" w:lineRule="auto"/>
                  </w:pPr>
                  <w:r>
                    <w:rPr>
                      <w:rFonts w:ascii="Segoe UI" w:hAnsi="Segoe UI"/>
                      <w:b w:val="0"/>
                      <w:i w:val="0"/>
                      <w:color w:val="5B6B7A"/>
                      <w:sz w:val="16"/>
                    </w:rPr>
                    <w:t>Often an excellent fit for older single-story layouts.</w:t>
                  </w:r>
                </w:p>
              </w:tc>
            </w:tr>
          </w:tbl>
          <w:p/>
        </w:tc>
      </w:tr>
    </w:tbl>
    <w:p>
      <w:pPr>
        <w:spacing w:after="0" w:line="240" w:lineRule="auto"/>
      </w:pPr>
      <w:r>
        <w:rPr>
          <w:sz w:val="8"/>
        </w:rPr>
      </w:r>
    </w:p>
    <w:tbl>
      <w:tblPr>
        <w:tblW w:type="auto" w:w="0"/>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664"/>
        <w:gridCol w:w="2664"/>
        <w:gridCol w:w="5328"/>
      </w:tblGrid>
      <w:tr>
        <w:tc>
          <w:tcPr>
            <w:tcW w:type="dxa" w:w="3552"/>
            <w:shd w:val="clear" w:color="auto" w:fill="F4F6F9"/>
            <w:tcMar>
              <w:top w:w="60" w:type="dxa"/>
              <w:bottom w:w="50" w:type="dxa"/>
              <w:start w:w="60" w:type="dxa"/>
              <w:end w:w="60" w:type="dxa"/>
            </w:tcMar>
          </w:tcPr>
          <w:p>
            <w:pPr>
              <w:spacing w:after="40"/>
              <w:jc w:val="center"/>
            </w:pPr>
            <w:r>
              <w:drawing>
                <wp:inline xmlns:a="http://schemas.openxmlformats.org/drawingml/2006/main" xmlns:pic="http://schemas.openxmlformats.org/drawingml/2006/picture">
                  <wp:extent cx="868680" cy="951851"/>
                  <wp:docPr id="8" name="Picture 8"/>
                  <wp:cNvGraphicFramePr>
                    <a:graphicFrameLocks noChangeAspect="1"/>
                  </wp:cNvGraphicFramePr>
                  <a:graphic>
                    <a:graphicData uri="http://schemas.openxmlformats.org/drawingml/2006/picture">
                      <pic:pic>
                        <pic:nvPicPr>
                          <pic:cNvPr id="0" name="fig_condenser.png"/>
                          <pic:cNvPicPr/>
                        </pic:nvPicPr>
                        <pic:blipFill>
                          <a:blip r:embed="rId16"/>
                          <a:stretch>
                            <a:fillRect/>
                          </a:stretch>
                        </pic:blipFill>
                        <pic:spPr>
                          <a:xfrm>
                            <a:off x="0" y="0"/>
                            <a:ext cx="868680" cy="951851"/>
                          </a:xfrm>
                          <a:prstGeom prst="rect"/>
                        </pic:spPr>
                      </pic:pic>
                    </a:graphicData>
                  </a:graphic>
                </wp:inline>
              </w:drawing>
            </w:r>
          </w:p>
          <w:p>
            <w:pPr>
              <w:spacing w:after="0"/>
              <w:jc w:val="center"/>
            </w:pPr>
            <w:r>
              <w:rPr>
                <w:rFonts w:ascii="Segoe UI" w:hAnsi="Segoe UI"/>
                <w:b/>
                <w:i w:val="0"/>
                <w:color w:val="5B6B7A"/>
                <w:sz w:val="13"/>
                <w:spacing w:val="12"/>
              </w:rPr>
              <w:t>OUTDOOR CONDENSER</w:t>
            </w:r>
          </w:p>
        </w:tc>
        <w:tc>
          <w:tcPr>
            <w:tcW w:type="dxa" w:w="3552"/>
            <w:shd w:val="clear" w:color="auto" w:fill="F4F6F9"/>
            <w:tcMar>
              <w:top w:w="60" w:type="dxa"/>
              <w:bottom w:w="50" w:type="dxa"/>
              <w:start w:w="60" w:type="dxa"/>
              <w:end w:w="60" w:type="dxa"/>
            </w:tcMar>
          </w:tcPr>
          <w:p>
            <w:pPr>
              <w:spacing w:after="40"/>
              <w:jc w:val="center"/>
            </w:pPr>
            <w:r>
              <w:drawing>
                <wp:inline xmlns:a="http://schemas.openxmlformats.org/drawingml/2006/main" xmlns:pic="http://schemas.openxmlformats.org/drawingml/2006/picture">
                  <wp:extent cx="868680" cy="962086"/>
                  <wp:docPr id="9" name="Picture 9"/>
                  <wp:cNvGraphicFramePr>
                    <a:graphicFrameLocks noChangeAspect="1"/>
                  </wp:cNvGraphicFramePr>
                  <a:graphic>
                    <a:graphicData uri="http://schemas.openxmlformats.org/drawingml/2006/picture">
                      <pic:pic>
                        <pic:nvPicPr>
                          <pic:cNvPr id="0" name="fig_wallunit.png"/>
                          <pic:cNvPicPr/>
                        </pic:nvPicPr>
                        <pic:blipFill>
                          <a:blip r:embed="rId17"/>
                          <a:stretch>
                            <a:fillRect/>
                          </a:stretch>
                        </pic:blipFill>
                        <pic:spPr>
                          <a:xfrm>
                            <a:off x="0" y="0"/>
                            <a:ext cx="868680" cy="962086"/>
                          </a:xfrm>
                          <a:prstGeom prst="rect"/>
                        </pic:spPr>
                      </pic:pic>
                    </a:graphicData>
                  </a:graphic>
                </wp:inline>
              </w:drawing>
            </w:r>
          </w:p>
          <w:p>
            <w:pPr>
              <w:spacing w:after="0"/>
              <w:jc w:val="center"/>
            </w:pPr>
            <w:r>
              <w:rPr>
                <w:rFonts w:ascii="Segoe UI" w:hAnsi="Segoe UI"/>
                <w:b/>
                <w:i w:val="0"/>
                <w:color w:val="5B6B7A"/>
                <w:sz w:val="13"/>
                <w:spacing w:val="12"/>
              </w:rPr>
              <w:t>INDOOR WALL UNIT</w:t>
            </w:r>
          </w:p>
        </w:tc>
        <w:tc>
          <w:tcPr>
            <w:tcW w:type="dxa" w:w="3552"/>
            <w:shd w:val="clear" w:color="auto" w:fill="F4F6F9"/>
            <w:tcMar>
              <w:top w:w="60" w:type="dxa"/>
              <w:bottom w:w="50" w:type="dxa"/>
              <w:start w:w="60" w:type="dxa"/>
              <w:end w:w="60" w:type="dxa"/>
            </w:tcMar>
          </w:tcPr>
          <w:p>
            <w:pPr>
              <w:spacing w:after="40"/>
              <w:jc w:val="center"/>
            </w:pPr>
            <w:r>
              <w:drawing>
                <wp:inline xmlns:a="http://schemas.openxmlformats.org/drawingml/2006/main" xmlns:pic="http://schemas.openxmlformats.org/drawingml/2006/picture">
                  <wp:extent cx="1554480" cy="1362173"/>
                  <wp:docPr id="10" name="Picture 10"/>
                  <wp:cNvGraphicFramePr>
                    <a:graphicFrameLocks noChangeAspect="1"/>
                  </wp:cNvGraphicFramePr>
                  <a:graphic>
                    <a:graphicData uri="http://schemas.openxmlformats.org/drawingml/2006/picture">
                      <pic:pic>
                        <pic:nvPicPr>
                          <pic:cNvPr id="0" name="fig_diagram.png"/>
                          <pic:cNvPicPr/>
                        </pic:nvPicPr>
                        <pic:blipFill>
                          <a:blip r:embed="rId18"/>
                          <a:stretch>
                            <a:fillRect/>
                          </a:stretch>
                        </pic:blipFill>
                        <pic:spPr>
                          <a:xfrm>
                            <a:off x="0" y="0"/>
                            <a:ext cx="1554480" cy="1362173"/>
                          </a:xfrm>
                          <a:prstGeom prst="rect"/>
                        </pic:spPr>
                      </pic:pic>
                    </a:graphicData>
                  </a:graphic>
                </wp:inline>
              </w:drawing>
            </w:r>
          </w:p>
          <w:p>
            <w:pPr>
              <w:spacing w:after="0"/>
              <w:jc w:val="center"/>
            </w:pPr>
            <w:r>
              <w:rPr>
                <w:rFonts w:ascii="Segoe UI" w:hAnsi="Segoe UI"/>
                <w:b/>
                <w:i w:val="0"/>
                <w:color w:val="5B6B7A"/>
                <w:sz w:val="13"/>
                <w:spacing w:val="12"/>
              </w:rPr>
              <w:t>ONE OUTDOOR UNIT · MULTIPLE INDOOR ZONES</w:t>
            </w:r>
          </w:p>
        </w:tc>
      </w:tr>
    </w:tbl>
    <w:p>
      <w:pPr>
        <w:spacing w:before="180" w:after="60"/>
      </w:pPr>
      <w:r>
        <w:rPr>
          <w:rFonts w:ascii="Segoe UI" w:hAnsi="Segoe UI"/>
          <w:b/>
          <w:i w:val="0"/>
          <w:color w:val="B98A3E"/>
          <w:sz w:val="22"/>
        </w:rPr>
        <w:t xml:space="preserve">—  </w:t>
      </w:r>
      <w:r>
        <w:rPr>
          <w:rFonts w:ascii="Segoe UI" w:hAnsi="Segoe UI"/>
          <w:b/>
          <w:i w:val="0"/>
          <w:color w:val="1C3A5E"/>
          <w:sz w:val="23"/>
        </w:rPr>
        <w:t>Typical Installed Costs — Chicago Area</w:t>
      </w:r>
    </w:p>
    <w:tbl>
      <w:tblPr>
        <w:tblW w:type="auto" w:w="0"/>
        <w:tblLook w:firstColumn="1" w:firstRow="1" w:lastColumn="0" w:lastRow="0" w:noHBand="0" w:noVBand="1" w:val="04A0"/>
        <w:jc w:val="center"/>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60"/>
        <w:gridCol w:w="5472"/>
        <w:gridCol w:w="3024"/>
      </w:tblGrid>
      <w:tr>
        <w:tc>
          <w:tcPr>
            <w:tcW w:type="dxa" w:w="3552"/>
            <w:shd w:val="clear" w:color="auto" w:fill="1C3A5E"/>
            <w:tcMar>
              <w:top w:w="55" w:type="dxa"/>
              <w:bottom w:w="55" w:type="dxa"/>
              <w:start w:w="110" w:type="dxa"/>
              <w:end w:w="110" w:type="dxa"/>
            </w:tcMar>
          </w:tcPr>
          <w:p>
            <w:pPr>
              <w:spacing w:after="0"/>
            </w:pPr>
            <w:r>
              <w:rPr>
                <w:rFonts w:ascii="Segoe UI" w:hAnsi="Segoe UI"/>
                <w:b/>
                <w:i w:val="0"/>
                <w:color w:val="FFFFFF"/>
                <w:sz w:val="16"/>
                <w:spacing w:val="8"/>
              </w:rPr>
              <w:t>CONFIGURATION</w:t>
            </w:r>
          </w:p>
        </w:tc>
        <w:tc>
          <w:tcPr>
            <w:tcW w:type="dxa" w:w="3552"/>
            <w:shd w:val="clear" w:color="auto" w:fill="1C3A5E"/>
            <w:tcMar>
              <w:top w:w="55" w:type="dxa"/>
              <w:bottom w:w="55" w:type="dxa"/>
              <w:start w:w="110" w:type="dxa"/>
              <w:end w:w="110" w:type="dxa"/>
            </w:tcMar>
          </w:tcPr>
          <w:p>
            <w:pPr>
              <w:spacing w:after="0"/>
            </w:pPr>
            <w:r>
              <w:rPr>
                <w:rFonts w:ascii="Segoe UI" w:hAnsi="Segoe UI"/>
                <w:b/>
                <w:i w:val="0"/>
                <w:color w:val="FFFFFF"/>
                <w:sz w:val="16"/>
                <w:spacing w:val="8"/>
              </w:rPr>
              <w:t>WHAT IT COMMONLY SERVES</w:t>
            </w:r>
          </w:p>
        </w:tc>
        <w:tc>
          <w:tcPr>
            <w:tcW w:type="dxa" w:w="3552"/>
            <w:shd w:val="clear" w:color="auto" w:fill="1C3A5E"/>
            <w:tcMar>
              <w:top w:w="55" w:type="dxa"/>
              <w:bottom w:w="55" w:type="dxa"/>
              <w:start w:w="110" w:type="dxa"/>
              <w:end w:w="110" w:type="dxa"/>
            </w:tcMar>
          </w:tcPr>
          <w:p>
            <w:pPr>
              <w:spacing w:after="0"/>
              <w:jc w:val="right"/>
            </w:pPr>
            <w:r>
              <w:rPr>
                <w:rFonts w:ascii="Segoe UI" w:hAnsi="Segoe UI"/>
                <w:b/>
                <w:i w:val="0"/>
                <w:color w:val="FFFFFF"/>
                <w:sz w:val="16"/>
                <w:spacing w:val="8"/>
              </w:rPr>
              <w:t>TYPICAL INSTALLED RANGE</w:t>
            </w:r>
          </w:p>
        </w:tc>
      </w:tr>
      <w:tr>
        <w:tc>
          <w:tcPr>
            <w:tcW w:type="dxa" w:w="3552"/>
            <w:tcMar>
              <w:top w:w="60" w:type="dxa"/>
              <w:bottom w:w="60" w:type="dxa"/>
              <w:start w:w="110" w:type="dxa"/>
              <w:end w:w="110" w:type="dxa"/>
            </w:tcMar>
          </w:tcPr>
          <w:p>
            <w:pPr>
              <w:spacing w:after="0"/>
            </w:pPr>
            <w:r>
              <w:rPr>
                <w:rFonts w:ascii="Segoe UI" w:hAnsi="Segoe UI"/>
                <w:b/>
                <w:i w:val="0"/>
                <w:color w:val="1C3A5E"/>
                <w:sz w:val="18"/>
              </w:rPr>
              <w:t>Single Zone</w:t>
            </w:r>
          </w:p>
        </w:tc>
        <w:tc>
          <w:tcPr>
            <w:tcW w:type="dxa" w:w="3552"/>
            <w:tcMar>
              <w:top w:w="60" w:type="dxa"/>
              <w:bottom w:w="60" w:type="dxa"/>
              <w:start w:w="110" w:type="dxa"/>
              <w:end w:w="110" w:type="dxa"/>
            </w:tcMar>
          </w:tcPr>
          <w:p>
            <w:pPr>
              <w:spacing w:after="0"/>
            </w:pPr>
            <w:r>
              <w:rPr>
                <w:rFonts w:ascii="Segoe UI" w:hAnsi="Segoe UI"/>
                <w:b w:val="0"/>
                <w:i w:val="0"/>
                <w:color w:val="5B6B7A"/>
                <w:sz w:val="16"/>
              </w:rPr>
              <w:t>One room or open area — e.g., a primary bedroom or living room</w:t>
            </w:r>
          </w:p>
        </w:tc>
        <w:tc>
          <w:tcPr>
            <w:tcW w:type="dxa" w:w="3552"/>
            <w:tcMar>
              <w:top w:w="60" w:type="dxa"/>
              <w:bottom w:w="60" w:type="dxa"/>
              <w:start w:w="110" w:type="dxa"/>
              <w:end w:w="110" w:type="dxa"/>
            </w:tcMar>
          </w:tcPr>
          <w:p>
            <w:pPr>
              <w:spacing w:after="0"/>
              <w:jc w:val="right"/>
            </w:pPr>
            <w:r>
              <w:rPr>
                <w:rFonts w:ascii="Segoe UI" w:hAnsi="Segoe UI"/>
                <w:b/>
                <w:i w:val="0"/>
                <w:color w:val="1C3A5E"/>
                <w:sz w:val="18"/>
              </w:rPr>
              <w:t>$2,500 – $7,000</w:t>
            </w:r>
          </w:p>
        </w:tc>
      </w:tr>
      <w:tr>
        <w:tc>
          <w:tcPr>
            <w:tcW w:type="dxa" w:w="3552"/>
            <w:shd w:val="clear" w:color="auto" w:fill="F4F6F9"/>
            <w:tcMar>
              <w:top w:w="60" w:type="dxa"/>
              <w:bottom w:w="60" w:type="dxa"/>
              <w:start w:w="110" w:type="dxa"/>
              <w:end w:w="110" w:type="dxa"/>
            </w:tcMar>
          </w:tcPr>
          <w:p>
            <w:pPr>
              <w:spacing w:after="0"/>
            </w:pPr>
            <w:r>
              <w:rPr>
                <w:rFonts w:ascii="Segoe UI" w:hAnsi="Segoe UI"/>
                <w:b/>
                <w:i w:val="0"/>
                <w:color w:val="1C3A5E"/>
                <w:sz w:val="18"/>
              </w:rPr>
              <w:t>Three Zones</w:t>
            </w:r>
          </w:p>
        </w:tc>
        <w:tc>
          <w:tcPr>
            <w:tcW w:type="dxa" w:w="3552"/>
            <w:shd w:val="clear" w:color="auto" w:fill="F4F6F9"/>
            <w:tcMar>
              <w:top w:w="60" w:type="dxa"/>
              <w:bottom w:w="60" w:type="dxa"/>
              <w:start w:w="110" w:type="dxa"/>
              <w:end w:w="110" w:type="dxa"/>
            </w:tcMar>
          </w:tcPr>
          <w:p>
            <w:pPr>
              <w:spacing w:after="0"/>
            </w:pPr>
            <w:r>
              <w:rPr>
                <w:rFonts w:ascii="Segoe UI" w:hAnsi="Segoe UI"/>
                <w:b w:val="0"/>
                <w:i w:val="0"/>
                <w:color w:val="5B6B7A"/>
                <w:sz w:val="16"/>
              </w:rPr>
              <w:t>Several rooms on one system — common for a small home or main level</w:t>
            </w:r>
          </w:p>
        </w:tc>
        <w:tc>
          <w:tcPr>
            <w:tcW w:type="dxa" w:w="3552"/>
            <w:shd w:val="clear" w:color="auto" w:fill="F4F6F9"/>
            <w:tcMar>
              <w:top w:w="60" w:type="dxa"/>
              <w:bottom w:w="60" w:type="dxa"/>
              <w:start w:w="110" w:type="dxa"/>
              <w:end w:w="110" w:type="dxa"/>
            </w:tcMar>
          </w:tcPr>
          <w:p>
            <w:pPr>
              <w:spacing w:after="0"/>
              <w:jc w:val="right"/>
            </w:pPr>
            <w:r>
              <w:rPr>
                <w:rFonts w:ascii="Segoe UI" w:hAnsi="Segoe UI"/>
                <w:b/>
                <w:i w:val="0"/>
                <w:color w:val="1C3A5E"/>
                <w:sz w:val="18"/>
              </w:rPr>
              <w:t>$7,000 – $12,000</w:t>
            </w:r>
          </w:p>
        </w:tc>
      </w:tr>
      <w:tr>
        <w:tc>
          <w:tcPr>
            <w:tcW w:type="dxa" w:w="3552"/>
            <w:tcMar>
              <w:top w:w="60" w:type="dxa"/>
              <w:bottom w:w="60" w:type="dxa"/>
              <w:start w:w="110" w:type="dxa"/>
              <w:end w:w="110" w:type="dxa"/>
            </w:tcMar>
          </w:tcPr>
          <w:p>
            <w:pPr>
              <w:spacing w:after="0"/>
            </w:pPr>
            <w:r>
              <w:rPr>
                <w:rFonts w:ascii="Segoe UI" w:hAnsi="Segoe UI"/>
                <w:b/>
                <w:i w:val="0"/>
                <w:color w:val="1C3A5E"/>
                <w:sz w:val="18"/>
              </w:rPr>
              <w:t>Four Zones</w:t>
            </w:r>
          </w:p>
        </w:tc>
        <w:tc>
          <w:tcPr>
            <w:tcW w:type="dxa" w:w="3552"/>
            <w:tcMar>
              <w:top w:w="60" w:type="dxa"/>
              <w:bottom w:w="60" w:type="dxa"/>
              <w:start w:w="110" w:type="dxa"/>
              <w:end w:w="110" w:type="dxa"/>
            </w:tcMar>
          </w:tcPr>
          <w:p>
            <w:pPr>
              <w:spacing w:after="0"/>
            </w:pPr>
            <w:r>
              <w:rPr>
                <w:rFonts w:ascii="Segoe UI" w:hAnsi="Segoe UI"/>
                <w:b w:val="0"/>
                <w:i w:val="0"/>
                <w:color w:val="5B6B7A"/>
                <w:sz w:val="16"/>
              </w:rPr>
              <w:t>Whole-home coverage across four separate areas</w:t>
            </w:r>
          </w:p>
        </w:tc>
        <w:tc>
          <w:tcPr>
            <w:tcW w:type="dxa" w:w="3552"/>
            <w:tcMar>
              <w:top w:w="60" w:type="dxa"/>
              <w:bottom w:w="60" w:type="dxa"/>
              <w:start w:w="110" w:type="dxa"/>
              <w:end w:w="110" w:type="dxa"/>
            </w:tcMar>
          </w:tcPr>
          <w:p>
            <w:pPr>
              <w:spacing w:after="0"/>
              <w:jc w:val="right"/>
            </w:pPr>
            <w:r>
              <w:rPr>
                <w:rFonts w:ascii="Segoe UI" w:hAnsi="Segoe UI"/>
                <w:b/>
                <w:i w:val="0"/>
                <w:color w:val="1C3A5E"/>
                <w:sz w:val="18"/>
              </w:rPr>
              <w:t>$9,000 – $18,000</w:t>
            </w:r>
          </w:p>
        </w:tc>
      </w:tr>
    </w:tbl>
    <w:p>
      <w:pPr>
        <w:spacing w:before="60" w:after="0"/>
      </w:pPr>
      <w:r>
        <w:rPr>
          <w:rFonts w:ascii="Segoe UI" w:hAnsi="Segoe UI"/>
          <w:b w:val="0"/>
          <w:i/>
          <w:color w:val="5B6B7A"/>
          <w:sz w:val="15"/>
        </w:rPr>
        <w:t>Pricing varies with equipment brand, efficiency (SEER2), line-set length, electrical work, permits, and site conditions. Figures are general estimates for illustration only, not a quote.</w:t>
      </w:r>
    </w:p>
    <w:p>
      <w:pPr>
        <w:spacing w:before="180" w:after="60"/>
      </w:pPr>
      <w:r>
        <w:rPr>
          <w:rFonts w:ascii="Segoe UI" w:hAnsi="Segoe UI"/>
          <w:b/>
          <w:i w:val="0"/>
          <w:color w:val="B98A3E"/>
          <w:sz w:val="22"/>
        </w:rPr>
        <w:t xml:space="preserve">—  </w:t>
      </w:r>
      <w:r>
        <w:rPr>
          <w:rFonts w:ascii="Segoe UI" w:hAnsi="Segoe UI"/>
          <w:b/>
          <w:i w:val="0"/>
          <w:color w:val="1C3A5E"/>
          <w:sz w:val="23"/>
        </w:rPr>
        <w:t>Popular Manufacturers</w:t>
      </w:r>
    </w:p>
    <w:tbl>
      <w:tblPr>
        <w:tblW w:type="auto" w:w="0"/>
        <w:tblLook w:firstColumn="1" w:firstRow="1" w:lastColumn="0" w:lastRow="0" w:noHBand="0" w:noVBand="1" w:val="04A0"/>
        <w:jc w:val="center"/>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664"/>
        <w:gridCol w:w="2664"/>
        <w:gridCol w:w="2664"/>
        <w:gridCol w:w="2664"/>
      </w:tblGrid>
      <w:tr>
        <w:tc>
          <w:tcPr>
            <w:tcW w:type="dxa" w:w="2664"/>
            <w:tcMar>
              <w:top w:w="80" w:type="dxa"/>
              <w:bottom w:w="70" w:type="dxa"/>
              <w:start w:w="60" w:type="dxa"/>
              <w:end w:w="60" w:type="dxa"/>
            </w:tcMar>
          </w:tcPr>
          <w:p>
            <w:pPr>
              <w:spacing w:after="60"/>
              <w:jc w:val="center"/>
            </w:pPr>
            <w:r>
              <w:drawing>
                <wp:inline xmlns:a="http://schemas.openxmlformats.org/drawingml/2006/main" xmlns:pic="http://schemas.openxmlformats.org/drawingml/2006/picture">
                  <wp:extent cx="658368" cy="658368"/>
                  <wp:docPr id="11" name="Picture 11"/>
                  <wp:cNvGraphicFramePr>
                    <a:graphicFrameLocks noChangeAspect="1"/>
                  </wp:cNvGraphicFramePr>
                  <a:graphic>
                    <a:graphicData uri="http://schemas.openxmlformats.org/drawingml/2006/picture">
                      <pic:pic>
                        <pic:nvPicPr>
                          <pic:cNvPr id="0" name="qr_mitsubishi.png"/>
                          <pic:cNvPicPr/>
                        </pic:nvPicPr>
                        <pic:blipFill>
                          <a:blip r:embed="rId19"/>
                          <a:stretch>
                            <a:fillRect/>
                          </a:stretch>
                        </pic:blipFill>
                        <pic:spPr>
                          <a:xfrm>
                            <a:off x="0" y="0"/>
                            <a:ext cx="658368" cy="658368"/>
                          </a:xfrm>
                          <a:prstGeom prst="rect"/>
                        </pic:spPr>
                      </pic:pic>
                    </a:graphicData>
                  </a:graphic>
                </wp:inline>
              </w:drawing>
            </w:r>
          </w:p>
          <w:p>
            <w:pPr>
              <w:spacing w:after="20"/>
              <w:jc w:val="center"/>
            </w:pPr>
            <w:r>
              <w:rPr>
                <w:rFonts w:ascii="Segoe UI" w:hAnsi="Segoe UI"/>
                <w:b/>
                <w:i w:val="0"/>
                <w:color w:val="1C3A5E"/>
                <w:sz w:val="17"/>
              </w:rPr>
              <w:t>Mitsubishi Electric</w:t>
            </w:r>
          </w:p>
          <w:p>
            <w:pPr>
              <w:spacing w:after="0"/>
              <w:jc w:val="center"/>
            </w:pPr>
            <w:hyperlink r:id="rId20">
              <w:r>
                <w:rPr>
                  <w:rFonts w:ascii="Segoe UI" w:hAnsi="Segoe UI"/>
                  <w:sz w:val="13"/>
                  <w:color w:val="5B6B7A"/>
                </w:rPr>
                <w:t>mitsubishicomfort.com</w:t>
              </w:r>
            </w:hyperlink>
          </w:p>
        </w:tc>
        <w:tc>
          <w:tcPr>
            <w:tcW w:type="dxa" w:w="2664"/>
            <w:tcMar>
              <w:top w:w="80" w:type="dxa"/>
              <w:bottom w:w="70" w:type="dxa"/>
              <w:start w:w="60" w:type="dxa"/>
              <w:end w:w="60" w:type="dxa"/>
            </w:tcMar>
          </w:tcPr>
          <w:p>
            <w:pPr>
              <w:spacing w:after="60"/>
              <w:jc w:val="center"/>
            </w:pPr>
            <w:r>
              <w:drawing>
                <wp:inline xmlns:a="http://schemas.openxmlformats.org/drawingml/2006/main" xmlns:pic="http://schemas.openxmlformats.org/drawingml/2006/picture">
                  <wp:extent cx="658368" cy="658368"/>
                  <wp:docPr id="12" name="Picture 12"/>
                  <wp:cNvGraphicFramePr>
                    <a:graphicFrameLocks noChangeAspect="1"/>
                  </wp:cNvGraphicFramePr>
                  <a:graphic>
                    <a:graphicData uri="http://schemas.openxmlformats.org/drawingml/2006/picture">
                      <pic:pic>
                        <pic:nvPicPr>
                          <pic:cNvPr id="0" name="qr_daikin.png"/>
                          <pic:cNvPicPr/>
                        </pic:nvPicPr>
                        <pic:blipFill>
                          <a:blip r:embed="rId21"/>
                          <a:stretch>
                            <a:fillRect/>
                          </a:stretch>
                        </pic:blipFill>
                        <pic:spPr>
                          <a:xfrm>
                            <a:off x="0" y="0"/>
                            <a:ext cx="658368" cy="658368"/>
                          </a:xfrm>
                          <a:prstGeom prst="rect"/>
                        </pic:spPr>
                      </pic:pic>
                    </a:graphicData>
                  </a:graphic>
                </wp:inline>
              </w:drawing>
            </w:r>
          </w:p>
          <w:p>
            <w:pPr>
              <w:spacing w:after="20"/>
              <w:jc w:val="center"/>
            </w:pPr>
            <w:r>
              <w:rPr>
                <w:rFonts w:ascii="Segoe UI" w:hAnsi="Segoe UI"/>
                <w:b/>
                <w:i w:val="0"/>
                <w:color w:val="1C3A5E"/>
                <w:sz w:val="17"/>
              </w:rPr>
              <w:t>Daikin</w:t>
            </w:r>
          </w:p>
          <w:p>
            <w:pPr>
              <w:spacing w:after="0"/>
              <w:jc w:val="center"/>
            </w:pPr>
            <w:hyperlink r:id="rId22">
              <w:r>
                <w:rPr>
                  <w:rFonts w:ascii="Segoe UI" w:hAnsi="Segoe UI"/>
                  <w:sz w:val="13"/>
                  <w:color w:val="5B6B7A"/>
                </w:rPr>
                <w:t>daikincomfort.com</w:t>
              </w:r>
            </w:hyperlink>
          </w:p>
        </w:tc>
        <w:tc>
          <w:tcPr>
            <w:tcW w:type="dxa" w:w="2664"/>
            <w:tcMar>
              <w:top w:w="80" w:type="dxa"/>
              <w:bottom w:w="70" w:type="dxa"/>
              <w:start w:w="60" w:type="dxa"/>
              <w:end w:w="60" w:type="dxa"/>
            </w:tcMar>
          </w:tcPr>
          <w:p>
            <w:pPr>
              <w:spacing w:after="60"/>
              <w:jc w:val="center"/>
            </w:pPr>
            <w:r>
              <w:drawing>
                <wp:inline xmlns:a="http://schemas.openxmlformats.org/drawingml/2006/main" xmlns:pic="http://schemas.openxmlformats.org/drawingml/2006/picture">
                  <wp:extent cx="658368" cy="658368"/>
                  <wp:docPr id="13" name="Picture 13"/>
                  <wp:cNvGraphicFramePr>
                    <a:graphicFrameLocks noChangeAspect="1"/>
                  </wp:cNvGraphicFramePr>
                  <a:graphic>
                    <a:graphicData uri="http://schemas.openxmlformats.org/drawingml/2006/picture">
                      <pic:pic>
                        <pic:nvPicPr>
                          <pic:cNvPr id="0" name="qr_fujitsu.png"/>
                          <pic:cNvPicPr/>
                        </pic:nvPicPr>
                        <pic:blipFill>
                          <a:blip r:embed="rId23"/>
                          <a:stretch>
                            <a:fillRect/>
                          </a:stretch>
                        </pic:blipFill>
                        <pic:spPr>
                          <a:xfrm>
                            <a:off x="0" y="0"/>
                            <a:ext cx="658368" cy="658368"/>
                          </a:xfrm>
                          <a:prstGeom prst="rect"/>
                        </pic:spPr>
                      </pic:pic>
                    </a:graphicData>
                  </a:graphic>
                </wp:inline>
              </w:drawing>
            </w:r>
          </w:p>
          <w:p>
            <w:pPr>
              <w:spacing w:after="20"/>
              <w:jc w:val="center"/>
            </w:pPr>
            <w:r>
              <w:rPr>
                <w:rFonts w:ascii="Segoe UI" w:hAnsi="Segoe UI"/>
                <w:b/>
                <w:i w:val="0"/>
                <w:color w:val="1C3A5E"/>
                <w:sz w:val="17"/>
              </w:rPr>
              <w:t>Fujitsu (AIRSTAGE)</w:t>
            </w:r>
          </w:p>
          <w:p>
            <w:pPr>
              <w:spacing w:after="0"/>
              <w:jc w:val="center"/>
            </w:pPr>
            <w:hyperlink r:id="rId24">
              <w:r>
                <w:rPr>
                  <w:rFonts w:ascii="Segoe UI" w:hAnsi="Segoe UI"/>
                  <w:sz w:val="13"/>
                  <w:color w:val="5B6B7A"/>
                </w:rPr>
                <w:t>fujitsugeneral.com/us</w:t>
              </w:r>
            </w:hyperlink>
          </w:p>
        </w:tc>
        <w:tc>
          <w:tcPr>
            <w:tcW w:type="dxa" w:w="2664"/>
            <w:tcMar>
              <w:top w:w="80" w:type="dxa"/>
              <w:bottom w:w="70" w:type="dxa"/>
              <w:start w:w="60" w:type="dxa"/>
              <w:end w:w="60" w:type="dxa"/>
            </w:tcMar>
          </w:tcPr>
          <w:p>
            <w:pPr>
              <w:spacing w:after="60"/>
              <w:jc w:val="center"/>
            </w:pPr>
            <w:r>
              <w:drawing>
                <wp:inline xmlns:a="http://schemas.openxmlformats.org/drawingml/2006/main" xmlns:pic="http://schemas.openxmlformats.org/drawingml/2006/picture">
                  <wp:extent cx="658368" cy="658368"/>
                  <wp:docPr id="14" name="Picture 14"/>
                  <wp:cNvGraphicFramePr>
                    <a:graphicFrameLocks noChangeAspect="1"/>
                  </wp:cNvGraphicFramePr>
                  <a:graphic>
                    <a:graphicData uri="http://schemas.openxmlformats.org/drawingml/2006/picture">
                      <pic:pic>
                        <pic:nvPicPr>
                          <pic:cNvPr id="0" name="qr_lg.png"/>
                          <pic:cNvPicPr/>
                        </pic:nvPicPr>
                        <pic:blipFill>
                          <a:blip r:embed="rId25"/>
                          <a:stretch>
                            <a:fillRect/>
                          </a:stretch>
                        </pic:blipFill>
                        <pic:spPr>
                          <a:xfrm>
                            <a:off x="0" y="0"/>
                            <a:ext cx="658368" cy="658368"/>
                          </a:xfrm>
                          <a:prstGeom prst="rect"/>
                        </pic:spPr>
                      </pic:pic>
                    </a:graphicData>
                  </a:graphic>
                </wp:inline>
              </w:drawing>
            </w:r>
          </w:p>
          <w:p>
            <w:pPr>
              <w:spacing w:after="20"/>
              <w:jc w:val="center"/>
            </w:pPr>
            <w:r>
              <w:rPr>
                <w:rFonts w:ascii="Segoe UI" w:hAnsi="Segoe UI"/>
                <w:b/>
                <w:i w:val="0"/>
                <w:color w:val="1C3A5E"/>
                <w:sz w:val="17"/>
              </w:rPr>
              <w:t>LG</w:t>
            </w:r>
          </w:p>
          <w:p>
            <w:pPr>
              <w:spacing w:after="0"/>
              <w:jc w:val="center"/>
            </w:pPr>
            <w:hyperlink r:id="rId26">
              <w:r>
                <w:rPr>
                  <w:rFonts w:ascii="Segoe UI" w:hAnsi="Segoe UI"/>
                  <w:sz w:val="13"/>
                  <w:color w:val="5B6B7A"/>
                </w:rPr>
                <w:t>lg.com/us/residential-hvac</w:t>
              </w:r>
            </w:hyperlink>
          </w:p>
        </w:tc>
      </w:tr>
    </w:tbl>
    <w:p>
      <w:pPr>
        <w:spacing w:before="60" w:after="0"/>
        <w:jc w:val="center"/>
      </w:pPr>
      <w:r>
        <w:rPr>
          <w:rFonts w:ascii="Segoe UI" w:hAnsi="Segoe UI"/>
          <w:b w:val="0"/>
          <w:i w:val="0"/>
          <w:color w:val="5B6B7A"/>
          <w:sz w:val="14"/>
        </w:rPr>
        <w:t>Scan a code (or click a link) to explore each manufacturer’s official ductless line-up. Listed alphabetically by category; not an endorsement.</w:t>
      </w:r>
    </w:p>
    <w:p>
      <w:pPr>
        <w:spacing w:after="0" w:line="240" w:lineRule="auto"/>
      </w:pPr>
      <w:r>
        <w:rPr>
          <w:sz w:val="12"/>
        </w:rPr>
      </w:r>
    </w:p>
    <w:tbl>
      <w:tblPr>
        <w:tblW w:type="auto" w:w="0"/>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0656"/>
      </w:tblGrid>
      <w:tr>
        <w:tc>
          <w:tcPr>
            <w:tcW w:type="dxa" w:w="10656"/>
            <w:shd w:val="clear" w:color="auto" w:fill="F4F6F9"/>
            <w:tcMar>
              <w:top w:w="90" w:type="dxa"/>
              <w:bottom w:w="90" w:type="dxa"/>
              <w:start w:w="130" w:type="dxa"/>
              <w:end w:w="130" w:type="dxa"/>
            </w:tcMar>
            <w:tcBorders>
              <w:left w:val="single" w:sz="22" w:space="0" w:color="1C3A5E"/>
            </w:tcBorders>
          </w:tcPr>
          <w:p>
            <w:pPr>
              <w:spacing w:after="40"/>
            </w:pPr>
            <w:r>
              <w:rPr>
                <w:rFonts w:ascii="Segoe UI" w:hAnsi="Segoe UI"/>
                <w:b/>
                <w:i w:val="0"/>
                <w:color w:val="1C3A5E"/>
                <w:sz w:val="14"/>
                <w:spacing w:val="16"/>
              </w:rPr>
              <w:t>IMPORTANT DISCLAIMER</w:t>
            </w:r>
          </w:p>
          <w:p>
            <w:pPr>
              <w:spacing w:after="0" w:line="283" w:lineRule="auto"/>
            </w:pPr>
            <w:r>
              <w:rPr>
                <w:rFonts w:ascii="Segoe UI" w:hAnsi="Segoe UI"/>
                <w:b w:val="0"/>
                <w:i w:val="0"/>
                <w:color w:val="5B6B7A"/>
                <w:sz w:val="14"/>
              </w:rPr>
              <w:t>This information is provided solely for general educational purposes to illustrate one potential HVAC upgrade option. Bons Realty and its agents are not licensed HVAC contractors and make no representation or warranty regarding suitability, installation feasibility, costs, savings, permits, or code compliance. Buyers should obtain an independent evaluation and written estimate from a qualified, licensed HVAC contractor.</w:t>
            </w:r>
          </w:p>
        </w:tc>
      </w:tr>
    </w:tbl>
    <w:p>
      <w:pPr>
        <w:spacing w:after="0" w:line="240" w:lineRule="auto"/>
      </w:pPr>
      <w:r>
        <w:rPr>
          <w:sz w:val="8"/>
        </w:rPr>
      </w:r>
    </w:p>
    <w:p>
      <w:pPr>
        <w:spacing w:after="20"/>
      </w:pPr>
      <w:r>
        <w:rPr>
          <w:rFonts w:ascii="Segoe UI" w:hAnsi="Segoe UI"/>
          <w:b/>
          <w:i w:val="0"/>
          <w:color w:val="5B6B7A"/>
          <w:sz w:val="13"/>
          <w:spacing w:val="14"/>
        </w:rPr>
        <w:t>SOURCES &amp; REFERENCES</w:t>
      </w:r>
    </w:p>
    <w:tbl>
      <w:tblPr>
        <w:tblW w:type="auto" w:w="0"/>
        <w:tblLook w:firstColumn="1" w:firstRow="1" w:lastColumn="0" w:lastRow="0" w:noHBand="0" w:noVBand="1" w:val="04A0"/>
        <w:tblBorders>
          <w:top w:val="none"/>
          <w:left w:val="none"/>
          <w:bottom w:val="none"/>
          <w:right w:val="none"/>
          <w:insideH w:val="none"/>
          <w:insideV w:val="none"/>
        </w:tblBorders>
      </w:tblPr>
      <w:tblGrid>
        <w:gridCol w:w="5328"/>
        <w:gridCol w:w="5328"/>
      </w:tblGrid>
      <w:tr>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1. U.S. Dept. of Energy, “Ductless Mini-Split Heat Pumps,” energy.gov — system operation, efficiency, and zoning.</w:t>
            </w:r>
          </w:p>
        </w:tc>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2. EnergySage, “How Much Does a Mini-Split Cost?” (2025) — single-zone installed-cost ranges.</w:t>
            </w:r>
          </w:p>
        </w:tc>
      </w:tr>
      <w:tr>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3. HomeGuide &amp; Angi mini-split cost guides (2025–2026) — multi-zone installed-cost ranges.</w:t>
            </w:r>
          </w:p>
        </w:tc>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4. Carrier / manufacturer cost guides — per-zone pricing and installation factors.</w:t>
            </w:r>
          </w:p>
        </w:tc>
      </w:tr>
      <w:tr>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5. Manufacturer sites: mitsubishicomfort.com, daikincomfort.com, fujitsugeneral.com, lg.com.</w:t>
            </w:r>
          </w:p>
        </w:tc>
        <w:tc>
          <w:tcPr>
            <w:tcW w:type="dxa" w:w="5328"/>
            <w:tcMar>
              <w:top w:w="6" w:type="dxa"/>
              <w:bottom w:w="6" w:type="dxa"/>
              <w:start w:w="0" w:type="dxa"/>
              <w:end w:w="120" w:type="dxa"/>
            </w:tcMar>
          </w:tcPr>
          <w:p>
            <w:pPr>
              <w:spacing w:after="0" w:line="252" w:lineRule="auto"/>
            </w:pPr>
            <w:r>
              <w:rPr>
                <w:rFonts w:ascii="Segoe UI" w:hAnsi="Segoe UI"/>
                <w:b w:val="0"/>
                <w:i w:val="0"/>
                <w:color w:val="5B6B7A"/>
                <w:sz w:val="13"/>
              </w:rPr>
              <w:t>6. ENERGY STAR, “Ductless Heating &amp; Cooling,” energystar.gov — efficiency &amp; comfort benefits.</w:t>
            </w:r>
          </w:p>
        </w:tc>
      </w:tr>
    </w:tbl>
    <w:p>
      <w:pPr>
        <w:spacing w:before="100" w:after="60"/>
        <w:pBdr>
          <w:top w:val="single" w:sz="6" w:space="1" w:color="D9DEE5"/>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5328"/>
        <w:gridCol w:w="5328"/>
      </w:tblGrid>
      <w:tr>
        <w:tc>
          <w:tcPr>
            <w:tcW w:type="dxa" w:w="5328"/>
          </w:tcPr>
          <w:p>
            <w:pPr>
              <w:spacing w:after="0"/>
            </w:pPr>
            <w:r>
              <w:rPr>
                <w:rFonts w:ascii="Segoe UI" w:hAnsi="Segoe UI"/>
                <w:b/>
                <w:i w:val="0"/>
                <w:color w:val="1C3A5E"/>
                <w:sz w:val="14"/>
                <w:spacing w:val="8"/>
              </w:rPr>
              <w:t>BONS REALTY</w:t>
            </w:r>
            <w:r>
              <w:rPr>
                <w:rFonts w:ascii="Segoe UI" w:hAnsi="Segoe UI"/>
                <w:b w:val="0"/>
                <w:i w:val="0"/>
                <w:color w:val="5B6B7A"/>
                <w:sz w:val="14"/>
              </w:rPr>
              <w:t xml:space="preserve">   ·   sean@bonsrealty.com</w:t>
            </w:r>
          </w:p>
        </w:tc>
        <w:tc>
          <w:tcPr>
            <w:tcW w:type="dxa" w:w="5328"/>
          </w:tcPr>
          <w:p>
            <w:pPr>
              <w:spacing w:after="0"/>
              <w:jc w:val="right"/>
            </w:pPr>
            <w:r>
              <w:rPr>
                <w:rFonts w:ascii="Segoe UI" w:hAnsi="Segoe UI"/>
                <w:b w:val="0"/>
                <w:i w:val="0"/>
                <w:color w:val="5B6B7A"/>
                <w:sz w:val="13"/>
              </w:rPr>
              <w:t>Educational homeowner resource · Not an offer, appraisal, or contractor estimate · Rev. 2026</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Segoe UI" w:hAnsi="Segoe UI"/>
      <w:color w:val="26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mitsubishicomfort.com" TargetMode="External"/><Relationship Id="rId21" Type="http://schemas.openxmlformats.org/officeDocument/2006/relationships/image" Target="media/image12.png"/><Relationship Id="rId22" Type="http://schemas.openxmlformats.org/officeDocument/2006/relationships/hyperlink" Target="https://www.daikincomfort.com" TargetMode="External"/><Relationship Id="rId23" Type="http://schemas.openxmlformats.org/officeDocument/2006/relationships/image" Target="media/image13.png"/><Relationship Id="rId24" Type="http://schemas.openxmlformats.org/officeDocument/2006/relationships/hyperlink" Target="https://www.fujitsugeneral.com/us/residential/" TargetMode="External"/><Relationship Id="rId25" Type="http://schemas.openxmlformats.org/officeDocument/2006/relationships/image" Target="media/image14.png"/><Relationship Id="rId26" Type="http://schemas.openxmlformats.org/officeDocument/2006/relationships/hyperlink" Target="https://www.lg.com/us/residential-hv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