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6"/>
        </w:rPr>
        <w:t>Ideation Phase</w:t>
        <w:br/>
      </w:r>
      <w:r>
        <w:rPr>
          <w:rFonts w:ascii="Calibri" w:hAnsi="Calibri"/>
          <w:b/>
          <w:color w:val="595959"/>
          <w:sz w:val="28"/>
        </w:rPr>
        <w:t>Empathize &amp; Discover</w:t>
      </w:r>
    </w:p>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single" w:sz="4" w:space="0" w:color="E0E0E0"/>
        </w:tblBorders>
        <w:tblBorders>
          <w:top w:val="single" w:sz="4" w:space="0" w:color="D3D3D3"/>
          <w:bottom w:val="single" w:sz="4" w:space="0" w:color="D3D3D3"/>
          <w:left w:val="single" w:sz="4" w:space="0" w:color="D3D3D3"/>
          <w:right w:val="single" w:sz="4" w:space="0" w:color="D3D3D3"/>
          <w:insideH w:val="single" w:sz="4" w:space="0" w:color="E0E0E0"/>
          <w:insideV w:val="single" w:sz="4" w:space="0" w:color="E0E0E0"/>
        </w:tblBorders>
        <w:tblBorders>
          <w:top w:val="single" w:sz="4" w:space="0" w:color="D3D3D3"/>
          <w:bottom w:val="single" w:sz="4" w:space="0" w:color="D3D3D3"/>
          <w:left w:val="single" w:sz="4" w:space="0" w:color="D3D3D3"/>
          <w:right w:val="single" w:sz="4" w:space="0" w:color="D3D3D3"/>
          <w:insideH w:val="single" w:sz="4" w:space="0" w:color="E0E0E0"/>
          <w:insideV w:val="single" w:sz="4" w:space="0" w:color="E0E0E0"/>
        </w:tblBorders>
        <w:tblBorders>
          <w:top w:val="single" w:sz="4" w:space="0" w:color="D3D3D3"/>
          <w:bottom w:val="single" w:sz="4" w:space="0" w:color="D3D3D3"/>
          <w:left w:val="single" w:sz="4" w:space="0" w:color="D3D3D3"/>
          <w:right w:val="single" w:sz="4" w:space="0" w:color="D3D3D3"/>
          <w:insideH w:val="single" w:sz="4" w:space="0" w:color="E0E0E0"/>
          <w:insideV w:val="single" w:sz="4" w:space="0" w:color="E0E0E0"/>
        </w:tblBorders>
      </w:tblPr>
      <w:tblGrid>
        <w:gridCol w:w="4680"/>
        <w:gridCol w:w="4680"/>
      </w:tblGrid>
      <w:tr>
        <w:tc>
          <w:tcPr>
            <w:tcW w:type="dxa" w:w="2880"/>
            <w:tcMar>
              <w:top w:w="100" w:type="dxa"/>
              <w:bottom w:w="100" w:type="dxa"/>
              <w:left w:w="150" w:type="dxa"/>
              <w:right w:w="150" w:type="dxa"/>
            </w:tcMar>
          </w:tcPr>
          <w:p>
            <w:r>
              <w:rPr>
                <w:b/>
                <w:color w:val="1F4E79"/>
                <w:sz w:val="21"/>
              </w:rPr>
              <w:t>Date</w:t>
            </w:r>
          </w:p>
        </w:tc>
        <w:tc>
          <w:tcPr>
            <w:tcW w:type="dxa" w:w="6480"/>
            <w:tcMar>
              <w:top w:w="100" w:type="dxa"/>
              <w:bottom w:w="100" w:type="dxa"/>
              <w:left w:w="150" w:type="dxa"/>
              <w:right w:w="150" w:type="dxa"/>
            </w:tcMar>
          </w:tcPr>
          <w:p>
            <w:r>
              <w:rPr>
                <w:sz w:val="21"/>
              </w:rPr>
              <w:t>15-7-2026</w:t>
            </w:r>
          </w:p>
        </w:tc>
      </w:tr>
      <w:tr>
        <w:tc>
          <w:tcPr>
            <w:tcW w:type="dxa" w:w="2880"/>
            <w:tcMar>
              <w:top w:w="100" w:type="dxa"/>
              <w:bottom w:w="100" w:type="dxa"/>
              <w:left w:w="150" w:type="dxa"/>
              <w:right w:w="150" w:type="dxa"/>
            </w:tcMar>
          </w:tcPr>
          <w:p>
            <w:r>
              <w:rPr>
                <w:b/>
                <w:color w:val="1F4E79"/>
                <w:sz w:val="21"/>
              </w:rPr>
              <w:t>Team ID</w:t>
            </w:r>
          </w:p>
        </w:tc>
        <w:tc>
          <w:tcPr>
            <w:tcW w:type="dxa" w:w="6480"/>
            <w:tcMar>
              <w:top w:w="100" w:type="dxa"/>
              <w:bottom w:w="100" w:type="dxa"/>
              <w:left w:w="150" w:type="dxa"/>
              <w:right w:w="150" w:type="dxa"/>
            </w:tcMar>
          </w:tcPr>
          <w:p>
            <w:r>
              <w:rPr>
                <w:b/>
                <w:sz w:val="21"/>
              </w:rPr>
              <w:t>SWTID-2026-3345</w:t>
            </w:r>
          </w:p>
        </w:tc>
      </w:tr>
      <w:tr>
        <w:tc>
          <w:tcPr>
            <w:tcW w:type="dxa" w:w="2880"/>
            <w:tcMar>
              <w:top w:w="100" w:type="dxa"/>
              <w:bottom w:w="100" w:type="dxa"/>
              <w:left w:w="150" w:type="dxa"/>
              <w:right w:w="150" w:type="dxa"/>
            </w:tcMar>
          </w:tcPr>
          <w:p>
            <w:r>
              <w:rPr>
                <w:b/>
                <w:color w:val="1F4E79"/>
                <w:sz w:val="21"/>
              </w:rPr>
              <w:t>Project Name</w:t>
            </w:r>
          </w:p>
        </w:tc>
        <w:tc>
          <w:tcPr>
            <w:tcW w:type="dxa" w:w="6480"/>
            <w:tcMar>
              <w:top w:w="100" w:type="dxa"/>
              <w:bottom w:w="100" w:type="dxa"/>
              <w:left w:w="150" w:type="dxa"/>
              <w:right w:w="150" w:type="dxa"/>
            </w:tcMar>
          </w:tcPr>
          <w:p>
            <w:r>
              <w:rPr>
                <w:b/>
                <w:sz w:val="21"/>
              </w:rPr>
              <w:t>BookVerse – Online Book Store</w:t>
            </w:r>
          </w:p>
        </w:tc>
      </w:tr>
      <w:tr>
        <w:tc>
          <w:tcPr>
            <w:tcW w:type="dxa" w:w="2880"/>
            <w:tcMar>
              <w:top w:w="100" w:type="dxa"/>
              <w:bottom w:w="100" w:type="dxa"/>
              <w:left w:w="150" w:type="dxa"/>
              <w:right w:w="150" w:type="dxa"/>
            </w:tcMar>
          </w:tcPr>
          <w:p>
            <w:r>
              <w:rPr>
                <w:b/>
                <w:color w:val="1F4E79"/>
                <w:sz w:val="21"/>
              </w:rPr>
              <w:t>Maximum Marks</w:t>
            </w:r>
          </w:p>
        </w:tc>
        <w:tc>
          <w:tcPr>
            <w:tcW w:type="dxa" w:w="6480"/>
            <w:tcMar>
              <w:top w:w="100" w:type="dxa"/>
              <w:bottom w:w="100" w:type="dxa"/>
              <w:left w:w="150" w:type="dxa"/>
              <w:right w:w="150" w:type="dxa"/>
            </w:tcMar>
          </w:tcPr>
          <w:p>
            <w:r>
              <w:rPr>
                <w:sz w:val="21"/>
              </w:rPr>
              <w:t>4 Marks</w:t>
            </w:r>
          </w:p>
        </w:tc>
      </w:tr>
    </w:tbl>
    <w:p/>
    <w:p>
      <w:r>
        <w:rPr>
          <w:b/>
          <w:color w:val="1F4E79"/>
          <w:sz w:val="24"/>
        </w:rPr>
        <w:t>Empathy Map Canvas:</w:t>
      </w:r>
    </w:p>
    <w:p>
      <w:pPr>
        <w:spacing w:line="276" w:lineRule="auto" w:after="120"/>
      </w:pPr>
      <w:r>
        <w:t>An empathy map is a simple, easy-to-digest visual that captures knowledge about a user's behaviours and attitudes. It is a useful tool to help teams better understand their users.</w:t>
      </w:r>
    </w:p>
    <w:p>
      <w:pPr>
        <w:spacing w:line="276" w:lineRule="auto" w:after="240"/>
      </w:pPr>
      <w:r>
        <w:t>Creating an effective solution requires understanding the true problem and the person who is experiencing it. The exercise of creating the map helps participants consider things from the user's perspective along with his or her goals and challenges.</w:t>
      </w:r>
    </w:p>
    <w:p>
      <w:pPr>
        <w:jc w:val="center"/>
      </w:pPr>
      <w:r>
        <w:drawing>
          <wp:inline xmlns:a="http://schemas.openxmlformats.org/drawingml/2006/main" xmlns:pic="http://schemas.openxmlformats.org/drawingml/2006/picture">
            <wp:extent cx="5486400" cy="3803480"/>
            <wp:docPr id="1" name="Picture 1"/>
            <wp:cNvGraphicFramePr>
              <a:graphicFrameLocks noChangeAspect="1"/>
            </wp:cNvGraphicFramePr>
            <a:graphic>
              <a:graphicData uri="http://schemas.openxmlformats.org/drawingml/2006/picture">
                <pic:pic>
                  <pic:nvPicPr>
                    <pic:cNvPr id="0" name="page_1_img_1_X24_fixed.png"/>
                    <pic:cNvPicPr/>
                  </pic:nvPicPr>
                  <pic:blipFill>
                    <a:blip r:embed="rId9"/>
                    <a:stretch>
                      <a:fillRect/>
                    </a:stretch>
                  </pic:blipFill>
                  <pic:spPr>
                    <a:xfrm>
                      <a:off x="0" y="0"/>
                      <a:ext cx="5486400" cy="3803480"/>
                    </a:xfrm>
                    <a:prstGeom prst="rect"/>
                  </pic:spPr>
                </pic:pic>
              </a:graphicData>
            </a:graphic>
          </wp:inline>
        </w:drawing>
      </w:r>
    </w:p>
    <w:p>
      <w:pPr>
        <w:jc w:val="center"/>
      </w:pPr>
      <w:r>
        <w:rPr>
          <w:i/>
          <w:sz w:val="19"/>
        </w:rPr>
        <w:t>Figure 2.1: Empathy Map Canvas Empty Blueprint</w:t>
      </w:r>
    </w:p>
    <w:p/>
    <w:p>
      <w:r>
        <w:rPr>
          <w:b/>
        </w:rPr>
        <w:t xml:space="preserve">Reference: </w:t>
      </w:r>
      <w:r>
        <w:rPr>
          <w:i/>
          <w:color w:val="1F4E79"/>
        </w:rPr>
        <w:t>https://www.mural.co/templates/empathy-map-canvas</w:t>
      </w:r>
    </w:p>
    <w:p>
      <w:r>
        <w:br w:type="page"/>
      </w:r>
    </w:p>
    <w:p>
      <w:r>
        <w:rPr>
          <w:b/>
          <w:color w:val="1F4E79"/>
          <w:sz w:val="28"/>
        </w:rPr>
        <w:t>Example: BookVerse – Online Book Store Application</w:t>
      </w:r>
    </w:p>
    <w:p>
      <w:pPr>
        <w:spacing w:line="276" w:lineRule="auto" w:after="240"/>
      </w:pPr>
      <w:r>
        <w:t>Below is the completed Empathy Map Canvas modeling a book reader and seller on the BookVerse Online Book Store. It describes what they think, feel, see, hear, say, do, along with their pains and gains, ensuring our solution satisfies real-world user scenarios.</w:t>
      </w:r>
    </w:p>
    <w:p>
      <w:pPr>
        <w:jc w:val="center"/>
      </w:pPr>
      <w:r>
        <w:drawing>
          <wp:inline xmlns:a="http://schemas.openxmlformats.org/drawingml/2006/main" xmlns:pic="http://schemas.openxmlformats.org/drawingml/2006/picture">
            <wp:extent cx="5669280" cy="4488180"/>
            <wp:docPr id="2" name="Picture 2"/>
            <wp:cNvGraphicFramePr>
              <a:graphicFrameLocks noChangeAspect="1"/>
            </wp:cNvGraphicFramePr>
            <a:graphic>
              <a:graphicData uri="http://schemas.openxmlformats.org/drawingml/2006/picture">
                <pic:pic>
                  <pic:nvPicPr>
                    <pic:cNvPr id="0" name="bookverse_empathy_map.png"/>
                    <pic:cNvPicPr/>
                  </pic:nvPicPr>
                  <pic:blipFill>
                    <a:blip r:embed="rId10"/>
                    <a:stretch>
                      <a:fillRect/>
                    </a:stretch>
                  </pic:blipFill>
                  <pic:spPr>
                    <a:xfrm>
                      <a:off x="0" y="0"/>
                      <a:ext cx="5669280" cy="4488180"/>
                    </a:xfrm>
                    <a:prstGeom prst="rect"/>
                  </pic:spPr>
                </pic:pic>
              </a:graphicData>
            </a:graphic>
          </wp:inline>
        </w:drawing>
      </w:r>
    </w:p>
    <w:p>
      <w:pPr>
        <w:jc w:val="center"/>
      </w:pPr>
      <w:r>
        <w:rPr>
          <w:i/>
          <w:sz w:val="19"/>
        </w:rPr>
        <w:t>Figure 2.2: BookVerse Empathy Map Canvas (Completed)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