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7"/>
        <w:pBdr/>
        <w:tabs>
          <w:tab w:val="clear" w:leader="none" w:pos="708"/>
          <w:tab w:val="left" w:leader="none" w:pos="3119"/>
        </w:tabs>
        <w:spacing w:after="0" w:before="0" w:line="240" w:lineRule="auto"/>
        <w:ind w:firstLine="567"/>
        <w:jc w:val="right"/>
        <w:rPr>
          <w:rFonts w:ascii="Liberation Serif" w:hAnsi="Liberation Serif" w:cs="Liberation Serif"/>
          <w:sz w:val="23"/>
          <w:szCs w:val="23"/>
        </w:rPr>
      </w:pPr>
      <w:r>
        <w:rPr>
          <w:rFonts w:ascii="Liberation Serif" w:hAnsi="Liberation Serif" w:eastAsia="Liberation Serif" w:cs="Liberation Serif"/>
          <w:sz w:val="23"/>
          <w:szCs w:val="23"/>
        </w:rPr>
      </w:r>
      <w:r>
        <w:rPr>
          <w:rFonts w:ascii="Liberation Serif" w:hAnsi="Liberation Serif" w:cs="Liberation Serif"/>
          <w:sz w:val="23"/>
          <w:szCs w:val="23"/>
        </w:rPr>
      </w:r>
      <w:r>
        <w:rPr>
          <w:rFonts w:ascii="Liberation Serif" w:hAnsi="Liberation Serif" w:cs="Liberation Serif"/>
          <w:sz w:val="23"/>
          <w:szCs w:val="23"/>
        </w:rPr>
      </w:r>
    </w:p>
    <w:p>
      <w:pPr>
        <w:pStyle w:val="927"/>
        <w:widowControl w:val="false"/>
        <w:pBdr/>
        <w:tabs>
          <w:tab w:val="clear" w:leader="none" w:pos="708"/>
          <w:tab w:val="left" w:leader="none" w:pos="3119"/>
        </w:tabs>
        <w:spacing w:after="0" w:before="0" w:line="240" w:lineRule="auto"/>
        <w:ind w:firstLine="567"/>
        <w:jc w:val="right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pacing w:val="0"/>
          <w:sz w:val="24"/>
          <w:szCs w:val="24"/>
          <w:lang w:eastAsia="ru-RU"/>
        </w:rPr>
        <w:t xml:space="preserve">«УТВЕРЖДАЮ»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27"/>
        <w:widowControl w:val="false"/>
        <w:pBdr/>
        <w:tabs>
          <w:tab w:val="clear" w:leader="none" w:pos="708"/>
          <w:tab w:val="left" w:leader="none" w:pos="3119"/>
        </w:tabs>
        <w:spacing w:after="0" w:before="0" w:line="240" w:lineRule="auto"/>
        <w:ind w:firstLine="567"/>
        <w:jc w:val="right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pacing w:val="0"/>
          <w:sz w:val="24"/>
          <w:szCs w:val="24"/>
          <w:lang w:eastAsia="ru-RU"/>
        </w:rPr>
        <w:t xml:space="preserve">Директор ГБУ РК 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27"/>
        <w:widowControl w:val="false"/>
        <w:pBdr/>
        <w:tabs>
          <w:tab w:val="clear" w:leader="none" w:pos="708"/>
          <w:tab w:val="left" w:leader="none" w:pos="3119"/>
        </w:tabs>
        <w:spacing w:after="0" w:before="0" w:line="240" w:lineRule="auto"/>
        <w:ind w:firstLine="567"/>
        <w:jc w:val="right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pacing w:val="0"/>
          <w:sz w:val="24"/>
          <w:szCs w:val="24"/>
          <w:lang w:eastAsia="ru-RU"/>
        </w:rPr>
        <w:t xml:space="preserve">«Карельский ресурсный центр 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27"/>
        <w:widowControl w:val="false"/>
        <w:pBdr/>
        <w:tabs>
          <w:tab w:val="clear" w:leader="none" w:pos="708"/>
          <w:tab w:val="left" w:leader="none" w:pos="3119"/>
        </w:tabs>
        <w:spacing w:after="0" w:before="0" w:line="240" w:lineRule="auto"/>
        <w:ind w:firstLine="567"/>
        <w:jc w:val="right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pacing w:val="0"/>
          <w:sz w:val="24"/>
          <w:szCs w:val="24"/>
          <w:lang w:eastAsia="ru-RU"/>
        </w:rPr>
        <w:t xml:space="preserve">цифровых технологий»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27"/>
        <w:widowControl w:val="false"/>
        <w:pBdr/>
        <w:tabs>
          <w:tab w:val="clear" w:leader="none" w:pos="708"/>
          <w:tab w:val="left" w:leader="none" w:pos="3119"/>
        </w:tabs>
        <w:spacing w:after="0" w:before="0" w:line="240" w:lineRule="auto"/>
        <w:ind w:firstLine="567"/>
        <w:jc w:val="right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pacing w:val="0"/>
          <w:sz w:val="24"/>
          <w:szCs w:val="24"/>
          <w:lang w:eastAsia="ru-RU"/>
        </w:rPr>
        <w:t xml:space="preserve">____________</w:t>
      </w:r>
      <w:r>
        <w:rPr>
          <w:rFonts w:ascii="Liberation Serif" w:hAnsi="Liberation Serif" w:eastAsia="Liberation Serif" w:cs="Liberation Serif"/>
          <w:b w:val="0"/>
          <w:bCs w:val="0"/>
          <w:spacing w:val="0"/>
          <w:sz w:val="24"/>
          <w:szCs w:val="24"/>
          <w:lang w:eastAsia="ru-RU"/>
        </w:rPr>
        <w:t xml:space="preserve">И.В. Т</w:t>
      </w:r>
      <w:r>
        <w:rPr>
          <w:rFonts w:ascii="Liberation Serif" w:hAnsi="Liberation Serif" w:eastAsia="Liberation Serif" w:cs="Liberation Serif"/>
          <w:spacing w:val="0"/>
          <w:sz w:val="24"/>
          <w:szCs w:val="24"/>
          <w:lang w:eastAsia="ru-RU"/>
        </w:rPr>
        <w:t xml:space="preserve">икко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27"/>
        <w:pBdr/>
        <w:spacing w:line="240" w:lineRule="auto"/>
        <w:ind w:firstLine="0"/>
        <w:jc w:val="right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pacing w:val="0"/>
          <w:sz w:val="24"/>
          <w:szCs w:val="24"/>
          <w:lang w:eastAsia="ru-RU"/>
        </w:rPr>
        <w:t xml:space="preserve">«___» _____________ 202</w:t>
      </w:r>
      <w:r>
        <w:rPr>
          <w:rFonts w:ascii="Liberation Serif" w:hAnsi="Liberation Serif" w:eastAsia="Liberation Serif" w:cs="Liberation Serif"/>
          <w:spacing w:val="0"/>
          <w:sz w:val="24"/>
          <w:szCs w:val="24"/>
          <w:lang w:eastAsia="ru-RU"/>
        </w:rPr>
        <w:t xml:space="preserve">6г</w:t>
      </w:r>
      <w:r>
        <w:rPr>
          <w:rFonts w:ascii="Liberation Serif" w:hAnsi="Liberation Serif" w:eastAsia="Liberation Serif" w:cs="Liberation Serif"/>
          <w:spacing w:val="0"/>
          <w:sz w:val="24"/>
          <w:szCs w:val="24"/>
          <w:lang w:eastAsia="ru-RU"/>
        </w:rPr>
        <w:t xml:space="preserve">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41"/>
        <w:widowControl w:val="false"/>
        <w:pBdr/>
        <w:spacing w:after="0" w:afterAutospacing="0" w:before="0" w:beforeAutospacing="0"/>
        <w:ind/>
        <w:jc w:val="center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pBdr/>
        <w:tabs>
          <w:tab w:val="left" w:leader="none" w:pos="3119"/>
        </w:tabs>
        <w:spacing w:line="240" w:lineRule="auto"/>
        <w:ind w:firstLine="567"/>
        <w:contextualSpacing w:val="true"/>
        <w:jc w:val="center"/>
        <w:rPr>
          <w:rFonts w:ascii="Liberation Serif" w:hAnsi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</w:p>
    <w:p>
      <w:pPr>
        <w:pStyle w:val="954"/>
        <w:pBdr/>
        <w:spacing w:line="276" w:lineRule="auto"/>
        <w:ind/>
        <w:jc w:val="center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ТЕХНИЧЕСКОЕ ЗАДАНИЕ 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pBdr/>
        <w:spacing w:after="0" w:before="0" w:line="240" w:lineRule="auto"/>
        <w:ind/>
        <w:jc w:val="center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на поставку сетевого оборудования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keepNext w:val="true"/>
        <w:keepLines w:val="true"/>
        <w:pBdr/>
        <w:tabs>
          <w:tab w:val="left" w:leader="none" w:pos="851"/>
        </w:tabs>
        <w:spacing w:after="0" w:before="0" w:line="240" w:lineRule="auto"/>
        <w:ind/>
        <w:jc w:val="both"/>
        <w:outlineLvl w:val="1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1. Заказчик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2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1.1 Заказчик – ГБУ РК «КАРЕЛЬСКИЙ РЕСУРСНЫЙ ЦЕНТР ЦИФРОВЫХ ТЕХНОЛОГИЙ» (далее – Заказчик).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keepNext w:val="true"/>
        <w:pBdr/>
        <w:spacing w:after="0" w:before="0" w:line="240" w:lineRule="auto"/>
        <w:ind/>
        <w:jc w:val="both"/>
        <w:outlineLvl w:val="0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2. Предмет закупки адрес поставки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2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Поставщик должен поставить сетевое оборудование (далее – Товар) в соответствии с требованиями настоящего Технического задания.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2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Поставка Товара должна быть осуществлена по адресу, указанному в п. 6 настоящего Технического задания. Погрузка, доставка, разгрузка Товара является обязанностью Поставщика.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keepNext w:val="true"/>
        <w:keepLines w:val="true"/>
        <w:pBdr/>
        <w:tabs>
          <w:tab w:val="left" w:leader="none" w:pos="851"/>
        </w:tabs>
        <w:spacing w:after="0" w:before="0" w:line="288" w:lineRule="auto"/>
        <w:ind/>
        <w:jc w:val="both"/>
        <w:outlineLvl w:val="1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3. Цель поставки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widowControl w:val="false"/>
        <w:pBdr/>
        <w:spacing w:after="120" w:before="0" w:line="240" w:lineRule="auto"/>
        <w:ind w:firstLine="72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Цель: оснащение сетевым оборудованием.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keepNext w:val="true"/>
        <w:keepLines w:val="true"/>
        <w:pBdr/>
        <w:tabs>
          <w:tab w:val="left" w:leader="none" w:pos="851"/>
        </w:tabs>
        <w:spacing w:after="120" w:before="0" w:line="240" w:lineRule="auto"/>
        <w:ind/>
        <w:jc w:val="both"/>
        <w:outlineLvl w:val="1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4. Требования к качеству, техническим характеристикам Товара, треб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ования к их безопасности, требования к функциональным характеристикам (потребительским свойствам) Товара, требования к размерам, упаковке, отгрузке Товара, и иные показатели, связанные с определением соответствия поставляемого Товара потребностям Заказчика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widowControl w:val="false"/>
        <w:pBdr/>
        <w:spacing w:after="120" w:before="0" w:line="240" w:lineRule="auto"/>
        <w:ind/>
        <w:jc w:val="both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4.1 Общие требования 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4.1.1 Товар должен соответствовать всем без исключения требованиям </w:t>
      </w:r>
      <w:r>
        <w:rPr>
          <w:rFonts w:ascii="Liberation Serif" w:hAnsi="Liberation Serif" w:eastAsia="Liberation Serif" w:cs="Liberation Serif"/>
          <w:sz w:val="24"/>
          <w:szCs w:val="24"/>
        </w:rPr>
        <w:br/>
        <w:t xml:space="preserve">к размерам, функциональным, техническим и качественным и количественным характеристикам Товара, указанным в разделе 5 настоящего Технического задания.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4.1.2 Товар должен соответствовать действующим нормативно-техническим документам и нормативным правовым актам.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4.1.3 Поставляемый товар должен быть новым товаром (товаром, который не был в употреблении, в ремонте, в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том числе который не был восстановлен, у которого не была осуществлена замена составных частей, не были восстановлены потребительские свойства), в неповрежденной упаковке от производителя, свободным от прав третьих лиц. Дата производства не ранее 2025 года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Товар не должен иметь дефектов, связанных с материалами и качеством изготовления, либо проявляющихся в результате действия или упущения Поставщика при нормальной эксплуатации поставленного Товара.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4.1.4 Весь поставляемый Товар должен обеспечиваться гарантией производителя в течение не менее 12 календарных месяцев с даты подписания Поставщиком и Заказчиком документа о приемке.</w:t>
      </w:r>
      <w:r>
        <w:rPr>
          <w:rFonts w:ascii="Liberation Serif" w:hAnsi="Liberation Serif" w:cs="Liberation Serif"/>
          <w:sz w:val="24"/>
          <w:szCs w:val="24"/>
          <w:highlight w:val="white"/>
        </w:rPr>
      </w:r>
      <w:r>
        <w:rPr>
          <w:rFonts w:ascii="Liberation Serif" w:hAnsi="Liberation Serif" w:cs="Liberation Serif"/>
          <w:sz w:val="24"/>
          <w:szCs w:val="24"/>
          <w:highlight w:val="white"/>
        </w:rPr>
      </w:r>
    </w:p>
    <w:p>
      <w:pPr>
        <w:widowControl w:val="false"/>
        <w:pBdr/>
        <w:spacing w:after="0" w:before="0" w:line="240" w:lineRule="auto"/>
        <w:ind w:firstLine="72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Диагностика и устранен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ие неисправностей должна производится на территории Заказчика, а в случае невозможности устранения неисправности на месте, доставка оборудования в авторизованный производителем сервисный центр является обязанностью Поставщика.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Время устранения отказа (устранение неисправности) Товара при наступлении гарантийного случая – не более 30 рабочих дней с даты поступления обращения Заказчика, при этом затраты н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а доставку Товара до сервисного центра и обратно осуществляются Поставщиком без дополнительных затрат со стороны Заказчика. Заказчик не более чем через 5 рабочих дней с даты наступления такого случая уведомляет Поставщика и оформляет данный факт документал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ьно соответствующим актом в свободной форме. В случае невозможности устранения неисправности Товара в вышеуказанные сроки, Поставщик обязан предоставить Заказчику (по адресу поставки) аналогичный Товар на время устранения отказа (устранения неисправности).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20"/>
        <w:jc w:val="both"/>
        <w:rPr>
          <w:rFonts w:ascii="Liberation Serif" w:hAnsi="Liberation Serif" w:cs="Liberation Serif"/>
          <w:sz w:val="24"/>
          <w:szCs w:val="24"/>
          <w:highlight w:val="yellow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Поставщик должен обеспечи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ть контактный телефон «го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рячей линии», по которому представитель Заказчика может информировать персонал Поставщика или его Представителя о дефектах в работе товара. 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График работы «горячей линии» должен позволять заказчику обращаться 8x5 (8 часов в день, с 9.00 до 18.00 по московскому времени, 5 рабочих дней в неделю).</w:t>
      </w:r>
      <w:r>
        <w:rPr>
          <w:rFonts w:ascii="Liberation Serif" w:hAnsi="Liberation Serif" w:cs="Liberation Serif"/>
          <w:sz w:val="24"/>
          <w:szCs w:val="24"/>
          <w:highlight w:val="yellow"/>
        </w:rPr>
      </w:r>
      <w:r>
        <w:rPr>
          <w:rFonts w:ascii="Liberation Serif" w:hAnsi="Liberation Serif" w:cs="Liberation Serif"/>
          <w:sz w:val="24"/>
          <w:szCs w:val="24"/>
          <w:highlight w:val="yellow"/>
        </w:rPr>
      </w:r>
    </w:p>
    <w:p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color w:val="000000" w:themeColor="text1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4.1.5 Каждая единица Товара должна поставляться с руководством по эксплуатации. Все необходимые руководства по эксплуатации должны быть на русском языке.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ascii="Liberation Serif" w:hAnsi="Liberation Serif" w:cs="Liberation Serif"/>
          <w:color w:val="000000" w:themeColor="text1"/>
          <w:sz w:val="24"/>
          <w:szCs w:val="24"/>
          <w:highlight w:val="white"/>
        </w:rPr>
      </w:r>
      <w:r>
        <w:rPr>
          <w:rFonts w:ascii="Liberation Serif" w:hAnsi="Liberation Serif" w:cs="Liberation Serif"/>
          <w:color w:val="000000" w:themeColor="text1"/>
          <w:sz w:val="24"/>
          <w:szCs w:val="24"/>
          <w:highlight w:val="white"/>
        </w:rPr>
      </w:r>
    </w:p>
    <w:p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color w:val="000000" w:themeColor="text1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Производитель Товара должен иметь в Российской Федерации сертифицированный учебный центр для сотрудников Заказчика с целью дальнейшего повышения квалификации, или для обучения сотрудников Заказчика в дальнейшем.</w:t>
      </w:r>
      <w:r>
        <w:rPr>
          <w:rFonts w:ascii="Liberation Serif" w:hAnsi="Liberation Serif" w:cs="Liberation Serif"/>
          <w:color w:val="000000" w:themeColor="text1"/>
          <w:sz w:val="24"/>
          <w:szCs w:val="24"/>
          <w:highlight w:val="white"/>
        </w:rPr>
      </w:r>
      <w:r>
        <w:rPr>
          <w:rFonts w:ascii="Liberation Serif" w:hAnsi="Liberation Serif" w:cs="Liberation Serif"/>
          <w:color w:val="000000" w:themeColor="text1"/>
          <w:sz w:val="24"/>
          <w:szCs w:val="24"/>
          <w:highlight w:val="white"/>
        </w:rPr>
      </w:r>
    </w:p>
    <w:p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color w:val="000000" w:themeColor="text1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4.1.6 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На поставляемое оборудование должна поставляться централизованная система 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управления, предназначенная для управления и мониторинга сетевого оборудования, которая позволит выполнять конфигурирование и обновление оборудования, а также осуществлять непрерывный 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мониторинг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 состояния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, сбор и хранение инвентарных данных устройств,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 настройку прав и ролей пользователей системы, отслеживание аутентификаций и действий пользователей.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ascii="Liberation Serif" w:hAnsi="Liberation Serif" w:cs="Liberation Serif"/>
          <w:color w:val="000000" w:themeColor="text1"/>
          <w:sz w:val="24"/>
          <w:szCs w:val="24"/>
          <w:highlight w:val="white"/>
        </w:rPr>
      </w:r>
      <w:r>
        <w:rPr>
          <w:rFonts w:ascii="Liberation Serif" w:hAnsi="Liberation Serif" w:cs="Liberation Serif"/>
          <w:color w:val="000000" w:themeColor="text1"/>
          <w:sz w:val="24"/>
          <w:szCs w:val="24"/>
          <w:highlight w:val="white"/>
        </w:rPr>
      </w:r>
    </w:p>
    <w:p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4.1.7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ab/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Товар должен соответствовать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Техническ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ому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 регламент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у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 Евразийского экономического союза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 «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Об ограничении применения опасных веществ в изделиях электротехники и радиоэлектроники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» (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ТР ЕАЭС 037/2016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), утвержденному 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решени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ем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white"/>
        </w:rPr>
        <w:t xml:space="preserve"> Совета Евразийской экономич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  <w:t xml:space="preserve">еской комиссии от 18.10.2016 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  <w:t xml:space="preserve">№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  <w:t xml:space="preserve"> 113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  <w:t xml:space="preserve">.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</w:r>
    </w:p>
    <w:p>
      <w:pPr>
        <w:widowControl w:val="false"/>
        <w:pBdr/>
        <w:spacing w:before="0" w:line="240" w:lineRule="auto"/>
        <w:ind w:firstLine="708"/>
        <w:jc w:val="both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</w:r>
      <w:r>
        <w:rPr>
          <w:rFonts w:ascii="Liberation Serif" w:hAnsi="Liberation Serif" w:cs="Liberation Serif"/>
          <w:b/>
          <w:bCs/>
          <w:sz w:val="24"/>
          <w:szCs w:val="24"/>
        </w:rPr>
      </w:r>
      <w:r>
        <w:rPr>
          <w:rFonts w:ascii="Liberation Serif" w:hAnsi="Liberation Serif" w:cs="Liberation Serif"/>
          <w:b/>
          <w:bCs/>
          <w:sz w:val="24"/>
          <w:szCs w:val="24"/>
        </w:rPr>
      </w:r>
    </w:p>
    <w:p>
      <w:pPr>
        <w:keepNext w:val="true"/>
        <w:keepLines w:val="true"/>
        <w:pBdr/>
        <w:tabs>
          <w:tab w:val="left" w:leader="none" w:pos="0"/>
          <w:tab w:val="left" w:leader="none" w:pos="284"/>
          <w:tab w:val="left" w:leader="none" w:pos="426"/>
          <w:tab w:val="left" w:leader="none" w:pos="851"/>
        </w:tabs>
        <w:spacing w:after="0" w:before="0" w:line="240" w:lineRule="auto"/>
        <w:ind w:hanging="142" w:left="142"/>
        <w:jc w:val="both"/>
        <w:outlineLvl w:val="2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5. Требования к количеству и характеристикам поставляемого Товара.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widowControl w:val="false"/>
        <w:pBdr/>
        <w:spacing w:after="0" w:before="0" w:line="240" w:lineRule="auto"/>
        <w:ind/>
        <w:jc w:val="both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widowControl w:val="false"/>
        <w:pBdr/>
        <w:spacing w:after="0" w:before="0" w:line="240" w:lineRule="auto"/>
        <w:ind/>
        <w:jc w:val="both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Состав сетевого оборудования: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widowControl w:val="false"/>
        <w:pBdr/>
        <w:spacing w:after="0" w:before="0" w:line="240" w:lineRule="auto"/>
        <w:ind/>
        <w:jc w:val="both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tbl>
      <w:tblPr>
        <w:tblStyle w:val="950"/>
        <w:tblInd w:w="-289" w:type="dxa"/>
        <w:tblW w:w="10065" w:type="dxa"/>
        <w:tblBorders/>
        <w:tblLayout w:type="fixed"/>
        <w:tblLook w:val="04A0" w:firstRow="1" w:lastRow="0" w:firstColumn="1" w:lastColumn="0" w:noHBand="0" w:noVBand="1"/>
      </w:tblPr>
      <w:tblGrid>
        <w:gridCol w:w="659"/>
        <w:gridCol w:w="2602"/>
        <w:gridCol w:w="1559"/>
        <w:gridCol w:w="2410"/>
        <w:gridCol w:w="1276"/>
        <w:gridCol w:w="1559"/>
      </w:tblGrid>
      <w:tr>
        <w:trPr>
          <w:trHeight w:val="735"/>
        </w:trPr>
        <w:tc>
          <w:tcPr>
            <w:tcBorders/>
            <w:tcW w:w="65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№ п/п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6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Сетевое оборудование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ОКПД2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41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КТРУ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Единица измерения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trHeight w:val="527"/>
        </w:trPr>
        <w:tc>
          <w:tcPr>
            <w:tcBorders/>
            <w:tcW w:w="65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highlight w:val="white"/>
              </w:rPr>
              <w:t xml:space="preserve">1.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2602" w:type="dxa"/>
            <w:vAlign w:val="center"/>
            <w:textDirection w:val="lrTb"/>
            <w:noWrap w:val="false"/>
          </w:tcPr>
          <w:p w14:paraId="6FC9EEF4"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highlight w:val="white"/>
              </w:rPr>
              <w:t xml:space="preserve">Коммутатор </w:t>
            </w:r>
            <w:r>
              <w:rPr>
                <w:rFonts w:ascii="Liberation Serif" w:hAnsi="Liberation Serif" w:eastAsia="Liberation Serif" w:cs="Liberation Serif"/>
                <w:b/>
                <w:bCs/>
                <w:sz w:val="24"/>
                <w:szCs w:val="24"/>
                <w:highlight w:val="white"/>
              </w:rPr>
              <w:t xml:space="preserve">( тип 1)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highlight w:val="white"/>
              </w:rPr>
              <w:t xml:space="preserve">26.30.11.110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241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26.30.11.110-00000041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3930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trHeight w:val="527"/>
        </w:trPr>
        <w:tc>
          <w:tcPr>
            <w:tcBorders/>
            <w:tcW w:w="65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highlight w:val="white"/>
              </w:rPr>
              <w:t xml:space="preserve">2.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2602" w:type="dxa"/>
            <w:vAlign w:val="center"/>
            <w:textDirection w:val="lrTb"/>
            <w:noWrap w:val="false"/>
          </w:tcPr>
          <w:p w14:paraId="4E449168"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highlight w:val="white"/>
              </w:rPr>
              <w:t xml:space="preserve">Коммутатор </w:t>
            </w:r>
            <w:r>
              <w:rPr>
                <w:rFonts w:ascii="Liberation Serif" w:hAnsi="Liberation Serif" w:eastAsia="Liberation Serif" w:cs="Liberation Serif"/>
                <w:b/>
                <w:bCs/>
                <w:sz w:val="24"/>
                <w:szCs w:val="24"/>
                <w:highlight w:val="white"/>
              </w:rPr>
              <w:t xml:space="preserve">(тип 2)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highlight w:val="white"/>
              </w:rPr>
              <w:t xml:space="preserve">26.30.11.110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241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26.30.11.110-00000041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  <w:tab w:val="left" w:leader="none" w:pos="284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3930"/>
              </w:tabs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</w:tbl>
    <w:p>
      <w:pPr>
        <w:widowControl w:val="false"/>
        <w:pBdr/>
        <w:spacing w:after="0" w:before="0" w:line="240" w:lineRule="auto"/>
        <w:ind/>
        <w:jc w:val="both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bookmarkStart w:id="0" w:name="_Hlk161248605"/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bookmarkStart w:id="1" w:name="_Hlk161242134"/>
      <w:r>
        <w:rPr>
          <w:rFonts w:ascii="Liberation Serif" w:hAnsi="Liberation Serif" w:eastAsia="Liberation Serif" w:cs="Liberation Serif"/>
          <w:sz w:val="24"/>
          <w:szCs w:val="24"/>
        </w:rPr>
      </w:r>
      <w:bookmarkEnd w:id="0"/>
      <w:r>
        <w:rPr>
          <w:rFonts w:ascii="Liberation Serif" w:hAnsi="Liberation Serif" w:eastAsia="Liberation Serif" w:cs="Liberation Serif"/>
          <w:sz w:val="24"/>
          <w:szCs w:val="24"/>
        </w:rPr>
        <w:t xml:space="preserve">Характеристики Товара в соответствии с Таблицей 1.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before="0" w:line="240" w:lineRule="auto"/>
        <w:ind/>
        <w:rPr>
          <w:rFonts w:ascii="Liberation Serif" w:hAnsi="Liberation Serif" w:cs="Liberation Serif"/>
          <w:b/>
          <w:i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i/>
          <w:sz w:val="24"/>
          <w:szCs w:val="24"/>
        </w:rPr>
        <w:t xml:space="preserve">Таблица 1. Требования к Товару</w:t>
      </w:r>
      <w:r>
        <w:rPr>
          <w:rFonts w:ascii="Liberation Serif" w:hAnsi="Liberation Serif" w:cs="Liberation Serif"/>
          <w:b/>
          <w:i/>
          <w:sz w:val="24"/>
          <w:szCs w:val="24"/>
        </w:rPr>
      </w:r>
      <w:r>
        <w:rPr>
          <w:rFonts w:ascii="Liberation Serif" w:hAnsi="Liberation Serif" w:cs="Liberation Serif"/>
          <w:b/>
          <w:i/>
          <w:sz w:val="24"/>
          <w:szCs w:val="24"/>
        </w:rPr>
      </w:r>
    </w:p>
    <w:tbl>
      <w:tblPr>
        <w:tblStyle w:val="950"/>
        <w:jc w:val="center"/>
        <w:tblW w:w="10065" w:type="dxa"/>
        <w:tblBorders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4111"/>
        <w:gridCol w:w="2273"/>
        <w:gridCol w:w="1276"/>
      </w:tblGrid>
      <w:tr>
        <w:trPr>
          <w:jc w:val="center"/>
        </w:trPr>
        <w:tc>
          <w:tcPr>
            <w:shd w:val="clear" w:color="ffffff" w:fill="d9d9d9" w:themeFill="background1" w:themeFillShade="D9"/>
            <w:tcBorders/>
            <w:tcW w:w="169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 w:val="24"/>
                <w:szCs w:val="24"/>
              </w:rPr>
              <w:t xml:space="preserve">Наименование товара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 w:val="24"/>
                <w:szCs w:val="24"/>
              </w:rPr>
              <w:t xml:space="preserve">№ п/п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 w:val="24"/>
                <w:szCs w:val="24"/>
              </w:rPr>
              <w:t xml:space="preserve">Наименование характеристики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 w:val="24"/>
                <w:szCs w:val="24"/>
              </w:rPr>
              <w:t xml:space="preserve">Значение характеристики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</w:p>
        </w:tc>
        <w:tc>
          <w:tcPr>
            <w:shd w:val="clear" w:color="ffffff" w:fill="d9d9d9" w:themeFill="background1" w:themeFillShade="D9"/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 w:val="24"/>
                <w:szCs w:val="24"/>
              </w:rPr>
              <w:t xml:space="preserve">Единица измерения характеристики</w:t>
            </w:r>
            <w:bookmarkEnd w:id="1"/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</w:p>
        </w:tc>
      </w:tr>
      <w:tr>
        <w:trPr>
          <w:jc w:val="center"/>
          <w:trHeight w:val="423"/>
        </w:trPr>
        <w:tc>
          <w:tcPr>
            <w:shd w:val="clear" w:color="ffffff" w:fill="ffffff"/>
            <w:tcBorders/>
            <w:tcW w:w="1696" w:type="dxa"/>
            <w:vMerge w:val="restart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 w:val="24"/>
                <w:szCs w:val="24"/>
              </w:rPr>
              <w:t xml:space="preserve">Коммутатор 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1.1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Внутренняя пропускная способность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37C52DC0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6000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Гигабит в секунду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19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1.2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LAN портов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4042C90D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32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11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1.3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коммутатора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Управляемый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04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1.4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модуля управления по отношению к коммутационной матрице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Совмещённый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3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1.5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</w:tcBorders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передачи данных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</w:tcBorders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Ethernet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69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1.6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размещения</w:t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Телекоммуникационная стойка или шкаф 19", настольное, настенное, напольное</w:t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ff000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color w:val="ff0000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ff0000"/>
                <w:sz w:val="24"/>
                <w:szCs w:val="24"/>
              </w:rPr>
            </w:r>
          </w:p>
        </w:tc>
      </w:tr>
      <w:tr>
        <w:trPr>
          <w:jc w:val="center"/>
          <w:trHeight w:val="410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электропитания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AC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317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1.8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блоков питания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Сменные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1.9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Блок питания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Встроенный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1.10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Внешний интерфейс управления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RJ-45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1.11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Диагностика оптического трансивера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1.12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802.1ad правил</w:t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1E7D50BD">
            <w:pPr>
              <w:pBdr/>
              <w:spacing/>
              <w:ind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2 и ≤ 4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Тысяча штук</w:t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1.13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Максимальная потребляемая мощность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089F9F39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≤ 400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Ватт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1.14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интерфейсов управления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CLI, WEB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1.15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ACL (списков/записей)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10973189"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≥ 1000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1.16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ECMP-групп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7D9B4206"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&gt; 512 и ≤ 1024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1.17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Loopback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-интерфейсов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74C5958F"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&gt; 32 и ≤ 64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1.18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L3 интерфейсов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59E667EF"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&gt; 2048 и ≤ 4096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1.19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ARP записей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62DE84EE"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≥ 84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Тысяча штук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1.20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L2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Multicast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-групп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72E9C4DD"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&gt; 1.8 и ≤ 2.2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Тысяча штук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1.21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LAG групп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576D0C5C"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&gt; 64 и ≤ 128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1.22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портов в одном LAG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48E4731B"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&gt; 16 и ≤ 32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1.23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блоков питания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1.24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записей таблицы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Vlan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33F49844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4 и ≤ 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Тысяча штук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1.25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очередей (выходных на порт)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418AC553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4 и ≤ 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1.26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Конфигурация коммутатора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Фиксированный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1.27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Критерии фильтрации ACL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Port,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Vlan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ID,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Ethertype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CoS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, MAC source address, MAC destination address, IPv4 source address, IPv4 destination address, IPv4 DSCP, IPv4 Preference, IPv4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ToS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, IPv4 security option, IPv4 protocol numbers, IPv4 custom field, IPv6 source address, IPv6 destination address, TCP/UDP source port, TCP/UDP destination port, TCP/UDP flags, Time-base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682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1.28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Поддерживаемые типы очередей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FIFO, PQ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1.29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безопасности протоколов связующего дерева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Spanning Tree Fast Link option, STP Root Guard, BPDU Filtering, STP BPDU Guard, Loopback Detection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1.30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выделенных VLAN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Voice VLAN, Guest VLAN, Private VLAN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1.31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зеркалирования трафика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SPAN, RSPAN,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sFlow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1.32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протоколов ААА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Local,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Radius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Tacacs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+, 802.1x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highlight w:val="white"/>
              </w:rPr>
              <w:t xml:space="preserve">1.33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highlight w:val="white"/>
              </w:rPr>
              <w:t xml:space="preserve">Поддержка протоколов бесшовного резервирования высокой доступности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ERPS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highlight w:val="white"/>
              </w:rPr>
              <w:t xml:space="preserve">1.34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highlight w:val="white"/>
              </w:rPr>
              <w:t xml:space="preserve">Поддержка протоколов и средств управления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white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HTTP HTTPS SFTP NTP DHCP DNS ICMP 802.1X IPv4 TCP SNMP SSH RMON SCP DHСP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client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LACP BFD BGP IS-IS OSPFv2 OSPFv3 RIPv2 AAA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Static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DHCP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server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DHCP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relay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DHCPv6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client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BootP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client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IGMP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Proxy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PIM SM Local NTP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client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SNTP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client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Стандарт ERPS Стандарт MSTP IEE 802.1s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Telnet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SSHv2 PIM IGMP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sFlow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LLDP RADIUS SNMPv1 SNMPv2c SNMPv3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1.35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Интерфейс LAN-порта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SFP+, QSFP+, QSFP28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1.36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портов 100G QSFP28, CFP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53334F5F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32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1.37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портов 1G 8P8C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79F8E233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1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1.38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Уровень управляемого коммутатора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1.39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охлаждения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Активное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1.40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Производительность (Full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Duplex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614CBA57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4096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 w14:paraId="024B3EB0">
            <w:pPr>
              <w:pBdr/>
              <w:spacing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Гигабит в секунду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1.41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Интерфейс сетевых модулей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SFP+, QSFP+, QSFP28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1.42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Высота коммутатора для размещения в шкаф телекоммуникационный, Юнит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574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1.43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Объем оперативной памяти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2DA3B51A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8192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Мегабайт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Размер пакетного буфера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30E4277C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16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Мегабайт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Объем постоянного запоминающего устройства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309BD4FF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8192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Мегабайт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860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записей MAC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6DECDEB8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256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Тысяча штук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860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Функции L2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Multicast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IGMP Snooping v1,2,3, IGMP Snooping Fast Leave, MLD Snooping v1,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2,IGMP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и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MLD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Snooping querier, MVR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поддерживаемых устройств для объединения в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стэк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 w14:paraId="07C2AAD6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 w14:paraId="28A0613A">
            <w:pPr>
              <w:pBdr/>
              <w:spacing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1.49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стекирования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1.50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загрузки файлов на устройство по нешифрованному протоколу передачи файлов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1.51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загрузки файлов на устройство по шифрованному протоколу передачи файлов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1.52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отдельного консольного (последовательного/серийного) порта для управления и диагностики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1.53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управления доступом при подключении к консольному (последовательному/серийному) порту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автосогласования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autonegotiation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технологии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Auto MDI-X (Auto Medium Dependent Interface Crossover)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встроенного температурного датчика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встроенного датчика отказа системы охлаждения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стандарта IEEE 802.1Q (VLAN)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1.59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стандарта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Selective Double (VLAN)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1.60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стандарта GVRP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1.61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стандарта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Multicast VLAN registration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129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1.62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стандарта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Spanning Tree Protocol IEE 802.1d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1.63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стандарта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Rapid Spanning Tree Protocol IEE 802.1w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работы протокола связующего дерева, при котором в каждом VLAN работает отдельный экземпляр STP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стандарта STP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Loopback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Detection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IP Source Guard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Dynamic ARP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Inspection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Проверка подлинности на основе MAC-адреса Port Security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защиты от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DoS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-атак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1.70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временных списков контроля доступа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1.71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организации списков контроля доступа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Порт коммутатора, Приоритет IEEE 802.1p, VLAN ID,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EtherType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, DSCP, IP-протокол, Номер порта TCP/UDP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1.72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доступа к консоли по SSH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1.73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доступа к веб-интерфейсу по SSL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1.74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приема и передачи и тегированного и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нетегированного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трафика одновременно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1.75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балансировки по эквивалентным путям для протокола IP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1.76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маршрутизации на основе политик (Policy-Based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Routing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; PBR)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1.77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защиты от смены корневого коммутатора в домене STP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Root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Guard/Protection)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1.78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механизма фильтрации сообщений BPDU (Bridge Protocol Data Unit) на портах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1.79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механизма блокировки портов при получении сообщений BPDU (Bridge Protocol Data Unit)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1.80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IPv6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1.81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статической маршрутизации IPv4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1.82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алгоритма управления очередями WRR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weighted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round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robin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1.83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зеркалирования портов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port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mirroring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 в рамках одного устройства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1.84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зеркалирования портов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port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mirroring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 в рамках одного стека устройств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1.85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отправки системных событий (логов) на удаленное хранилище (например,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syslog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-сервер)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1.86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работы в качестве DHCP-сервера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1.87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работы в качестве DHCP-клиента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1.88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работы в качестве DHCP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relay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агента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1.89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функции DHCP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Snooping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(защита от атак, связанных с протоколом DHCP)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1.90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функций защиты от атак, связанных с протоколом ARP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1.91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функции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Proxy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ARP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1.92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механизма маркировки трафика Class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of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Service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CoS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; стандарт IEEE 802.1p)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1.93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механизма маркировки трафика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Differentiated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Services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DiffServ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1.94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Radius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EAP (RFC 3579)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1.95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стандарта IEEE 802.1ad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QinQ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1.96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стандарта RFC 8365 (EVPN-VXLAN)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1.97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мультипротокольного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расширения протокола динамической маршрутизации BGP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Multiprotocol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Extensions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for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BGP; MBGP)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shd w:val="clear" w:color="ffffff" w:fill="ffffff"/>
            <w:tcBorders/>
            <w:tcW w:w="169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shd w:val="clear" w:color="ffffff" w:fill="ffffff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1.98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Направление воздушного потока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От передней части назад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front-to-back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3"/>
        </w:trPr>
        <w:tc>
          <w:tcPr>
            <w:tcBorders/>
            <w:tcW w:w="1696" w:type="dxa"/>
            <w:vMerge w:val="restart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sz w:val="24"/>
                <w:szCs w:val="24"/>
              </w:rPr>
              <w:t xml:space="preserve">Коммутатор 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2.1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Внутренняя пропускная способность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29C0F33B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2000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Гигабит в секунду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19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2.2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LAN портов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4AE0A368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11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2.3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коммутатора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Управляемый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04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2.4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модуля управления по отношению к коммутационной матрице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Совмещённый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3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2.5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передачи данных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Ethernet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69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2.6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размещения</w:t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Телекоммуникационная стойка или шкаф 19", настольное, настенное, напольное</w:t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ff0000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ff0000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ff0000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ff0000"/>
                <w:sz w:val="24"/>
                <w:szCs w:val="24"/>
              </w:rPr>
            </w:r>
          </w:p>
        </w:tc>
      </w:tr>
      <w:tr>
        <w:trPr>
          <w:jc w:val="center"/>
          <w:trHeight w:val="410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электропитания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AC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317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2.8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блоков питания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Сменные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2.9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Блок питания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Встроенный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2.10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Внешний интерфейс управления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RJ-45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2.11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Диагностика оптического трансивера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2.12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802.1ad правил</w:t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6E142602">
            <w:pPr>
              <w:pBdr/>
              <w:spacing/>
              <w:ind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2 и ≤ 4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Тысяча штук</w:t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auto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2.13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Максимальная потребляемая мощность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42EEEE98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≤ 200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Ватт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2.14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интерфейсов управления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CLI, WEB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2.15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ACL (списков/записей)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4E145CFB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5000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2.16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ECMP-групп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2FDD5294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512 и ≤ 1024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2.17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Loopback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-интерфейсов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0BA3DD55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32 и ≤ 64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2.18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L3 интерфейсов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7EBA3408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2048 и ≤ 4096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2.19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ARP записей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61458231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28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Тысяча штук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2.20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L2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Multicast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-групп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2DB1FEDB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3.2 и ≤ 6.2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Тысяча штук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2.21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LAG групп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0457E2F3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64 и ≤ 128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2.22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портов в одном LAG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18CDA1B0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4 и ≤ 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2.23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блоков питания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04F50A83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2.24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записей таблицы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Vlan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31B153B2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4 и ≤ 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Тысяча штук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2.25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очередей (выходных на порт)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56FEC74C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&gt; 4 и ≤ 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2.26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Конфигурация коммутатора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Фиксированный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2.27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Критерии фильтрации ACL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Port,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Vlan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ID,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Ethertype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CoS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, MAC source address, MAC destination address, IPv4 source address, IPv4 destination address, IPv4 DSCP, IPv4 Preference, IPv4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ToS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, IPv4 security option, IPv4 protocol numbers, IPv4 custom field, IPv6 source address, IPv6 destination address, TCP/UDP source port, TCP/UDP destination port, TCP/UDP flags, Time-base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682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2.28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Поддерживаемые типы очередей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FIFO, PQ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2.29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безопасности протоколов связующего дерева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Spanning Tree Fast Link option, STP Root Guard, BPDU Filtering, STP BPDU Guard, Loopback Detection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2.30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выделенных VLAN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Voice VLAN, Guest VLAN, Private VLAN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2.31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зеркалирования трафика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SPAN, RSPAN,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sFlow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2.32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протоколов ААА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Local,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Radius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Tacacs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+, 802.1x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2.33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протоколов бесшовного резервирования высокой доступности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ERPS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2.34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протоколов и средств управления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HTTP HTTPS SFTP NTP DHCP DNS ICMP 802.1X IPv4 TCP SNMP SSH RMON SCP DHСP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client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LACP BFD BGP IS-IS OSPFv2 OSPFv3 RIPv2 AAA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Static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DHCP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server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DHCP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relay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DHCPv6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client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BootP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client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IGMP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Proxy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PIM SM Local NTP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client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SNTP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client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Стандарт ERPS Стандарт MSTP IEE 802.1s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Telnet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SSHv2 PIM IGMP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sFlow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LLDP RADIUS SNMPv1 SNMPv2c SNMPv3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2.35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Интерфейс LAN-порта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SFP, SFP+, QSFP+, QSFP28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2.36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портов 10G SFP+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32B5714E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2.37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портов 100G QSFP28, CFP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3FDAC6FF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2.38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портов 1G 8P8C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3D86D2A2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1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2.39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Уровень управляемого коммутатора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6EF2BFF5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2.40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охлаждения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Активное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2.41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Производительность (Full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Duplex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75116B64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2048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 w14:paraId="64D06D6F">
            <w:pPr>
              <w:pBdr/>
              <w:spacing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Гигабит в секунду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2.42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Интерфейс сетевых модулей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SFP, SFP+, QSFP+, QSFP28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574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2.43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Высота коммутатора для размещения в шкаф телекоммуникационный, Юнит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Объем оперативной памяти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73136E06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8192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Мегабайт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Размер пакетного буфера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67FDA549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4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Мегабайт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860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Объем постоянного запоминающего устройства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7A8144E6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8192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Мегабайт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860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записей MAC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382E3521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64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Тысяча штук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Функции L2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Multicast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IGMP Snooping v1,2,3, IGMP Snooping Fast Leave, MLD Snooping v1,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2,IGMP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и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MLD Snooping querier, MVR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2.49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Количество поддерживаемых устройств для объединения в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стэк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 w14:paraId="34595DBC">
            <w:pPr>
              <w:pBdr/>
              <w:spacing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≥ 8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 w14:paraId="0BC606AD">
            <w:pPr>
              <w:pBdr/>
              <w:spacing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Штука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2.50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стекирования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2.51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загрузки файлов на устройство по нешифрованному протоколу передачи файлов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2.52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загрузки файлов на устройство по шифрованному протоколу передачи файлов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2.53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отдельного консольного (последовательного/серийного) порта для управления и диагностики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управления доступом при подключении к консольному (последовательному/серийному) порту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автосогласования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autonegotiation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технологии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Auto MDI-X (Auto Medium Dependent Interface Crossover)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встроенного температурного датчика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встроенного датчика отказа системы охлаждения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2.59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стандарта IEEE 802.1Q (VLAN)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2.60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стандарта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Selective Double (VLAN)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2.61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стандарта GVRP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129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2.62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стандарта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Multicast VLAN registration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2.63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стандарта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Spanning Tree Protocol IEE 802.1d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стандарта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 Rapid Spanning Tree Protocol IEE 802.1w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работы протокола связующего дерева, при котором в каждом VLAN работает отдельный экземпляр STP</w:t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  <w:r>
              <w:rPr>
                <w:rFonts w:ascii="Liberation Serif" w:hAnsi="Liberation Serif" w:cs="Liberation Serif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стандарта STP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Loopback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Detection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  <w:lang w:val="en-US"/>
              </w:rPr>
            </w:pP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  <w:r>
              <w:rPr>
                <w:rFonts w:ascii="Times New Roman" w:hAnsi="Times New Roman"/>
                <w:szCs w:val="22"/>
                <w:lang w:val="en-US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IP Source Guard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Dynamic ARP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Inspection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Проверка подлинности на основе MAC-адреса Port Security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2.70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защиты от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DoS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-атак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2.71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временных списков контроля доступа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2.72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Тип организации списков контроля доступа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Порт коммутатора, Приоритет IEEE 802.1p, VLAN ID,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EtherType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, DSCP, IP-протокол, Номер порта TCP/UDP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2.73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доступа к консоли по SSH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2.74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доступа к веб-интерфейсу по SSL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2.75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приема и передачи и тегированного и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нетегированного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трафика одновременно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2.76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балансировки по эквивалентным путям для протокола IP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2.77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маршрутизации на основе политик (Policy-Based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Routing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; PBR)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2.78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защиты от смены корневого коммутатора в домене STP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Root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Guard/Protection)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2.79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механизма фильтрации сообщений BPDU (Bridge Protocol Data Unit) на портах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2.80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механизма блокировки портов при получении сообщений BPDU (Bridge Protocol Data Unit)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2.81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IPv6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2.82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статической маршрутизации IPv4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2.83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алгоритма управления очередями WRR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weighted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round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robin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2.84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зеркалирования портов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port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mirroring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 в рамках одного устройства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2.85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зеркалирования портов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port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mirroring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 в рамках одного стека устройств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2.86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отправки системных событий (логов) на удаленное хранилище (например,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syslog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-сервер)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2.87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работы в качестве DHCP-сервера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2.88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работы в качестве DHCP-клиента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2.89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Возможность работы в качестве DHCP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relay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агента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2.90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функции DHCP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Snooping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(защита от атак, связанных с протоколом DHCP)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2.91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функций защиты от атак, связанных с протоколом ARP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2.92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Наличие функции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Proxy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ARP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2.93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механизма маркировки трафика Class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of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Service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CoS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; стандарт IEEE 802.1p)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2.94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механизма маркировки трафика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Differentiated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Services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DiffServ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2.95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Radius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EAP (RFC 3579)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2.96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Поддержка стандарта IEEE 802.1ad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QinQ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 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rPr>
          <w:jc w:val="center"/>
          <w:trHeight w:val="425"/>
        </w:trPr>
        <w:tc>
          <w:tcPr>
            <w:tcBorders/>
            <w:tcW w:w="1696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709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2.97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4111" w:type="dxa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Направление воздушного потока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2273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От передней части назад (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front-to-back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</w:tbl>
    <w:p>
      <w:pPr>
        <w:pBdr/>
        <w:spacing w:after="120" w:before="0" w:line="240" w:lineRule="auto"/>
        <w:ind/>
        <w:outlineLvl w:val="0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pBdr/>
        <w:spacing w:after="0" w:before="0" w:line="240" w:lineRule="auto"/>
        <w:ind/>
        <w:outlineLvl w:val="0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6. Сроки и место поставки Товара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pBdr/>
        <w:spacing w:after="0" w:before="0" w:line="240" w:lineRule="auto"/>
        <w:ind w:firstLine="709" w:left="-142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6.1 Товар должен быть поставлен по следующим адресам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в течение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30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(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тридцати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)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календарных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дней с даты заключения контракта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в рабочие дни с 09 час. 30 мин. до 13 час. 00 мин. и с 14 час. 00 мин. до 16 час. 00 мин. (время московское)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tbl>
      <w:tblPr>
        <w:tblStyle w:val="950"/>
        <w:tblW w:w="9776" w:type="dxa"/>
        <w:tblBorders/>
        <w:tblLayout w:type="fixed"/>
        <w:tblLook w:val="04A0" w:firstRow="1" w:lastRow="0" w:firstColumn="1" w:lastColumn="0" w:noHBand="0" w:noVBand="1"/>
      </w:tblPr>
      <w:tblGrid>
        <w:gridCol w:w="9776"/>
      </w:tblGrid>
      <w:tr>
        <w:trPr/>
        <w:tc>
          <w:tcPr>
            <w:tcBorders/>
            <w:tcW w:w="97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center"/>
              <w:rPr>
                <w:rFonts w:ascii="Liberation Serif" w:hAnsi="Liberation Serif" w:cs="Liberation Serif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 w:themeColor="text1"/>
                <w:sz w:val="24"/>
                <w:szCs w:val="24"/>
              </w:rPr>
              <w:t xml:space="preserve">Адреса поставки Товара</w:t>
            </w:r>
            <w:r>
              <w:rPr>
                <w:rFonts w:ascii="Liberation Serif" w:hAnsi="Liberation Serif" w:cs="Liberation Serif"/>
                <w:b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b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776" w:type="dxa"/>
            <w:vAlign w:val="center"/>
            <w:textDirection w:val="lrTb"/>
            <w:noWrap w:val="false"/>
          </w:tcPr>
          <w:p>
            <w:pPr>
              <w:pBdr/>
              <w:spacing w:before="0"/>
              <w:ind/>
              <w:jc w:val="both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Республика Карелия, г.о. Петрозаводский, г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Петрозаводск,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наб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Гюллинга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                                   (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Зарека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4"/>
                <w:szCs w:val="24"/>
              </w:rPr>
              <w:t xml:space="preserve"> Р-Н), д. 11, офис 2</w:t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 w:after="120" w:before="0" w:line="240" w:lineRule="auto"/>
        <w:ind/>
        <w:outlineLvl w:val="0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pBdr/>
        <w:spacing w:after="120" w:before="0" w:line="240" w:lineRule="auto"/>
        <w:ind/>
        <w:outlineLvl w:val="0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7. Требование к упаковке Товаров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09"/>
        <w:jc w:val="both"/>
        <w:rPr>
          <w:rFonts w:ascii="Liberation Serif" w:hAnsi="Liberation Serif" w:cs="Liberation Serif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7.1 Упаковка Товара и грузовая тара должны обеспечивать сохранность Товара при транспортировке, при погрузо-разгрузочных работах к конечному месту эксплуатации и хранению. Весь Товар должен иметь упаковку, снижаю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щую риск механического повреждения и деформации Товара, порчу от атмосферных воздействий, защищающую от воздействия влажности окружающей среды, а также выдерживающую без каких-либо о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граничений интенсивную подъемно-транспортную обработку во время перевозки.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</w:r>
    </w:p>
    <w:p w14:paraId="0816D40C">
      <w:pPr>
        <w:widowControl w:val="false"/>
        <w:pBdr/>
        <w:spacing w:after="0" w:before="0" w:line="240" w:lineRule="auto"/>
        <w:ind w:firstLine="709"/>
        <w:jc w:val="both"/>
        <w:rPr>
          <w:rFonts w:ascii="Liberation Serif" w:hAnsi="Liberation Serif" w:cs="Liberation Serif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7.2 Упаковка и маркировка Товара должны соответствоват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ь требованиям </w:t>
      </w:r>
      <w:r>
        <w:rPr>
          <w:rFonts w:ascii="Liberation Serif" w:hAnsi="Liberation Serif" w:eastAsia="Liberation Serif" w:cs="Liberation Serif"/>
          <w:color w:val="000000"/>
          <w:sz w:val="24"/>
          <w:highlight w:val="white"/>
        </w:rPr>
        <w:t xml:space="preserve">ГОСТ 17527-2020. «Упаковка. Термины и определения»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, ГОСТ 14192-96 «Маркировка грузов». Маркировка упаковки должна строго соответствовать маркировке Товара и обеспечивать полную и однозначную идентификацию каждой единицы 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Товара при его приемк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е.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</w:r>
    </w:p>
    <w:p w14:paraId="053F3AC0">
      <w:pPr>
        <w:widowControl w:val="false"/>
        <w:pBdr/>
        <w:spacing w:after="0" w:before="0" w:line="240" w:lineRule="auto"/>
        <w:ind w:firstLine="0"/>
        <w:jc w:val="both"/>
        <w:rPr>
          <w:rFonts w:ascii="Liberation Serif" w:hAnsi="Liberation Serif" w:cs="Liberation Serif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         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В одну из упаковок, поставляемых в  адрес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 Заказчика,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 должен быть вложен комплект сопроводительных документов. 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</w:r>
    </w:p>
    <w:p>
      <w:pPr>
        <w:widowControl w:val="false"/>
        <w:pBdr/>
        <w:spacing w:after="0" w:before="0" w:line="240" w:lineRule="auto"/>
        <w:ind w:firstLine="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8. Требования к сертификации</w:t>
      </w:r>
      <w:r>
        <w:rPr>
          <w:rFonts w:ascii="Liberation Serif" w:hAnsi="Liberation Serif" w:cs="Liberation Serif"/>
          <w:b/>
          <w:bCs/>
          <w:sz w:val="24"/>
          <w:szCs w:val="24"/>
        </w:rPr>
      </w:r>
      <w:r>
        <w:rPr>
          <w:rFonts w:ascii="Liberation Serif" w:hAnsi="Liberation Serif" w:cs="Liberation Serif"/>
          <w:b/>
          <w:bCs/>
          <w:sz w:val="24"/>
          <w:szCs w:val="24"/>
        </w:rPr>
      </w:r>
    </w:p>
    <w:p>
      <w:pPr>
        <w:widowControl w:val="false"/>
        <w:pBdr/>
        <w:spacing w:after="0" w:before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8.1 При поставке Товаров Поставщик должен представить копии действующих сертификатов соответствия техническому регламенту Таможенного союза (сертификат ТР ТС) н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а поставляемые Товары (в случае, если Товары подлежат обязательной сертификации), а также копии Декларации о соответствии Таможенного Союза на поставляемые Товары (если в соответствии с законодательством Российской Федерации их предоставление обязательно).</w:t>
      </w:r>
      <w:r>
        <w:rPr>
          <w:rFonts w:ascii="Liberation Serif" w:hAnsi="Liberation Serif" w:cs="Liberation Serif"/>
          <w:sz w:val="24"/>
          <w:szCs w:val="24"/>
          <w:highlight w:val="white"/>
        </w:rPr>
      </w:r>
      <w:r>
        <w:rPr>
          <w:rFonts w:ascii="Liberation Serif" w:hAnsi="Liberation Serif" w:cs="Liberation Serif"/>
          <w:sz w:val="24"/>
          <w:szCs w:val="24"/>
          <w:highlight w:val="white"/>
        </w:rPr>
      </w:r>
    </w:p>
    <w:p w14:paraId="259341FC">
      <w:pPr>
        <w:widowControl w:val="false"/>
        <w:pBdr/>
        <w:spacing w:after="0" w:before="0" w:line="240" w:lineRule="auto"/>
        <w:ind/>
        <w:jc w:val="both"/>
        <w:rPr>
          <w:rFonts w:ascii="Liberation Serif" w:hAnsi="Liberation Serif" w:cs="Liberation Serif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Указанные копии документов, в соответствии с законодательством Российской Федерации должны быть представле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ны Поставщиком при поставке Товаров.</w:t>
      </w:r>
      <w:r>
        <w:rPr>
          <w:rFonts w:ascii="Liberation Serif" w:hAnsi="Liberation Serif" w:cs="Liberation Serif"/>
          <w:sz w:val="24"/>
          <w:szCs w:val="24"/>
          <w:highlight w:val="white"/>
        </w:rPr>
      </w:r>
      <w:r>
        <w:rPr>
          <w:rFonts w:ascii="Liberation Serif" w:hAnsi="Liberation Serif" w:cs="Liberation Serif"/>
          <w:sz w:val="24"/>
          <w:szCs w:val="24"/>
          <w:highlight w:val="white"/>
        </w:rPr>
      </w:r>
    </w:p>
    <w:p>
      <w:pPr>
        <w:widowControl w:val="false"/>
        <w:pBdr/>
        <w:spacing w:after="0" w:before="0" w:line="240" w:lineRule="auto"/>
        <w:ind/>
        <w:jc w:val="both"/>
        <w:rPr>
          <w:rFonts w:ascii="Liberation Serif" w:hAnsi="Liberation Serif" w:cs="Liberation Serif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</w:r>
      <w:r>
        <w:rPr>
          <w:rFonts w:ascii="Liberation Serif" w:hAnsi="Liberation Serif" w:cs="Liberation Serif"/>
          <w:sz w:val="24"/>
          <w:szCs w:val="24"/>
          <w:highlight w:val="white"/>
        </w:rPr>
      </w:r>
      <w:r>
        <w:rPr>
          <w:rFonts w:ascii="Liberation Serif" w:hAnsi="Liberation Serif" w:cs="Liberation Serif"/>
          <w:sz w:val="24"/>
          <w:szCs w:val="24"/>
          <w:highlight w:val="white"/>
        </w:rPr>
      </w:r>
    </w:p>
    <w:p>
      <w:pPr>
        <w:widowControl w:val="false"/>
        <w:pBdr/>
        <w:spacing w:after="0" w:before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widowControl w:val="false"/>
        <w:pBdr/>
        <w:spacing w:after="0" w:before="0" w:line="240" w:lineRule="auto"/>
        <w:ind/>
        <w:jc w:val="both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9. Порядок сдачи-приемки Товаров по количеству в Месте поставки Товаров</w:t>
      </w:r>
      <w:r>
        <w:rPr>
          <w:rFonts w:ascii="Liberation Serif" w:hAnsi="Liberation Serif" w:cs="Liberation Serif"/>
          <w:b/>
          <w:bCs/>
          <w:sz w:val="24"/>
          <w:szCs w:val="24"/>
        </w:rPr>
      </w:r>
      <w:r>
        <w:rPr>
          <w:rFonts w:ascii="Liberation Serif" w:hAnsi="Liberation Serif" w:cs="Liberation Serif"/>
          <w:b/>
          <w:bCs/>
          <w:sz w:val="24"/>
          <w:szCs w:val="24"/>
        </w:rPr>
      </w:r>
    </w:p>
    <w:p>
      <w:pPr>
        <w:widowControl w:val="false"/>
        <w:pBdr/>
        <w:spacing w:after="0" w:before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7343EF31"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Товары должны быть поставлены в Место поставки Товаров в количестве и в срок, указанном в Разделе 6 «</w:t>
      </w:r>
      <w:r>
        <w:rPr>
          <w:rFonts w:ascii="Liberation Serif" w:hAnsi="Liberation Serif" w:eastAsia="Liberation Serif" w:cs="Liberation Serif"/>
          <w:bCs/>
          <w:sz w:val="24"/>
          <w:szCs w:val="24"/>
        </w:rPr>
        <w:t xml:space="preserve">Сроки и место поставки Товара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»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1F202393"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Не позднее, чем за 2 (два) рабочих дня до даты предполагаемой поставки Товаров, Поставщик должен уведомить Заказчика в письменном виде о дате и времени предполагаемой поставки Товаров.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2245BF9C"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Сдача-приемка Това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ров по к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оличеству должна производиться в Месте поставки Товаров и может оформляться Товарной накладной,Товарно транспортной накладной или иным документом по усмотрению Поставщика, подписываемым Заказчиком и Поставщиком в порядке, предусмотренном настоящим пунктом.</w:t>
      </w:r>
      <w:r>
        <w:rPr>
          <w:rFonts w:ascii="Liberation Serif" w:hAnsi="Liberation Serif" w:cs="Liberation Serif"/>
          <w:sz w:val="24"/>
          <w:szCs w:val="24"/>
          <w:highlight w:val="white"/>
        </w:rPr>
      </w:r>
      <w:r>
        <w:rPr>
          <w:rFonts w:ascii="Liberation Serif" w:hAnsi="Liberation Serif" w:cs="Liberation Serif"/>
          <w:sz w:val="24"/>
          <w:szCs w:val="24"/>
          <w:highlight w:val="white"/>
        </w:rPr>
      </w:r>
    </w:p>
    <w:p w14:paraId="24DB3B33"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  <w:highlight w:val="whit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Поставщик должен передать Заказчику вместе с Товаром следующие документы:</w:t>
      </w:r>
      <w:r>
        <w:rPr>
          <w:rFonts w:ascii="Liberation Serif" w:hAnsi="Liberation Serif" w:cs="Liberation Serif"/>
          <w:sz w:val="24"/>
          <w:szCs w:val="24"/>
          <w:highlight w:val="white"/>
        </w:rPr>
      </w:r>
      <w:r>
        <w:rPr>
          <w:rFonts w:ascii="Liberation Serif" w:hAnsi="Liberation Serif" w:cs="Liberation Serif"/>
          <w:sz w:val="24"/>
          <w:szCs w:val="24"/>
          <w:highlight w:val="white"/>
        </w:rPr>
      </w:r>
    </w:p>
    <w:p w14:paraId="3E8B6670"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- Товарную накладную, 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Товарно - транспортной накладной</w:t>
      </w:r>
      <w:r>
        <w:rPr>
          <w:rFonts w:ascii="Liberation Serif" w:hAnsi="Liberation Serif" w:eastAsia="Liberation Serif" w:cs="Liberation Serif"/>
          <w:sz w:val="24"/>
          <w:szCs w:val="24"/>
          <w:highlight w:val="white"/>
        </w:rPr>
        <w:t xml:space="preserve"> или иной документ по усмотрению Поставщика с указанием цен – в 2 (двух) экземпляр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ах (в случае, если такие документы оформлялись);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5B403D82">
      <w:pPr>
        <w:pBdr/>
        <w:spacing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-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копии Декларации о соответствии Таможенного Союза на поставляемые Товары в соответствии с пунктом 8.1 настоящего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Технического задания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(если в соответствии с законодательством Российской Федерации их предоставление обязательно);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3B77AABD">
      <w:pPr>
        <w:widowControl w:val="false"/>
        <w:pBdr/>
        <w:spacing w:after="0" w:before="0" w:line="240" w:lineRule="auto"/>
        <w:ind w:firstLine="708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- копии действующих сертификатов соответствия техническому регламенту Таможенного союза (сертификат ТР ТС) на поставляемые Товары в соответствии с пунктом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8.1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настоящего Технического задания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если Товары подлежат обязательной сертификации)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»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3958FEB2">
      <w:pPr>
        <w:widowControl w:val="false"/>
        <w:pBdr/>
        <w:spacing w:after="0" w:before="0" w:line="240" w:lineRule="auto"/>
        <w:ind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      В случае неполучения Заказчиком вышеуказанных документов, Поставщик будет нести ответственность за просрочку поставки Товаров.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 w14:paraId="3F00957A">
      <w:pPr>
        <w:pBdr/>
        <w:tabs>
          <w:tab w:val="left" w:leader="none" w:pos="3119"/>
        </w:tabs>
        <w:spacing w:before="0" w:line="240" w:lineRule="auto"/>
        <w:ind w:firstLine="567"/>
        <w:contextualSpacing w:val="true"/>
        <w:jc w:val="center"/>
        <w:rPr>
          <w:rFonts w:ascii="Liberation Serif" w:hAnsi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3119"/>
        </w:tabs>
        <w:spacing w:before="0" w:line="240" w:lineRule="auto"/>
        <w:ind w:firstLine="567"/>
        <w:contextualSpacing w:val="true"/>
        <w:jc w:val="center"/>
        <w:rPr>
          <w:rFonts w:ascii="Liberation Serif" w:hAnsi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3119"/>
        </w:tabs>
        <w:spacing w:before="0" w:line="240" w:lineRule="auto"/>
        <w:ind w:firstLine="567"/>
        <w:contextualSpacing w:val="true"/>
        <w:jc w:val="center"/>
        <w:rPr>
          <w:rFonts w:ascii="Liberation Serif" w:hAnsi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3119"/>
        </w:tabs>
        <w:spacing w:before="0" w:line="240" w:lineRule="auto"/>
        <w:ind w:firstLine="567"/>
        <w:contextualSpacing w:val="true"/>
        <w:jc w:val="center"/>
        <w:rPr>
          <w:rFonts w:ascii="Liberation Serif" w:hAnsi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3119"/>
        </w:tabs>
        <w:spacing w:before="0" w:line="240" w:lineRule="auto"/>
        <w:ind w:firstLine="567"/>
        <w:contextualSpacing w:val="true"/>
        <w:jc w:val="center"/>
        <w:rPr>
          <w:rFonts w:ascii="Liberation Serif" w:hAnsi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3119"/>
        </w:tabs>
        <w:spacing w:before="0" w:line="240" w:lineRule="auto"/>
        <w:ind w:firstLine="567"/>
        <w:contextualSpacing w:val="true"/>
        <w:jc w:val="center"/>
        <w:rPr>
          <w:rFonts w:ascii="Liberation Serif" w:hAnsi="Liberation Serif" w:cs="Liberation Serif"/>
          <w:b/>
          <w:bCs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</w:p>
    <w:p>
      <w:pPr>
        <w:pBdr/>
        <w:spacing w:line="240" w:lineRule="auto"/>
        <w:ind w:firstLine="567"/>
        <w:jc w:val="center"/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  <w:shd w:val="clear" w:color="auto" w:fill="ffffff"/>
          <w:lang w:bidi="en-US"/>
        </w:rPr>
      </w:r>
      <w:r>
        <w:rPr>
          <w:rFonts w:ascii="Liberation Serif" w:hAnsi="Liberation Serif" w:cs="Liberation Serif"/>
          <w:b/>
          <w:bCs/>
          <w:sz w:val="24"/>
          <w:szCs w:val="24"/>
        </w:rPr>
      </w:r>
      <w:r>
        <w:rPr>
          <w:rFonts w:ascii="Liberation Serif" w:hAnsi="Liberation Serif" w:cs="Liberation Serif"/>
          <w:b/>
          <w:bCs/>
          <w:sz w:val="24"/>
          <w:szCs w:val="24"/>
        </w:rPr>
      </w:r>
    </w:p>
    <w:p>
      <w:pPr>
        <w:pStyle w:val="927"/>
        <w:widowControl w:val="true"/>
        <w:pBdr/>
        <w:spacing w:after="0" w:before="0" w:line="240" w:lineRule="auto"/>
        <w:ind w:right="-285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sectPr>
      <w:footerReference w:type="default" r:id="rId9"/>
      <w:footnotePr/>
      <w:endnotePr/>
      <w:type w:val="nextPage"/>
      <w:pgSz w:h="16838" w:orient="portrait" w:w="11906"/>
      <w:pgMar w:top="680" w:right="851" w:bottom="766" w:left="1418" w:header="0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Calibri">
    <w:panose1 w:val="020F0502020204030204"/>
  </w:font>
  <w:font w:name="Tahoma">
    <w:panose1 w:val="020B0604030504040204"/>
  </w:font>
  <w:font w:name="Noto Sans Devanagari">
    <w:panose1 w:val="020B0502040504020204"/>
  </w:font>
  <w:font w:name="Times New Roman">
    <w:panose1 w:val="02020603050405020304"/>
  </w:font>
  <w:font w:name="Arial Unicode MS">
    <w:panose1 w:val="020B0604020202020204"/>
  </w:font>
  <w:font w:name="PT Astra Serif">
    <w:panose1 w:val="020A0603040505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85975713"/>
      <w:docPartObj>
        <w:docPartGallery w:val="Page Numbers (Bottom of Page)"/>
        <w:docPartUnique w:val="true"/>
      </w:docPartObj>
      <w:rPr/>
    </w:sdtPr>
    <w:sdtContent>
      <w:p>
        <w:pPr>
          <w:pStyle w:val="945"/>
          <w:pBdr/>
          <w:spacing/>
          <w:ind/>
          <w:jc w:val="right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6</w:t>
        </w:r>
        <w:r>
          <w:fldChar w:fldCharType="end"/>
        </w:r>
        <w:r/>
      </w:p>
    </w:sdtContent>
  </w:sdt>
  <w:p>
    <w:pPr>
      <w:pStyle w:val="94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58" w:left="360"/>
      </w:pPr>
      <w:rPr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358" w:left="1069"/>
      </w:pPr>
      <w:rPr>
        <w:color w:val="00000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718" w:left="2138"/>
      </w:pPr>
      <w:rPr>
        <w:color w:val="00000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718" w:left="2847"/>
      </w:pPr>
      <w:rPr>
        <w:color w:val="00000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078" w:left="3916"/>
      </w:pPr>
      <w:rPr>
        <w:color w:val="00000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078" w:left="4625"/>
      </w:pPr>
      <w:rPr>
        <w:color w:val="00000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438" w:left="5694"/>
      </w:pPr>
      <w:rPr>
        <w:color w:val="00000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438" w:left="6403"/>
      </w:pPr>
      <w:rPr>
        <w:color w:val="00000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798" w:left="7472"/>
      </w:pPr>
      <w:rPr>
        <w:color w:val="000000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58" w:left="360"/>
      </w:pPr>
      <w:rPr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358" w:left="1069"/>
      </w:pPr>
      <w:rPr>
        <w:color w:val="00000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718" w:left="2138"/>
      </w:pPr>
      <w:rPr>
        <w:color w:val="00000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718" w:left="2847"/>
      </w:pPr>
      <w:rPr>
        <w:color w:val="00000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078" w:left="3916"/>
      </w:pPr>
      <w:rPr>
        <w:color w:val="00000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078" w:left="4625"/>
      </w:pPr>
      <w:rPr>
        <w:color w:val="00000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438" w:left="5694"/>
      </w:pPr>
      <w:rPr>
        <w:color w:val="00000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438" w:left="6403"/>
      </w:pPr>
      <w:rPr>
        <w:color w:val="00000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798" w:left="7472"/>
      </w:pPr>
      <w:rPr>
        <w:color w:val="000000"/>
      </w:rPr>
      <w:start w:val="1"/>
      <w:suff w:val="tab"/>
    </w:lvl>
  </w:abstractNum>
  <w:abstractNum w:abstractNumId="2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58" w:left="360"/>
      </w:pPr>
      <w:rPr>
        <w:rFonts w:hint="default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58" w:left="1069"/>
      </w:pPr>
      <w:rPr>
        <w:rFonts w:hint="default"/>
        <w:color w:val="00000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18" w:left="2138"/>
      </w:pPr>
      <w:rPr>
        <w:rFonts w:hint="default"/>
        <w:color w:val="00000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18" w:left="2847"/>
      </w:pPr>
      <w:rPr>
        <w:rFonts w:hint="default"/>
        <w:color w:val="00000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78" w:left="3916"/>
      </w:pPr>
      <w:rPr>
        <w:rFonts w:hint="default"/>
        <w:color w:val="00000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78" w:left="4625"/>
      </w:pPr>
      <w:rPr>
        <w:rFonts w:hint="default"/>
        <w:color w:val="00000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38" w:left="5694"/>
      </w:pPr>
      <w:rPr>
        <w:rFonts w:hint="default"/>
        <w:color w:val="00000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38" w:left="6403"/>
      </w:pPr>
      <w:rPr>
        <w:rFonts w:hint="default"/>
        <w:color w:val="00000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798" w:left="7472"/>
      </w:pPr>
      <w:rPr>
        <w:rFonts w:hint="default"/>
        <w:color w:val="000000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58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58" w:left="106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18" w:left="2138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18" w:left="284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78" w:left="3916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78" w:left="462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38" w:left="5692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38" w:left="64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798" w:left="7472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58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58" w:left="106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18" w:left="2138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18" w:left="284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78" w:left="3916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78" w:left="462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38" w:left="5692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38" w:left="64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798" w:left="7472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7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table" w:styleId="748">
    <w:name w:val="Table Grid Light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Heading 1"/>
    <w:basedOn w:val="927"/>
    <w:next w:val="927"/>
    <w:link w:val="8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4">
    <w:name w:val="Heading 2"/>
    <w:basedOn w:val="927"/>
    <w:next w:val="927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5">
    <w:name w:val="Heading 3"/>
    <w:basedOn w:val="927"/>
    <w:next w:val="927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27"/>
    <w:next w:val="927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27"/>
    <w:next w:val="927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27"/>
    <w:next w:val="927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27"/>
    <w:next w:val="927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27"/>
    <w:next w:val="927"/>
    <w:link w:val="8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27"/>
    <w:next w:val="927"/>
    <w:link w:val="8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Heading 1 Char"/>
    <w:basedOn w:val="928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3">
    <w:name w:val="Heading 2 Char"/>
    <w:basedOn w:val="928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4">
    <w:name w:val="Heading 3 Char"/>
    <w:basedOn w:val="928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5">
    <w:name w:val="Heading 4 Char"/>
    <w:basedOn w:val="928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6">
    <w:name w:val="Heading 5 Char"/>
    <w:basedOn w:val="928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7">
    <w:name w:val="Heading 6 Char"/>
    <w:basedOn w:val="928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8">
    <w:name w:val="Heading 7 Char"/>
    <w:basedOn w:val="928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9">
    <w:name w:val="Heading 8 Char"/>
    <w:basedOn w:val="928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9 Char"/>
    <w:basedOn w:val="928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Title"/>
    <w:basedOn w:val="927"/>
    <w:next w:val="927"/>
    <w:link w:val="89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2">
    <w:name w:val="Title Char"/>
    <w:basedOn w:val="928"/>
    <w:link w:val="8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3">
    <w:name w:val="Subtitle"/>
    <w:basedOn w:val="927"/>
    <w:next w:val="927"/>
    <w:link w:val="8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4">
    <w:name w:val="Subtitle Char"/>
    <w:basedOn w:val="928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5">
    <w:name w:val="Quote"/>
    <w:basedOn w:val="927"/>
    <w:next w:val="927"/>
    <w:link w:val="8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6">
    <w:name w:val="Quote Char"/>
    <w:basedOn w:val="928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27"/>
    <w:next w:val="927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2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928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928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7">
    <w:name w:val="Header Char"/>
    <w:basedOn w:val="928"/>
    <w:link w:val="944"/>
    <w:uiPriority w:val="99"/>
    <w:pPr>
      <w:pBdr/>
      <w:spacing/>
      <w:ind/>
    </w:pPr>
  </w:style>
  <w:style w:type="character" w:styleId="908">
    <w:name w:val="Footer Char"/>
    <w:basedOn w:val="928"/>
    <w:link w:val="945"/>
    <w:uiPriority w:val="99"/>
    <w:pPr>
      <w:pBdr/>
      <w:spacing/>
      <w:ind/>
    </w:pPr>
  </w:style>
  <w:style w:type="paragraph" w:styleId="909">
    <w:name w:val="footnote text"/>
    <w:basedOn w:val="9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7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28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6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7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8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9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20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21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2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3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4">
    <w:name w:val="toc 9"/>
    <w:basedOn w:val="927"/>
    <w:next w:val="927"/>
    <w:uiPriority w:val="39"/>
    <w:unhideWhenUsed/>
    <w:pPr>
      <w:pBdr/>
      <w:spacing w:after="100"/>
      <w:ind w:left="1760"/>
    </w:pPr>
  </w:style>
  <w:style w:type="paragraph" w:styleId="925">
    <w:name w:val="TOC Heading"/>
    <w:uiPriority w:val="39"/>
    <w:unhideWhenUsed/>
    <w:pPr>
      <w:pBdr/>
      <w:spacing/>
      <w:ind/>
    </w:pPr>
  </w:style>
  <w:style w:type="paragraph" w:styleId="926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paragraph" w:styleId="927" w:default="1">
    <w:name w:val="Normal"/>
    <w:qFormat/>
    <w:pPr>
      <w:widowControl w:val="false"/>
      <w:pBdr/>
      <w:bidi w:val="false"/>
      <w:spacing w:after="0" w:before="160" w:line="300" w:lineRule="auto"/>
      <w:ind/>
      <w:jc w:val="center"/>
    </w:pPr>
    <w:rPr>
      <w:rFonts w:ascii="Times New Roman" w:hAnsi="Times New Roman" w:eastAsia="Times New Roman" w:cs="Times New Roman"/>
      <w:color w:val="auto"/>
      <w:sz w:val="16"/>
      <w:szCs w:val="16"/>
      <w:lang w:val="ru-RU" w:eastAsia="ru-RU" w:bidi="ar-SA"/>
    </w:rPr>
  </w:style>
  <w:style w:type="character" w:styleId="92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29" w:customStyle="1">
    <w:name w:val="ConsPlusNormal Знак"/>
    <w:link w:val="939"/>
    <w:qFormat/>
    <w:pPr>
      <w:pBdr/>
      <w:spacing/>
      <w:ind/>
    </w:pPr>
    <w:rPr>
      <w:rFonts w:ascii="Arial" w:hAnsi="Arial" w:cs="Arial"/>
    </w:rPr>
  </w:style>
  <w:style w:type="character" w:styleId="930">
    <w:name w:val="Hyperlink"/>
    <w:basedOn w:val="928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31" w:customStyle="1">
    <w:name w:val="cardmaininfo__content"/>
    <w:basedOn w:val="928"/>
    <w:qFormat/>
    <w:pPr>
      <w:pBdr/>
      <w:spacing/>
      <w:ind/>
    </w:pPr>
  </w:style>
  <w:style w:type="character" w:styleId="932" w:customStyle="1">
    <w:name w:val="Верхний колонтитул Знак"/>
    <w:basedOn w:val="928"/>
    <w:uiPriority w:val="99"/>
    <w:qFormat/>
    <w:pPr>
      <w:pBdr/>
      <w:spacing/>
      <w:ind/>
    </w:pPr>
    <w:rPr>
      <w:rFonts w:ascii="Times New Roman" w:hAnsi="Times New Roman" w:eastAsia="Times New Roman" w:cs="Times New Roman"/>
      <w:sz w:val="16"/>
      <w:szCs w:val="16"/>
      <w:lang w:eastAsia="ru-RU"/>
    </w:rPr>
  </w:style>
  <w:style w:type="character" w:styleId="933" w:customStyle="1">
    <w:name w:val="Нижний колонтитул Знак"/>
    <w:basedOn w:val="928"/>
    <w:uiPriority w:val="99"/>
    <w:qFormat/>
    <w:pPr>
      <w:pBdr/>
      <w:spacing/>
      <w:ind/>
    </w:pPr>
    <w:rPr>
      <w:rFonts w:ascii="Times New Roman" w:hAnsi="Times New Roman" w:eastAsia="Times New Roman" w:cs="Times New Roman"/>
      <w:sz w:val="16"/>
      <w:szCs w:val="16"/>
      <w:lang w:eastAsia="ru-RU"/>
    </w:rPr>
  </w:style>
  <w:style w:type="paragraph" w:styleId="934">
    <w:name w:val="Заголовок"/>
    <w:basedOn w:val="927"/>
    <w:next w:val="935"/>
    <w:qFormat/>
    <w:pPr>
      <w:keepNext w:val="true"/>
      <w:pBdr/>
      <w:spacing w:after="120" w:before="240"/>
      <w:ind/>
    </w:pPr>
    <w:rPr>
      <w:rFonts w:ascii="PT Astra Serif" w:hAnsi="PT Astra Serif" w:eastAsia="Tahoma" w:cs="Noto Sans Devanagari"/>
      <w:sz w:val="28"/>
      <w:szCs w:val="28"/>
    </w:rPr>
  </w:style>
  <w:style w:type="paragraph" w:styleId="935">
    <w:name w:val="Body Text"/>
    <w:basedOn w:val="927"/>
    <w:pPr>
      <w:pBdr/>
      <w:spacing w:after="140" w:before="0" w:line="276" w:lineRule="auto"/>
      <w:ind/>
    </w:pPr>
  </w:style>
  <w:style w:type="paragraph" w:styleId="936">
    <w:name w:val="List"/>
    <w:basedOn w:val="935"/>
    <w:pPr>
      <w:pBdr/>
      <w:spacing/>
      <w:ind/>
    </w:pPr>
    <w:rPr>
      <w:rFonts w:ascii="PT Astra Serif" w:hAnsi="PT Astra Serif" w:cs="Noto Sans Devanagari"/>
    </w:rPr>
  </w:style>
  <w:style w:type="paragraph" w:styleId="937">
    <w:name w:val="Caption"/>
    <w:basedOn w:val="927"/>
    <w:qFormat/>
    <w:pPr>
      <w:suppressLineNumbers w:val="true"/>
      <w:pBdr/>
      <w:spacing w:after="120" w:before="120"/>
      <w:ind/>
    </w:pPr>
    <w:rPr>
      <w:rFonts w:ascii="PT Astra Serif" w:hAnsi="PT Astra Serif" w:cs="Noto Sans Devanagari"/>
      <w:i/>
      <w:iCs/>
      <w:sz w:val="24"/>
      <w:szCs w:val="24"/>
    </w:rPr>
  </w:style>
  <w:style w:type="paragraph" w:styleId="938">
    <w:name w:val="Указатель"/>
    <w:basedOn w:val="927"/>
    <w:qFormat/>
    <w:pPr>
      <w:suppressLineNumbers w:val="true"/>
      <w:pBdr/>
      <w:spacing/>
      <w:ind/>
    </w:pPr>
    <w:rPr>
      <w:rFonts w:ascii="PT Astra Serif" w:hAnsi="PT Astra Serif" w:cs="Noto Sans Devanagari"/>
    </w:rPr>
  </w:style>
  <w:style w:type="paragraph" w:styleId="939" w:customStyle="1">
    <w:name w:val="ConsPlusNormal"/>
    <w:link w:val="929"/>
    <w:qFormat/>
    <w:pPr>
      <w:widowControl w:val="false"/>
      <w:pBdr/>
      <w:bidi w:val="false"/>
      <w:spacing w:after="0" w:before="0" w:line="240" w:lineRule="auto"/>
      <w:ind w:firstLine="720"/>
      <w:jc w:val="left"/>
    </w:pPr>
    <w:rPr>
      <w:rFonts w:ascii="Arial" w:hAnsi="Arial" w:eastAsia="Calibri" w:cs="Arial" w:eastAsiaTheme="minorHAnsi"/>
      <w:color w:val="auto"/>
      <w:sz w:val="22"/>
      <w:szCs w:val="22"/>
      <w:lang w:val="ru-RU" w:eastAsia="en-US" w:bidi="ar-SA"/>
    </w:rPr>
  </w:style>
  <w:style w:type="paragraph" w:styleId="940">
    <w:name w:val="List Paragraph"/>
    <w:basedOn w:val="927"/>
    <w:uiPriority w:val="34"/>
    <w:qFormat/>
    <w:pPr>
      <w:pBdr/>
      <w:spacing w:after="0" w:before="160"/>
      <w:ind w:left="720"/>
      <w:contextualSpacing w:val="true"/>
    </w:pPr>
  </w:style>
  <w:style w:type="paragraph" w:styleId="941" w:customStyle="1">
    <w:name w:val="docdata"/>
    <w:basedOn w:val="927"/>
    <w:qFormat/>
    <w:pPr>
      <w:widowControl w:val="true"/>
      <w:pBdr/>
      <w:spacing w:afterAutospacing="1" w:beforeAutospacing="1" w:line="240" w:lineRule="auto"/>
      <w:ind/>
      <w:jc w:val="left"/>
    </w:pPr>
    <w:rPr>
      <w:sz w:val="24"/>
      <w:szCs w:val="24"/>
    </w:rPr>
  </w:style>
  <w:style w:type="paragraph" w:styleId="942" w:customStyle="1">
    <w:name w:val="ph_titlepage_other"/>
    <w:qFormat/>
    <w:pPr>
      <w:widowControl w:val="true"/>
      <w:pBdr/>
      <w:bidi w:val="false"/>
      <w:spacing w:after="120" w:before="0" w:line="360" w:lineRule="auto"/>
      <w:ind/>
      <w:jc w:val="center"/>
    </w:pPr>
    <w:rPr>
      <w:rFonts w:ascii="Times New Roman" w:hAnsi="Times New Roman" w:eastAsia="Times New Roman" w:cs="Arial"/>
      <w:color w:val="auto"/>
      <w:sz w:val="24"/>
      <w:szCs w:val="28"/>
      <w:lang w:val="ru-RU" w:eastAsia="en-US" w:bidi="ar-SA"/>
    </w:rPr>
  </w:style>
  <w:style w:type="paragraph" w:styleId="943">
    <w:name w:val="Колонтитул"/>
    <w:basedOn w:val="927"/>
    <w:qFormat/>
    <w:pPr>
      <w:pBdr/>
      <w:spacing/>
      <w:ind/>
    </w:pPr>
  </w:style>
  <w:style w:type="paragraph" w:styleId="944">
    <w:name w:val="Header"/>
    <w:basedOn w:val="927"/>
    <w:link w:val="932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5">
    <w:name w:val="Footer"/>
    <w:basedOn w:val="927"/>
    <w:link w:val="933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6">
    <w:name w:val="Содержимое врезки"/>
    <w:basedOn w:val="927"/>
    <w:qFormat/>
    <w:pPr>
      <w:pBdr/>
      <w:spacing/>
      <w:ind/>
    </w:pPr>
  </w:style>
  <w:style w:type="numbering" w:styleId="947" w:default="1">
    <w:name w:val="No List"/>
    <w:uiPriority w:val="99"/>
    <w:semiHidden/>
    <w:unhideWhenUsed/>
    <w:qFormat/>
    <w:pPr>
      <w:pBdr/>
      <w:spacing/>
      <w:ind/>
    </w:pPr>
  </w:style>
  <w:style w:type="table" w:styleId="94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Сетка таблицы3"/>
    <w:basedOn w:val="948"/>
    <w:uiPriority w:val="59"/>
    <w:pPr>
      <w:pBdr/>
      <w:spacing w:after="0" w:line="240" w:lineRule="auto"/>
      <w:ind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"/>
    <w:basedOn w:val="94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Сетка таблицы31"/>
    <w:basedOn w:val="948"/>
    <w:uiPriority w:val="59"/>
    <w:pPr>
      <w:pBdr/>
      <w:spacing w:after="0" w:line="240" w:lineRule="auto"/>
      <w:ind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 w:customStyle="1">
    <w:name w:val="Normal (Web)"/>
    <w:basedOn w:val="756"/>
    <w:uiPriority w:val="99"/>
    <w:pPr>
      <w:keepNext w:val="false"/>
      <w:keepLines w:val="false"/>
      <w:pageBreakBefore w:val="false"/>
      <w:widowControl w:val="true"/>
      <w:suppressLineNumbers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Arial Unicode MS" w:hAnsi="Times New Roman" w:eastAsia="Times New Roman" w:cs="Arial Unicode M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953" w:customStyle="1">
    <w:name w:val="Standard"/>
    <w:basedOn w:val="87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76" w:lineRule="auto"/>
      <w:ind w:right="0" w:firstLine="0" w:left="0"/>
      <w:contextualSpacing w:val="false"/>
      <w:jc w:val="left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2"/>
      <w:szCs w:val="20"/>
      <w:highlight w:val="none"/>
      <w:u w:val="none"/>
      <w:vertAlign w:val="baseline"/>
      <w:rtl w:val="0"/>
      <w:cs w:val="0"/>
      <w:lang w:val="ru-RU" w:eastAsia="zh-CN" w:bidi="ar-SA"/>
      <w14:ligatures w14:val="none"/>
    </w:rPr>
  </w:style>
  <w:style w:type="paragraph" w:styleId="954" w:customStyle="1">
    <w:name w:val="Normal2"/>
    <w:link w:val="759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400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7F0FC-6591-410F-8F29-283320BCB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А. Сергеева</dc:creator>
  <dc:description/>
  <dc:language>ru-RU</dc:language>
  <cp:revision>85</cp:revision>
  <dcterms:created xsi:type="dcterms:W3CDTF">2024-06-04T08:11:00Z</dcterms:created>
  <dcterms:modified xsi:type="dcterms:W3CDTF">2026-01-27T09:14:02Z</dcterms:modified>
</cp:coreProperties>
</file>