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Relationships xmlns="http://schemas.openxmlformats.org/package/2006/relationships"><Relationship Id="doc"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Normal"/>
        <w:jc w:val="center"/>
      </w:pPr>
      <w:r>
        <w:t xml:space="preserve">МИНИСТЕРСТВО НАУКИ И ВЫСШЕГО ОБРАЗОВАНИЯ РОССИЙСКОЙ ФЕДЕРАЦИИ</w:t>
      </w:r>
    </w:p>
    <w:p>
      <w:pPr>
        <w:pStyle w:val="Normal"/>
        <w:jc w:val="center"/>
      </w:pPr>
      <w:r>
        <w:t xml:space="preserve">ФЕДЕРАЛЬНОЕ ГОСУДАРСТВЕННОЕ БЮДЖЕТНОЕ ОБРАЗОВАТЕЛЬНОЕ УЧРЕЖДЕНИЕ ВЫСШЕГО ОБРАЗОВАНИЯ</w:t>
      </w:r>
    </w:p>
    <w:p>
      <w:pPr>
        <w:pStyle w:val="Normal"/>
        <w:jc w:val="center"/>
      </w:pPr>
      <w:r>
        <w:t xml:space="preserve">«ДОНСКОЙ ГОСУДАРСТВЕННЫЙ ТЕХНИЧЕСКИЙ УНИВЕРСИТЕТ» (ДГТУ)</w:t>
      </w:r>
    </w:p>
    <w:p>
      <w:pPr>
        <w:pStyle w:val="Title"/>
        <w:jc w:val="center"/>
      </w:pPr>
      <w:r>
        <w:t xml:space="preserve">ОТЧЁТ</w:t>
      </w:r>
    </w:p>
    <w:p>
      <w:pPr>
        <w:pStyle w:val="Normal"/>
        <w:jc w:val="center"/>
      </w:pPr>
      <w:r>
        <w:t xml:space="preserve">по лабораторной работе № 1</w:t>
      </w:r>
      <w:r>
        <w:br/>
      </w:r>
      <w:r>
        <w:t xml:space="preserve">«Подготовка рабочей среды и паспорт воспроизводимого AI-эксперимента»</w:t>
      </w:r>
    </w:p>
    <w:p>
      <w:pPr>
        <w:pStyle w:val="Normal"/>
        <w:jc w:val="center"/>
      </w:pPr>
      <w:r>
        <w:t xml:space="preserve">по дисциплине «Искусственный интеллект в креативных технологиях»</w:t>
      </w:r>
    </w:p>
    <w:p>
      <w:pPr>
        <w:pStyle w:val="Normal"/>
        <w:jc w:val="center"/>
      </w:pPr>
      <w:r>
        <w:t xml:space="preserve">Вариант 27</w:t>
      </w:r>
      <w:r>
        <w:br/>
      </w:r>
      <w:r>
        <w:t xml:space="preserve">Зернистая плёнка (постобработка) × шаг решётки ×2</w:t>
      </w:r>
    </w:p>
    <w:p>
      <w:pPr>
        <w:pStyle w:val="Normal"/>
      </w:pPr>
      <w:r>
        <w:t xml:space="preserve">Выполнил: ______________________________</w:t>
      </w:r>
      <w:r>
        <w:br/>
      </w:r>
      <w:r>
        <w:t xml:space="preserve">Группа: _________________________________</w:t>
      </w:r>
      <w:r>
        <w:br/>
      </w:r>
      <w:r>
        <w:t xml:space="preserve">Проверил: _______________________________</w:t>
      </w:r>
    </w:p>
    <w:p>
      <w:pPr>
        <w:pStyle w:val="Normal"/>
        <w:jc w:val="center"/>
      </w:pPr>
      <w:r>
        <w:t xml:space="preserve">Локальные расчёты: 20.10.2026</w:t>
      </w:r>
      <w:r>
        <w:br/>
      </w:r>
      <w:r>
        <w:t xml:space="preserve">Часть Б: заполняется после самостоятельного выполнения</w:t>
      </w:r>
    </w:p>
    <w:p>
      <w:pPr>
        <w:pStyle w:val="Normal"/>
        <w:jc w:val="center"/>
      </w:pPr>
      <w:r>
        <w:t xml:space="preserve">2026</w:t>
      </w:r>
    </w:p>
    <w:p>
      <w:r>
        <w:br w:type="page"/>
      </w:r>
    </w:p>
    <w:p>
      <w:pPr>
        <w:pStyle w:val="Heading1"/>
      </w:pPr>
      <w:r>
        <w:t xml:space="preserve">1. Цель, постановка задачи, критерии успеха и гипотеза</w:t>
      </w:r>
    </w:p>
    <w:p>
      <w:pPr>
        <w:pStyle w:val="Heading2"/>
      </w:pPr>
      <w:r>
        <w:t xml:space="preserve">1.1. Цель и постановка</w:t>
      </w:r>
    </w:p>
    <w:p>
      <w:pPr>
        <w:pStyle w:val="Normal"/>
      </w:pPr>
      <w:r>
        <w:t xml:space="preserve">Подготовить изолированную рабочую среду, зафиксировать условия эксперимента в паспорте и проверить воспроизводимость по контрольным суммам полных выходных данных. Объект — учебный генератор процедурных текстур v1.0, модель-заменитель генеративной системы. Качество реальной нейросетевой модели в работе не оценивается.</w:t>
      </w:r>
    </w:p>
    <w:p>
      <w:pPr>
        <w:pStyle w:val="Normal"/>
      </w:pPr>
      <w:r>
        <w:t xml:space="preserve">Вариант 27 соответствует контексту 5 и фактору 3: N=(5−1)·6+3. Текстура имитирует плёночное зерно: важны мелкий масштаб и равномерность по кадру. Исследуется удвоение шага решётки при прочих равных.</w:t>
      </w:r>
    </w:p>
    <w:tbl>
      <w:tblPr>
        <w:tblW w:w="9350" w:type="dxa"/>
        <w:tblLayout w:type="fixed"/>
        <w:tblBorders>
          <w:top w:val="single" w:sz="4" w:color="777777"/>
          <w:left w:val="single" w:sz="4" w:color="777777"/>
          <w:bottom w:val="single" w:sz="4" w:color="777777"/>
          <w:right w:val="single" w:sz="4" w:color="777777"/>
          <w:insideH w:val="single" w:sz="4" w:color="777777"/>
          <w:insideV w:val="single" w:sz="4" w:color="777777"/>
        </w:tblBorders>
        <w:tblCellMar>
          <w:top w:w="60" w:type="dxa"/>
          <w:left w:w="70" w:type="dxa"/>
          <w:bottom w:w="60" w:type="dxa"/>
          <w:right w:w="70" w:type="dxa"/>
        </w:tblCellMar>
      </w:tblPr>
      <w:tblGrid>
        <w:gridCol w:w="3116"/>
        <w:gridCol w:w="3116"/>
        <w:gridCol w:w="3116"/>
      </w:tblGrid>
      <w:tr>
        <w:trPr>
          <w:cantSplit/>
          <w:tblHeader/>
        </w:trPr>
        <w:tc>
          <w:tcPr>
            <w:tcW w:w="3116" w:type="dxa"/>
            <w:shd w:fill="EEEEEE"/>
          </w:tcPr>
          <w:p>
            <w:pPr>
              <w:pStyle w:val="TableText"/>
            </w:pPr>
            <w:r>
              <w:rPr>
                <w:sz w:val="18"/>
              </w:rPr>
              <w:t xml:space="preserve">Параметр</w:t>
            </w:r>
          </w:p>
        </w:tc>
        <w:tc>
          <w:tcPr>
            <w:tcW w:w="3116" w:type="dxa"/>
            <w:shd w:fill="EEEEEE"/>
          </w:tcPr>
          <w:p>
            <w:pPr>
              <w:pStyle w:val="TableText"/>
            </w:pPr>
            <w:r>
              <w:rPr>
                <w:sz w:val="18"/>
              </w:rPr>
              <w:t xml:space="preserve">База</w:t>
            </w:r>
          </w:p>
        </w:tc>
        <w:tc>
          <w:tcPr>
            <w:tcW w:w="3116" w:type="dxa"/>
            <w:shd w:fill="EEEEEE"/>
          </w:tcPr>
          <w:p>
            <w:pPr>
              <w:pStyle w:val="TableText"/>
            </w:pPr>
            <w:r>
              <w:rPr>
                <w:sz w:val="18"/>
              </w:rPr>
              <w:t xml:space="preserve">Фактор</w:t>
            </w:r>
          </w:p>
        </w:tc>
      </w:tr>
      <w:tr>
        <w:trPr>
          <w:cantSplit/>
        </w:trPr>
        <w:tc>
          <w:tcPr>
            <w:tcW w:w="3116" w:type="dxa"/>
          </w:tcPr>
          <w:p>
            <w:pPr>
              <w:pStyle w:val="TableText"/>
            </w:pPr>
            <w:r>
              <w:rPr>
                <w:sz w:val="18"/>
              </w:rPr>
              <w:t xml:space="preserve">Размер, пикселей</w:t>
            </w:r>
          </w:p>
        </w:tc>
        <w:tc>
          <w:tcPr>
            <w:tcW w:w="3116" w:type="dxa"/>
          </w:tcPr>
          <w:p>
            <w:pPr>
              <w:pStyle w:val="TableText"/>
            </w:pPr>
            <w:r>
              <w:rPr>
                <w:sz w:val="18"/>
              </w:rPr>
              <w:t xml:space="preserve">96×96</w:t>
            </w:r>
          </w:p>
        </w:tc>
        <w:tc>
          <w:tcPr>
            <w:tcW w:w="3116" w:type="dxa"/>
          </w:tcPr>
          <w:p>
            <w:pPr>
              <w:pStyle w:val="TableText"/>
            </w:pPr>
            <w:r>
              <w:rPr>
                <w:sz w:val="18"/>
              </w:rPr>
              <w:t xml:space="preserve">96×96</w:t>
            </w:r>
          </w:p>
        </w:tc>
      </w:tr>
      <w:tr>
        <w:trPr>
          <w:cantSplit/>
        </w:trPr>
        <w:tc>
          <w:tcPr>
            <w:tcW w:w="3116" w:type="dxa"/>
          </w:tcPr>
          <w:p>
            <w:pPr>
              <w:pStyle w:val="TableText"/>
            </w:pPr>
            <w:r>
              <w:rPr>
                <w:sz w:val="18"/>
              </w:rPr>
              <w:t xml:space="preserve">cell, пикселей</w:t>
            </w:r>
          </w:p>
        </w:tc>
        <w:tc>
          <w:tcPr>
            <w:tcW w:w="3116" w:type="dxa"/>
          </w:tcPr>
          <w:p>
            <w:pPr>
              <w:pStyle w:val="TableText"/>
            </w:pPr>
            <w:r>
              <w:rPr>
                <w:sz w:val="18"/>
              </w:rPr>
              <w:t xml:space="preserve">2</w:t>
            </w:r>
          </w:p>
        </w:tc>
        <w:tc>
          <w:tcPr>
            <w:tcW w:w="3116" w:type="dxa"/>
          </w:tcPr>
          <w:p>
            <w:pPr>
              <w:pStyle w:val="TableText"/>
            </w:pPr>
            <w:r>
              <w:rPr>
                <w:sz w:val="18"/>
              </w:rPr>
              <w:t xml:space="preserve">4</w:t>
            </w:r>
          </w:p>
        </w:tc>
      </w:tr>
      <w:tr>
        <w:trPr>
          <w:cantSplit/>
        </w:trPr>
        <w:tc>
          <w:tcPr>
            <w:tcW w:w="3116" w:type="dxa"/>
          </w:tcPr>
          <w:p>
            <w:pPr>
              <w:pStyle w:val="TableText"/>
            </w:pPr>
            <w:r>
              <w:rPr>
                <w:sz w:val="18"/>
              </w:rPr>
              <w:t xml:space="preserve">Число октав</w:t>
            </w:r>
          </w:p>
        </w:tc>
        <w:tc>
          <w:tcPr>
            <w:tcW w:w="3116" w:type="dxa"/>
          </w:tcPr>
          <w:p>
            <w:pPr>
              <w:pStyle w:val="TableText"/>
            </w:pPr>
            <w:r>
              <w:rPr>
                <w:sz w:val="18"/>
              </w:rPr>
              <w:t xml:space="preserve">2</w:t>
            </w:r>
          </w:p>
        </w:tc>
        <w:tc>
          <w:tcPr>
            <w:tcW w:w="3116" w:type="dxa"/>
          </w:tcPr>
          <w:p>
            <w:pPr>
              <w:pStyle w:val="TableText"/>
            </w:pPr>
            <w:r>
              <w:rPr>
                <w:sz w:val="18"/>
              </w:rPr>
              <w:t xml:space="preserve">2</w:t>
            </w:r>
          </w:p>
        </w:tc>
      </w:tr>
      <w:tr>
        <w:trPr>
          <w:cantSplit/>
        </w:trPr>
        <w:tc>
          <w:tcPr>
            <w:tcW w:w="3116" w:type="dxa"/>
          </w:tcPr>
          <w:p>
            <w:pPr>
              <w:pStyle w:val="TableText"/>
            </w:pPr>
            <w:r>
              <w:rPr>
                <w:sz w:val="18"/>
              </w:rPr>
              <w:t xml:space="preserve">persistence</w:t>
            </w:r>
          </w:p>
        </w:tc>
        <w:tc>
          <w:tcPr>
            <w:tcW w:w="3116" w:type="dxa"/>
          </w:tcPr>
          <w:p>
            <w:pPr>
              <w:pStyle w:val="TableText"/>
            </w:pPr>
            <w:r>
              <w:rPr>
                <w:sz w:val="18"/>
              </w:rPr>
              <w:t xml:space="preserve">0,70</w:t>
            </w:r>
          </w:p>
        </w:tc>
        <w:tc>
          <w:tcPr>
            <w:tcW w:w="3116" w:type="dxa"/>
          </w:tcPr>
          <w:p>
            <w:pPr>
              <w:pStyle w:val="TableText"/>
            </w:pPr>
            <w:r>
              <w:rPr>
                <w:sz w:val="18"/>
              </w:rPr>
              <w:t xml:space="preserve">0,70</w:t>
            </w:r>
          </w:p>
        </w:tc>
      </w:tr>
      <w:tr>
        <w:trPr>
          <w:cantSplit/>
        </w:trPr>
        <w:tc>
          <w:tcPr>
            <w:tcW w:w="3116" w:type="dxa"/>
          </w:tcPr>
          <w:p>
            <w:pPr>
              <w:pStyle w:val="TableText"/>
            </w:pPr>
            <w:r>
              <w:rPr>
                <w:sz w:val="18"/>
              </w:rPr>
              <w:t xml:space="preserve">Квантование</w:t>
            </w:r>
          </w:p>
        </w:tc>
        <w:tc>
          <w:tcPr>
            <w:tcW w:w="3116" w:type="dxa"/>
          </w:tcPr>
          <w:p>
            <w:pPr>
              <w:pStyle w:val="TableText"/>
            </w:pPr>
            <w:r>
              <w:rPr>
                <w:sz w:val="18"/>
              </w:rPr>
              <w:t xml:space="preserve">8 бит</w:t>
            </w:r>
          </w:p>
        </w:tc>
        <w:tc>
          <w:tcPr>
            <w:tcW w:w="3116" w:type="dxa"/>
          </w:tcPr>
          <w:p>
            <w:pPr>
              <w:pStyle w:val="TableText"/>
            </w:pPr>
            <w:r>
              <w:rPr>
                <w:sz w:val="18"/>
              </w:rPr>
              <w:t xml:space="preserve">8 бит</w:t>
            </w:r>
          </w:p>
        </w:tc>
      </w:tr>
      <w:tr>
        <w:trPr>
          <w:cantSplit/>
        </w:trPr>
        <w:tc>
          <w:tcPr>
            <w:tcW w:w="3116" w:type="dxa"/>
          </w:tcPr>
          <w:p>
            <w:pPr>
              <w:pStyle w:val="TableText"/>
            </w:pPr>
            <w:r>
              <w:rPr>
                <w:sz w:val="18"/>
              </w:rPr>
              <w:t xml:space="preserve">Интерполяция</w:t>
            </w:r>
          </w:p>
        </w:tc>
        <w:tc>
          <w:tcPr>
            <w:tcW w:w="3116" w:type="dxa"/>
          </w:tcPr>
          <w:p>
            <w:pPr>
              <w:pStyle w:val="TableText"/>
            </w:pPr>
            <w:r>
              <w:rPr>
                <w:sz w:val="18"/>
              </w:rPr>
              <w:t xml:space="preserve">smooth</w:t>
            </w:r>
          </w:p>
        </w:tc>
        <w:tc>
          <w:tcPr>
            <w:tcW w:w="3116" w:type="dxa"/>
          </w:tcPr>
          <w:p>
            <w:pPr>
              <w:pStyle w:val="TableText"/>
            </w:pPr>
            <w:r>
              <w:rPr>
                <w:sz w:val="18"/>
              </w:rPr>
              <w:t xml:space="preserve">smooth</w:t>
            </w:r>
          </w:p>
        </w:tc>
      </w:tr>
      <w:tr>
        <w:trPr>
          <w:cantSplit/>
        </w:trPr>
        <w:tc>
          <w:tcPr>
            <w:tcW w:w="3116" w:type="dxa"/>
          </w:tcPr>
          <w:p>
            <w:pPr>
              <w:pStyle w:val="TableText"/>
            </w:pPr>
            <w:r>
              <w:rPr>
                <w:sz w:val="18"/>
              </w:rPr>
              <w:t xml:space="preserve">Seed / n</w:t>
            </w:r>
          </w:p>
        </w:tc>
        <w:tc>
          <w:tcPr>
            <w:tcW w:w="3116" w:type="dxa"/>
          </w:tcPr>
          <w:p>
            <w:pPr>
              <w:pStyle w:val="TableText"/>
            </w:pPr>
            <w:r>
              <w:rPr>
                <w:sz w:val="18"/>
              </w:rPr>
              <w:t xml:space="preserve">101–105 / 5</w:t>
            </w:r>
          </w:p>
        </w:tc>
        <w:tc>
          <w:tcPr>
            <w:tcW w:w="3116" w:type="dxa"/>
          </w:tcPr>
          <w:p>
            <w:pPr>
              <w:pStyle w:val="TableText"/>
            </w:pPr>
            <w:r>
              <w:rPr>
                <w:sz w:val="18"/>
              </w:rPr>
              <w:t xml:space="preserve">101–105 / 5</w:t>
            </w:r>
          </w:p>
        </w:tc>
      </w:tr>
    </w:tbl>
    <w:p>
      <w:pPr>
        <w:pStyle w:val="Heading2"/>
      </w:pPr>
      <w:r>
        <w:t xml:space="preserve">1.2. Критерии и исходная гипотеза</w:t>
      </w:r>
    </w:p>
    <w:p>
      <w:pPr>
        <w:pStyle w:val="Normal"/>
      </w:pPr>
      <w:r>
        <w:t xml:space="preserve">Воспроизводимость: EQ_1_2=true, EQ_1_4=true, EQ_1_3=false, EQ_2_4=true. Для четырёх метрик используется заранее заданное учебное правило |Δ|&gt;2·s_base, где Δ=m̄_factor−m̄_base, s — выборочное стандартное отклонение (делитель n−1). Это не формальный статистический тест и не утверждение об уровне статистической значимости.</w:t>
      </w:r>
    </w:p>
    <w:p>
      <w:pPr>
        <w:pStyle w:val="Normal"/>
      </w:pPr>
      <w:r>
        <w:t xml:space="preserve">Гипотеза: укрупнение зерна снижает граничную энергию, ожидается превышение порога. Контраст и энтропия предположительно снижаются; превышение порога по ним заранее не утверждалось. Средняя яркость остаётся примерно прежней, ниже порога. Возможен рост межзапускового разброса средней яркости; для остальных метрик направление изменения разброса заранее не задаётся.</w:t>
      </w:r>
    </w:p>
    <w:p>
      <w:pPr>
        <w:pStyle w:val="Normal"/>
      </w:pPr>
      <w:r>
        <w:t xml:space="preserve">Протокол записан 2026-10-20T19:58:05.322349+03:00; локальный коммит e73126a выполнен до новых расчётов. До очистки старые материалы были доступны: это новое выполнение с предварительной фиксацией протокола для новых запусков, а не слепая первоначальная регистрация. Порог и гипотеза после расчётов не изменялись.</w:t>
      </w:r>
    </w:p>
    <w:p>
      <w:pPr>
        <w:pStyle w:val="Heading1"/>
      </w:pPr>
      <w:r>
        <w:t xml:space="preserve">2. Данные, происхождение, лицензии и ограничения</w:t>
      </w:r>
    </w:p>
    <w:p>
      <w:pPr>
        <w:pStyle w:val="Normal"/>
      </w:pPr>
      <w:r>
        <w:t xml:space="preserve">Внешний набор данных отсутствует. Изображения синтетические, порождаются локальным random.Random(seed). Скрипты lab01_generator.py и lab01_experiment.py предоставлены в материалах курса и сохранены без изменения. Происхождение кода зафиксировано; отдельная лицензия на его распространение в предоставленных материалах не указана. Отсутствие внешнего датасета не означает произвольного разрешения на распространение кода.</w:t>
      </w:r>
    </w:p>
    <w:p>
      <w:pPr>
        <w:pStyle w:val="Normal"/>
      </w:pPr>
      <w:r>
        <w:t xml:space="preserve">Персональные и конфиденциальные входные материалы не используются. Сторонние пакеты не установлены: requirements.txt намеренно пуст. Источники для работы — методичка lab01, скрипты курса; приложенный PDF другого студента использован только как образец формы.</w:t>
      </w:r>
    </w:p>
    <w:p>
      <w:pPr>
        <w:pStyle w:val="Code"/>
      </w:pPr>
      <w:r>
        <w:t xml:space="preserve">lab01_generator.py SHA-256:</w:t>
      </w:r>
      <w:r>
        <w:br/>
      </w:r>
      <w:r>
        <w:t xml:space="preserve">8f07d340a5a765a8e44f1fec407489cf00114ba54216aa7539c4e7116680e152</w:t>
      </w:r>
    </w:p>
    <w:p>
      <w:pPr>
        <w:pStyle w:val="Code"/>
      </w:pPr>
      <w:r>
        <w:t xml:space="preserve">lab01_experiment.py SHA-256:</w:t>
      </w:r>
      <w:r>
        <w:br/>
      </w:r>
      <w:r>
        <w:t xml:space="preserve">69257206dab50ef35de448b45764daad0d4f60dbc98febd8953c6faee28e06b5</w:t>
      </w:r>
    </w:p>
    <w:p>
      <w:pPr>
        <w:pStyle w:val="Heading1"/>
      </w:pPr>
      <w:r>
        <w:t xml:space="preserve">3. Среда, версии и параметры</w:t>
      </w:r>
    </w:p>
    <w:tbl>
      <w:tblPr>
        <w:tblW w:w="9350" w:type="dxa"/>
        <w:tblLayout w:type="fixed"/>
        <w:tblBorders>
          <w:top w:val="single" w:sz="4" w:color="777777"/>
          <w:left w:val="single" w:sz="4" w:color="777777"/>
          <w:bottom w:val="single" w:sz="4" w:color="777777"/>
          <w:right w:val="single" w:sz="4" w:color="777777"/>
          <w:insideH w:val="single" w:sz="4" w:color="777777"/>
          <w:insideV w:val="single" w:sz="4" w:color="777777"/>
        </w:tblBorders>
        <w:tblCellMar>
          <w:top w:w="60" w:type="dxa"/>
          <w:left w:w="70" w:type="dxa"/>
          <w:bottom w:w="60" w:type="dxa"/>
          <w:right w:w="70" w:type="dxa"/>
        </w:tblCellMar>
      </w:tblPr>
      <w:tblGrid>
        <w:gridCol w:w="4675"/>
        <w:gridCol w:w="4675"/>
      </w:tblGrid>
      <w:tr>
        <w:trPr>
          <w:cantSplit/>
          <w:tblHeader/>
        </w:trPr>
        <w:tc>
          <w:tcPr>
            <w:tcW w:w="4675" w:type="dxa"/>
            <w:shd w:fill="EEEEEE"/>
          </w:tcPr>
          <w:p>
            <w:pPr>
              <w:pStyle w:val="TableText"/>
            </w:pPr>
            <w:r>
              <w:rPr>
                <w:sz w:val="18"/>
              </w:rPr>
              <w:t xml:space="preserve">Параметр</w:t>
            </w:r>
          </w:p>
        </w:tc>
        <w:tc>
          <w:tcPr>
            <w:tcW w:w="4675" w:type="dxa"/>
            <w:shd w:fill="EEEEEE"/>
          </w:tcPr>
          <w:p>
            <w:pPr>
              <w:pStyle w:val="TableText"/>
            </w:pPr>
            <w:r>
              <w:rPr>
                <w:sz w:val="18"/>
              </w:rPr>
              <w:t xml:space="preserve">Фактическое значение</w:t>
            </w:r>
          </w:p>
        </w:tc>
      </w:tr>
      <w:tr>
        <w:trPr>
          <w:cantSplit/>
        </w:trPr>
        <w:tc>
          <w:tcPr>
            <w:tcW w:w="4675" w:type="dxa"/>
          </w:tcPr>
          <w:p>
            <w:pPr>
              <w:pStyle w:val="TableText"/>
            </w:pPr>
            <w:r>
              <w:rPr>
                <w:sz w:val="18"/>
              </w:rPr>
              <w:t xml:space="preserve">ОС</w:t>
            </w:r>
          </w:p>
        </w:tc>
        <w:tc>
          <w:tcPr>
            <w:tcW w:w="4675" w:type="dxa"/>
          </w:tcPr>
          <w:p>
            <w:pPr>
              <w:pStyle w:val="TableText"/>
            </w:pPr>
            <w:r>
              <w:rPr>
                <w:sz w:val="18"/>
              </w:rPr>
              <w:t xml:space="preserve">Windows-10-10.0.19045-SP0</w:t>
            </w:r>
          </w:p>
        </w:tc>
      </w:tr>
      <w:tr>
        <w:trPr>
          <w:cantSplit/>
        </w:trPr>
        <w:tc>
          <w:tcPr>
            <w:tcW w:w="4675" w:type="dxa"/>
          </w:tcPr>
          <w:p>
            <w:pPr>
              <w:pStyle w:val="TableText"/>
            </w:pPr>
            <w:r>
              <w:rPr>
                <w:sz w:val="18"/>
              </w:rPr>
              <w:t xml:space="preserve">Архитектура</w:t>
            </w:r>
          </w:p>
        </w:tc>
        <w:tc>
          <w:tcPr>
            <w:tcW w:w="4675" w:type="dxa"/>
          </w:tcPr>
          <w:p>
            <w:pPr>
              <w:pStyle w:val="TableText"/>
            </w:pPr>
            <w:r>
              <w:rPr>
                <w:sz w:val="18"/>
              </w:rPr>
              <w:t xml:space="preserve">AMD64</w:t>
            </w:r>
          </w:p>
        </w:tc>
      </w:tr>
      <w:tr>
        <w:trPr>
          <w:cantSplit/>
        </w:trPr>
        <w:tc>
          <w:tcPr>
            <w:tcW w:w="4675" w:type="dxa"/>
          </w:tcPr>
          <w:p>
            <w:pPr>
              <w:pStyle w:val="TableText"/>
            </w:pPr>
            <w:r>
              <w:rPr>
                <w:sz w:val="18"/>
              </w:rPr>
              <w:t xml:space="preserve">Интерпретатор</w:t>
            </w:r>
          </w:p>
        </w:tc>
        <w:tc>
          <w:tcPr>
            <w:tcW w:w="4675" w:type="dxa"/>
          </w:tcPr>
          <w:p>
            <w:pPr>
              <w:pStyle w:val="TableText"/>
            </w:pPr>
            <w:r>
              <w:rPr>
                <w:sz w:val="18"/>
              </w:rPr>
              <w:t xml:space="preserve">CPython 3.10.6</w:t>
            </w:r>
          </w:p>
        </w:tc>
      </w:tr>
      <w:tr>
        <w:trPr>
          <w:cantSplit/>
        </w:trPr>
        <w:tc>
          <w:tcPr>
            <w:tcW w:w="4675" w:type="dxa"/>
          </w:tcPr>
          <w:p>
            <w:pPr>
              <w:pStyle w:val="TableText"/>
            </w:pPr>
            <w:r>
              <w:rPr>
                <w:sz w:val="18"/>
              </w:rPr>
              <w:t xml:space="preserve">zlib: сборка / выполнение</w:t>
            </w:r>
          </w:p>
        </w:tc>
        <w:tc>
          <w:tcPr>
            <w:tcW w:w="4675" w:type="dxa"/>
          </w:tcPr>
          <w:p>
            <w:pPr>
              <w:pStyle w:val="TableText"/>
            </w:pPr>
            <w:r>
              <w:rPr>
                <w:sz w:val="18"/>
              </w:rPr>
              <w:t xml:space="preserve">1.2.12 / 1.2.12</w:t>
            </w:r>
          </w:p>
        </w:tc>
      </w:tr>
      <w:tr>
        <w:trPr>
          <w:cantSplit/>
        </w:trPr>
        <w:tc>
          <w:tcPr>
            <w:tcW w:w="4675" w:type="dxa"/>
          </w:tcPr>
          <w:p>
            <w:pPr>
              <w:pStyle w:val="TableText"/>
            </w:pPr>
            <w:r>
              <w:rPr>
                <w:sz w:val="18"/>
              </w:rPr>
              <w:t xml:space="preserve">Генератор</w:t>
            </w:r>
          </w:p>
        </w:tc>
        <w:tc>
          <w:tcPr>
            <w:tcW w:w="4675" w:type="dxa"/>
          </w:tcPr>
          <w:p>
            <w:pPr>
              <w:pStyle w:val="TableText"/>
            </w:pPr>
            <w:r>
              <w:rPr>
                <w:sz w:val="18"/>
              </w:rPr>
              <w:t xml:space="preserve">1.0</w:t>
            </w:r>
          </w:p>
        </w:tc>
      </w:tr>
      <w:tr>
        <w:trPr>
          <w:cantSplit/>
        </w:trPr>
        <w:tc>
          <w:tcPr>
            <w:tcW w:w="4675" w:type="dxa"/>
          </w:tcPr>
          <w:p>
            <w:pPr>
              <w:pStyle w:val="TableText"/>
            </w:pPr>
            <w:r>
              <w:rPr>
                <w:sz w:val="18"/>
              </w:rPr>
              <w:t xml:space="preserve">Пакеты</w:t>
            </w:r>
          </w:p>
        </w:tc>
        <w:tc>
          <w:tcPr>
            <w:tcW w:w="4675" w:type="dxa"/>
          </w:tcPr>
          <w:p>
            <w:pPr>
              <w:pStyle w:val="TableText"/>
            </w:pPr>
            <w:r>
              <w:rPr>
                <w:sz w:val="18"/>
              </w:rPr>
              <w:t xml:space="preserve">Только стандартная библиотека</w:t>
            </w:r>
          </w:p>
        </w:tc>
      </w:tr>
      <w:tr>
        <w:trPr>
          <w:cantSplit/>
        </w:trPr>
        <w:tc>
          <w:tcPr>
            <w:tcW w:w="4675" w:type="dxa"/>
          </w:tcPr>
          <w:p>
            <w:pPr>
              <w:pStyle w:val="TableText"/>
            </w:pPr>
            <w:r>
              <w:rPr>
                <w:sz w:val="18"/>
              </w:rPr>
              <w:t xml:space="preserve">Основной запуск, Москва</w:t>
            </w:r>
          </w:p>
        </w:tc>
        <w:tc>
          <w:tcPr>
            <w:tcW w:w="4675" w:type="dxa"/>
          </w:tcPr>
          <w:p>
            <w:pPr>
              <w:pStyle w:val="TableText"/>
            </w:pPr>
            <w:r>
              <w:rPr>
                <w:sz w:val="18"/>
              </w:rPr>
              <w:t xml:space="preserve">2026-10-20T19:58:49+03:00</w:t>
            </w:r>
          </w:p>
        </w:tc>
      </w:tr>
      <w:tr>
        <w:trPr>
          <w:cantSplit/>
        </w:trPr>
        <w:tc>
          <w:tcPr>
            <w:tcW w:w="4675" w:type="dxa"/>
          </w:tcPr>
          <w:p>
            <w:pPr>
              <w:pStyle w:val="TableText"/>
            </w:pPr>
            <w:r>
              <w:rPr>
                <w:sz w:val="18"/>
              </w:rPr>
              <w:t xml:space="preserve">Среда</w:t>
            </w:r>
          </w:p>
        </w:tc>
        <w:tc>
          <w:tcPr>
            <w:tcW w:w="4675" w:type="dxa"/>
          </w:tcPr>
          <w:p>
            <w:pPr>
              <w:pStyle w:val="TableText"/>
            </w:pPr>
            <w:r>
              <w:rPr>
                <w:sz w:val="18"/>
              </w:rPr>
              <w:t xml:space="preserve">.venv в корне репозитория</w:t>
            </w:r>
          </w:p>
        </w:tc>
      </w:tr>
    </w:tbl>
    <w:p>
      <w:pPr>
        <w:pStyle w:val="Normal"/>
      </w:pPr>
      <w:r>
        <w:t xml:space="preserve">Структура: src/ — два исходных скрипта и средства воспроизведения; configs/ — протокол; artifacts/fresh_run/ — новые результаты; reports/ — журнал, полный паспорт, иллюстрации и отчёт. Среда .venv исключена из Git; каждый эксперимент имеет отдельную папку. Подробные сведения — reports/environment.json.</w:t>
      </w:r>
    </w:p>
    <w:p>
      <w:pPr>
        <w:pStyle w:val="Heading1"/>
      </w:pPr>
      <w:r>
        <w:t xml:space="preserve">4. Ход работы</w:t>
      </w:r>
    </w:p>
    <w:p>
      <w:pPr>
        <w:pStyle w:val="Heading2"/>
      </w:pPr>
      <w:r>
        <w:t xml:space="preserve">4.1. Подготовка и фиксация протокола</w:t>
      </w:r>
    </w:p>
    <w:p>
      <w:pPr>
        <w:pStyle w:val="Normal"/>
      </w:pPr>
      <w:r>
        <w:t xml:space="preserve">Удалены прежние результаты, журналы и промежуточные файлы внутри lab01; исходные материалы сохранены. Создана новая среда Python; выполнены pip freeze и проверка импорта. Протокол и контрольные суммы записаны в registration.json, затем создан коммит до новых запусков. Ниже команды приводятся относительно корня репозитория.</w:t>
      </w:r>
    </w:p>
    <w:p>
      <w:pPr>
        <w:pStyle w:val="Code"/>
      </w:pPr>
      <w:r>
        <w:t xml:space="preserve">python -m venv .venv</w:t>
      </w:r>
      <w:r>
        <w:br/>
      </w:r>
      <w:r>
        <w:t xml:space="preserve">.\.venv\Scripts\python.exe -m pip freeze</w:t>
      </w:r>
      <w:r>
        <w:br/>
      </w:r>
      <w:r>
        <w:t xml:space="preserve">.\.venv\Scripts\python.exe -c "import sys; sys.path.insert(0,'lab01/src'); import lab01_generator"</w:t>
      </w:r>
    </w:p>
    <w:p>
      <w:pPr>
        <w:pStyle w:val="Heading2"/>
      </w:pPr>
      <w:r>
        <w:t xml:space="preserve">4.2. Намеренная ошибка и её исправление</w:t>
      </w:r>
    </w:p>
    <w:p>
      <w:pPr>
        <w:pStyle w:val="Normal"/>
      </w:pPr>
      <w:r>
        <w:t xml:space="preserve">Генератор дважды запущен без --seed с параметрами базы варианта 27. Он сообщил об автоматическом выборе seed по системному времени; отпечатки оказались различны. Затем два запуска с --seed 101 дали одинаковые массивы. Для каждого запуска использована отдельная папка, поэтому повторные результаты не перезаписывались.</w:t>
      </w:r>
    </w:p>
    <w:tbl>
      <w:tblPr>
        <w:tblW w:w="9350" w:type="dxa"/>
        <w:tblLayout w:type="fixed"/>
        <w:tblBorders>
          <w:top w:val="single" w:sz="4" w:color="777777"/>
          <w:left w:val="single" w:sz="4" w:color="777777"/>
          <w:bottom w:val="single" w:sz="4" w:color="777777"/>
          <w:right w:val="single" w:sz="4" w:color="777777"/>
          <w:insideH w:val="single" w:sz="4" w:color="777777"/>
          <w:insideV w:val="single" w:sz="4" w:color="777777"/>
        </w:tblBorders>
        <w:tblCellMar>
          <w:top w:w="60" w:type="dxa"/>
          <w:left w:w="70" w:type="dxa"/>
          <w:bottom w:w="60" w:type="dxa"/>
          <w:right w:w="70" w:type="dxa"/>
        </w:tblCellMar>
      </w:tblPr>
      <w:tblGrid>
        <w:gridCol w:w="3116"/>
        <w:gridCol w:w="3116"/>
        <w:gridCol w:w="3116"/>
      </w:tblGrid>
      <w:tr>
        <w:trPr>
          <w:cantSplit/>
          <w:tblHeader/>
        </w:trPr>
        <w:tc>
          <w:tcPr>
            <w:tcW w:w="3116" w:type="dxa"/>
            <w:shd w:fill="EEEEEE"/>
          </w:tcPr>
          <w:p>
            <w:pPr>
              <w:pStyle w:val="TableText"/>
            </w:pPr>
            <w:r>
              <w:rPr>
                <w:sz w:val="18"/>
              </w:rPr>
              <w:t xml:space="preserve">Запуск</w:t>
            </w:r>
          </w:p>
        </w:tc>
        <w:tc>
          <w:tcPr>
            <w:tcW w:w="3116" w:type="dxa"/>
            <w:shd w:fill="EEEEEE"/>
          </w:tcPr>
          <w:p>
            <w:pPr>
              <w:pStyle w:val="TableText"/>
            </w:pPr>
            <w:r>
              <w:rPr>
                <w:sz w:val="18"/>
              </w:rPr>
              <w:t xml:space="preserve">Фактический seed</w:t>
            </w:r>
          </w:p>
        </w:tc>
        <w:tc>
          <w:tcPr>
            <w:tcW w:w="3116" w:type="dxa"/>
            <w:shd w:fill="EEEEEE"/>
          </w:tcPr>
          <w:p>
            <w:pPr>
              <w:pStyle w:val="TableText"/>
            </w:pPr>
            <w:r>
              <w:rPr>
                <w:sz w:val="18"/>
              </w:rPr>
              <w:t xml:space="preserve">SHA-256 пикселей, начало</w:t>
            </w:r>
          </w:p>
        </w:tc>
      </w:tr>
      <w:tr>
        <w:trPr>
          <w:cantSplit/>
        </w:trPr>
        <w:tc>
          <w:tcPr>
            <w:tcW w:w="3116" w:type="dxa"/>
          </w:tcPr>
          <w:p>
            <w:pPr>
              <w:pStyle w:val="TableText"/>
            </w:pPr>
            <w:r>
              <w:rPr>
                <w:sz w:val="18"/>
              </w:rPr>
              <w:t xml:space="preserve">noseed_1</w:t>
            </w:r>
          </w:p>
        </w:tc>
        <w:tc>
          <w:tcPr>
            <w:tcW w:w="3116" w:type="dxa"/>
          </w:tcPr>
          <w:p>
            <w:pPr>
              <w:pStyle w:val="TableText"/>
            </w:pPr>
            <w:r>
              <w:rPr>
                <w:sz w:val="18"/>
              </w:rPr>
              <w:t xml:space="preserve">1492550676</w:t>
            </w:r>
          </w:p>
        </w:tc>
        <w:tc>
          <w:tcPr>
            <w:tcW w:w="3116" w:type="dxa"/>
          </w:tcPr>
          <w:p>
            <w:pPr>
              <w:pStyle w:val="TableText"/>
            </w:pPr>
            <w:r>
              <w:rPr>
                <w:sz w:val="18"/>
              </w:rPr>
              <w:t xml:space="preserve">b185a87351bc30e8</w:t>
            </w:r>
          </w:p>
        </w:tc>
      </w:tr>
      <w:tr>
        <w:trPr>
          <w:cantSplit/>
        </w:trPr>
        <w:tc>
          <w:tcPr>
            <w:tcW w:w="3116" w:type="dxa"/>
          </w:tcPr>
          <w:p>
            <w:pPr>
              <w:pStyle w:val="TableText"/>
            </w:pPr>
            <w:r>
              <w:rPr>
                <w:sz w:val="18"/>
              </w:rPr>
              <w:t xml:space="preserve">noseed_2</w:t>
            </w:r>
          </w:p>
        </w:tc>
        <w:tc>
          <w:tcPr>
            <w:tcW w:w="3116" w:type="dxa"/>
          </w:tcPr>
          <w:p>
            <w:pPr>
              <w:pStyle w:val="TableText"/>
            </w:pPr>
            <w:r>
              <w:rPr>
                <w:sz w:val="18"/>
              </w:rPr>
              <w:t xml:space="preserve">1606524776</w:t>
            </w:r>
          </w:p>
        </w:tc>
        <w:tc>
          <w:tcPr>
            <w:tcW w:w="3116" w:type="dxa"/>
          </w:tcPr>
          <w:p>
            <w:pPr>
              <w:pStyle w:val="TableText"/>
            </w:pPr>
            <w:r>
              <w:rPr>
                <w:sz w:val="18"/>
              </w:rPr>
              <w:t xml:space="preserve">be5cffc183e4376c</w:t>
            </w:r>
          </w:p>
        </w:tc>
      </w:tr>
      <w:tr>
        <w:trPr>
          <w:cantSplit/>
        </w:trPr>
        <w:tc>
          <w:tcPr>
            <w:tcW w:w="3116" w:type="dxa"/>
          </w:tcPr>
          <w:p>
            <w:pPr>
              <w:pStyle w:val="TableText"/>
            </w:pPr>
            <w:r>
              <w:rPr>
                <w:sz w:val="18"/>
              </w:rPr>
              <w:t xml:space="preserve">seed_1</w:t>
            </w:r>
          </w:p>
        </w:tc>
        <w:tc>
          <w:tcPr>
            <w:tcW w:w="3116" w:type="dxa"/>
          </w:tcPr>
          <w:p>
            <w:pPr>
              <w:pStyle w:val="TableText"/>
            </w:pPr>
            <w:r>
              <w:rPr>
                <w:sz w:val="18"/>
              </w:rPr>
              <w:t xml:space="preserve">101</w:t>
            </w:r>
          </w:p>
        </w:tc>
        <w:tc>
          <w:tcPr>
            <w:tcW w:w="3116" w:type="dxa"/>
          </w:tcPr>
          <w:p>
            <w:pPr>
              <w:pStyle w:val="TableText"/>
            </w:pPr>
            <w:r>
              <w:rPr>
                <w:sz w:val="18"/>
              </w:rPr>
              <w:t xml:space="preserve">fbbd63d2201d1cb6</w:t>
            </w:r>
          </w:p>
        </w:tc>
      </w:tr>
      <w:tr>
        <w:trPr>
          <w:cantSplit/>
        </w:trPr>
        <w:tc>
          <w:tcPr>
            <w:tcW w:w="3116" w:type="dxa"/>
          </w:tcPr>
          <w:p>
            <w:pPr>
              <w:pStyle w:val="TableText"/>
            </w:pPr>
            <w:r>
              <w:rPr>
                <w:sz w:val="18"/>
              </w:rPr>
              <w:t xml:space="preserve">seed_2</w:t>
            </w:r>
          </w:p>
        </w:tc>
        <w:tc>
          <w:tcPr>
            <w:tcW w:w="3116" w:type="dxa"/>
          </w:tcPr>
          <w:p>
            <w:pPr>
              <w:pStyle w:val="TableText"/>
            </w:pPr>
            <w:r>
              <w:rPr>
                <w:sz w:val="18"/>
              </w:rPr>
              <w:t xml:space="preserve">101</w:t>
            </w:r>
          </w:p>
        </w:tc>
        <w:tc>
          <w:tcPr>
            <w:tcW w:w="3116" w:type="dxa"/>
          </w:tcPr>
          <w:p>
            <w:pPr>
              <w:pStyle w:val="TableText"/>
            </w:pPr>
            <w:r>
              <w:rPr>
                <w:sz w:val="18"/>
              </w:rPr>
              <w:t xml:space="preserve">fbbd63d2201d1cb6</w:t>
            </w:r>
          </w:p>
        </w:tc>
      </w:tr>
    </w:tbl>
    <w:p>
      <w:pPr>
        <w:pStyle w:val="Normal"/>
      </w:pPr>
      <w:r>
        <w:t xml:space="preserve">Симптом — различие полных данных при одной команде. Причина — seed берётся из времени, если аргумент пропущен. Исправление — явный --seed и локальный генератор. Точные команды, предупреждения и результаты сохранены в artifacts/fresh_run/*.log и error_demo/.</w:t>
      </w:r>
    </w:p>
    <w:p>
      <w:pPr>
        <w:pStyle w:val="Heading2"/>
      </w:pPr>
      <w:r>
        <w:t xml:space="preserve">4.3. Основной и дополнительные запуски</w:t>
      </w:r>
    </w:p>
    <w:p>
      <w:pPr>
        <w:pStyle w:val="Code"/>
      </w:pPr>
      <w:r>
        <w:t xml:space="preserve">.\.venv\Scripts\python.exe lab01\src\lab01_experiment.py --variant 27 --seed 101 --n 5 --out lab01\artifacts\fresh_run\v27_n5</w:t>
      </w:r>
    </w:p>
    <w:p>
      <w:pPr>
        <w:pStyle w:val="Normal"/>
      </w:pPr>
      <w:r>
        <w:t xml:space="preserve">Весь набор опытов воспроизводится командой ниже, при этом выходной каталог должен быть новым. Она также выполняет n=20, n=50, демонстрационный вариант и независимый пересчёт сводки по сохранённым данным каждого seed.</w:t>
      </w:r>
    </w:p>
    <w:p>
      <w:pPr>
        <w:pStyle w:val="Code"/>
      </w:pPr>
      <w:r>
        <w:t xml:space="preserve">.\.venv\Scripts\python.exe lab01\src\run_lab01.py --out lab01\artifacts\repeat01</w:t>
      </w:r>
    </w:p>
    <w:p>
      <w:pPr>
        <w:pStyle w:val="Normal"/>
      </w:pPr>
      <w:r>
        <w:t xml:space="preserve">Точные аргументы, рабочий каталог и время каждой дочерней команды записаны в artifacts/fresh_run/commands.json. Скрипты преподавателя не изменялись; дополнительный анализ вынесен в run_lab01.py.</w:t>
      </w:r>
    </w:p>
    <w:p>
      <w:pPr>
        <w:pStyle w:val="Heading1"/>
      </w:pPr>
      <w:r>
        <w:t xml:space="preserve">5. Результаты</w:t>
      </w:r>
    </w:p>
    <w:p>
      <w:pPr>
        <w:pStyle w:val="Heading2"/>
      </w:pPr>
      <w:r>
        <w:t xml:space="preserve">5.1. Протокол воспроизводимости</w:t>
      </w:r>
    </w:p>
    <w:tbl>
      <w:tblPr>
        <w:tblW w:w="9350" w:type="dxa"/>
        <w:tblLayout w:type="fixed"/>
        <w:tblBorders>
          <w:top w:val="single" w:sz="4" w:color="777777"/>
          <w:left w:val="single" w:sz="4" w:color="777777"/>
          <w:bottom w:val="single" w:sz="4" w:color="777777"/>
          <w:right w:val="single" w:sz="4" w:color="777777"/>
          <w:insideH w:val="single" w:sz="4" w:color="777777"/>
          <w:insideV w:val="single" w:sz="4" w:color="777777"/>
        </w:tblBorders>
        <w:tblCellMar>
          <w:top w:w="60" w:type="dxa"/>
          <w:left w:w="70" w:type="dxa"/>
          <w:bottom w:w="60" w:type="dxa"/>
          <w:right w:w="70" w:type="dxa"/>
        </w:tblCellMar>
      </w:tblPr>
      <w:tblGrid>
        <w:gridCol w:w="2337"/>
        <w:gridCol w:w="2337"/>
        <w:gridCol w:w="2337"/>
        <w:gridCol w:w="2337"/>
      </w:tblGrid>
      <w:tr>
        <w:trPr>
          <w:cantSplit/>
          <w:tblHeader/>
        </w:trPr>
        <w:tc>
          <w:tcPr>
            <w:tcW w:w="2337" w:type="dxa"/>
            <w:shd w:fill="EEEEEE"/>
          </w:tcPr>
          <w:p>
            <w:pPr>
              <w:pStyle w:val="TableText"/>
            </w:pPr>
            <w:r>
              <w:rPr>
                <w:sz w:val="18"/>
              </w:rPr>
              <w:t xml:space="preserve">Запуск</w:t>
            </w:r>
          </w:p>
        </w:tc>
        <w:tc>
          <w:tcPr>
            <w:tcW w:w="2337" w:type="dxa"/>
            <w:shd w:fill="EEEEEE"/>
          </w:tcPr>
          <w:p>
            <w:pPr>
              <w:pStyle w:val="TableText"/>
            </w:pPr>
            <w:r>
              <w:rPr>
                <w:sz w:val="18"/>
              </w:rPr>
              <w:t xml:space="preserve">Seed</w:t>
            </w:r>
          </w:p>
        </w:tc>
        <w:tc>
          <w:tcPr>
            <w:tcW w:w="2337" w:type="dxa"/>
            <w:shd w:fill="EEEEEE"/>
          </w:tcPr>
          <w:p>
            <w:pPr>
              <w:pStyle w:val="TableText"/>
            </w:pPr>
            <w:r>
              <w:rPr>
                <w:sz w:val="18"/>
              </w:rPr>
              <w:t xml:space="preserve">SHA-256 пикселей, начало</w:t>
            </w:r>
          </w:p>
        </w:tc>
        <w:tc>
          <w:tcPr>
            <w:tcW w:w="2337" w:type="dxa"/>
            <w:shd w:fill="EEEEEE"/>
          </w:tcPr>
          <w:p>
            <w:pPr>
              <w:pStyle w:val="TableText"/>
            </w:pPr>
            <w:r>
              <w:rPr>
                <w:sz w:val="18"/>
              </w:rPr>
              <w:t xml:space="preserve">SHA-256 PNG, начало</w:t>
            </w:r>
          </w:p>
        </w:tc>
      </w:tr>
      <w:tr>
        <w:trPr>
          <w:cantSplit/>
        </w:trPr>
        <w:tc>
          <w:tcPr>
            <w:tcW w:w="2337" w:type="dxa"/>
          </w:tcPr>
          <w:p>
            <w:pPr>
              <w:pStyle w:val="TableText"/>
            </w:pPr>
            <w:r>
              <w:rPr>
                <w:sz w:val="18"/>
              </w:rPr>
              <w:t xml:space="preserve">1</w:t>
            </w:r>
          </w:p>
        </w:tc>
        <w:tc>
          <w:tcPr>
            <w:tcW w:w="2337" w:type="dxa"/>
          </w:tcPr>
          <w:p>
            <w:pPr>
              <w:pStyle w:val="TableText"/>
            </w:pPr>
            <w:r>
              <w:rPr>
                <w:sz w:val="18"/>
              </w:rPr>
              <w:t xml:space="preserve">101</w:t>
            </w:r>
          </w:p>
        </w:tc>
        <w:tc>
          <w:tcPr>
            <w:tcW w:w="2337" w:type="dxa"/>
          </w:tcPr>
          <w:p>
            <w:pPr>
              <w:pStyle w:val="TableText"/>
            </w:pPr>
            <w:r>
              <w:rPr>
                <w:sz w:val="18"/>
              </w:rPr>
              <w:t xml:space="preserve">fbbd63d2201d1cb6</w:t>
            </w:r>
          </w:p>
        </w:tc>
        <w:tc>
          <w:tcPr>
            <w:tcW w:w="2337" w:type="dxa"/>
          </w:tcPr>
          <w:p>
            <w:pPr>
              <w:pStyle w:val="TableText"/>
            </w:pPr>
            <w:r>
              <w:rPr>
                <w:sz w:val="18"/>
              </w:rPr>
              <w:t xml:space="preserve">f44c8c078ed2c70b</w:t>
            </w:r>
          </w:p>
        </w:tc>
      </w:tr>
      <w:tr>
        <w:trPr>
          <w:cantSplit/>
        </w:trPr>
        <w:tc>
          <w:tcPr>
            <w:tcW w:w="2337" w:type="dxa"/>
          </w:tcPr>
          <w:p>
            <w:pPr>
              <w:pStyle w:val="TableText"/>
            </w:pPr>
            <w:r>
              <w:rPr>
                <w:sz w:val="18"/>
              </w:rPr>
              <w:t xml:space="preserve">2</w:t>
            </w:r>
          </w:p>
        </w:tc>
        <w:tc>
          <w:tcPr>
            <w:tcW w:w="2337" w:type="dxa"/>
          </w:tcPr>
          <w:p>
            <w:pPr>
              <w:pStyle w:val="TableText"/>
            </w:pPr>
            <w:r>
              <w:rPr>
                <w:sz w:val="18"/>
              </w:rPr>
              <w:t xml:space="preserve">101</w:t>
            </w:r>
          </w:p>
        </w:tc>
        <w:tc>
          <w:tcPr>
            <w:tcW w:w="2337" w:type="dxa"/>
          </w:tcPr>
          <w:p>
            <w:pPr>
              <w:pStyle w:val="TableText"/>
            </w:pPr>
            <w:r>
              <w:rPr>
                <w:sz w:val="18"/>
              </w:rPr>
              <w:t xml:space="preserve">fbbd63d2201d1cb6</w:t>
            </w:r>
          </w:p>
        </w:tc>
        <w:tc>
          <w:tcPr>
            <w:tcW w:w="2337" w:type="dxa"/>
          </w:tcPr>
          <w:p>
            <w:pPr>
              <w:pStyle w:val="TableText"/>
            </w:pPr>
            <w:r>
              <w:rPr>
                <w:sz w:val="18"/>
              </w:rPr>
              <w:t xml:space="preserve">f44c8c078ed2c70b</w:t>
            </w:r>
          </w:p>
        </w:tc>
      </w:tr>
      <w:tr>
        <w:trPr>
          <w:cantSplit/>
        </w:trPr>
        <w:tc>
          <w:tcPr>
            <w:tcW w:w="2337" w:type="dxa"/>
          </w:tcPr>
          <w:p>
            <w:pPr>
              <w:pStyle w:val="TableText"/>
            </w:pPr>
            <w:r>
              <w:rPr>
                <w:sz w:val="18"/>
              </w:rPr>
              <w:t xml:space="preserve">3</w:t>
            </w:r>
          </w:p>
        </w:tc>
        <w:tc>
          <w:tcPr>
            <w:tcW w:w="2337" w:type="dxa"/>
          </w:tcPr>
          <w:p>
            <w:pPr>
              <w:pStyle w:val="TableText"/>
            </w:pPr>
            <w:r>
              <w:rPr>
                <w:sz w:val="18"/>
              </w:rPr>
              <w:t xml:space="preserve">1101</w:t>
            </w:r>
          </w:p>
        </w:tc>
        <w:tc>
          <w:tcPr>
            <w:tcW w:w="2337" w:type="dxa"/>
          </w:tcPr>
          <w:p>
            <w:pPr>
              <w:pStyle w:val="TableText"/>
            </w:pPr>
            <w:r>
              <w:rPr>
                <w:sz w:val="18"/>
              </w:rPr>
              <w:t xml:space="preserve">e10ab97f3373b013</w:t>
            </w:r>
          </w:p>
        </w:tc>
        <w:tc>
          <w:tcPr>
            <w:tcW w:w="2337" w:type="dxa"/>
          </w:tcPr>
          <w:p>
            <w:pPr>
              <w:pStyle w:val="TableText"/>
            </w:pPr>
            <w:r>
              <w:rPr>
                <w:sz w:val="18"/>
              </w:rPr>
              <w:t xml:space="preserve">032465639d6b03bf</w:t>
            </w:r>
          </w:p>
        </w:tc>
      </w:tr>
      <w:tr>
        <w:trPr>
          <w:cantSplit/>
        </w:trPr>
        <w:tc>
          <w:tcPr>
            <w:tcW w:w="2337" w:type="dxa"/>
          </w:tcPr>
          <w:p>
            <w:pPr>
              <w:pStyle w:val="TableText"/>
            </w:pPr>
            <w:r>
              <w:rPr>
                <w:sz w:val="18"/>
              </w:rPr>
              <w:t xml:space="preserve">4</w:t>
            </w:r>
          </w:p>
        </w:tc>
        <w:tc>
          <w:tcPr>
            <w:tcW w:w="2337" w:type="dxa"/>
          </w:tcPr>
          <w:p>
            <w:pPr>
              <w:pStyle w:val="TableText"/>
            </w:pPr>
            <w:r>
              <w:rPr>
                <w:sz w:val="18"/>
              </w:rPr>
              <w:t xml:space="preserve">101</w:t>
            </w:r>
          </w:p>
        </w:tc>
        <w:tc>
          <w:tcPr>
            <w:tcW w:w="2337" w:type="dxa"/>
          </w:tcPr>
          <w:p>
            <w:pPr>
              <w:pStyle w:val="TableText"/>
            </w:pPr>
            <w:r>
              <w:rPr>
                <w:sz w:val="18"/>
              </w:rPr>
              <w:t xml:space="preserve">fbbd63d2201d1cb6</w:t>
            </w:r>
          </w:p>
        </w:tc>
        <w:tc>
          <w:tcPr>
            <w:tcW w:w="2337" w:type="dxa"/>
          </w:tcPr>
          <w:p>
            <w:pPr>
              <w:pStyle w:val="TableText"/>
            </w:pPr>
            <w:r>
              <w:rPr>
                <w:sz w:val="18"/>
              </w:rPr>
              <w:t xml:space="preserve">f44c8c078ed2c70b</w:t>
            </w:r>
          </w:p>
        </w:tc>
      </w:tr>
    </w:tbl>
    <w:p>
      <w:pPr>
        <w:pStyle w:val="Code"/>
      </w:pPr>
      <w:r>
        <w:t xml:space="preserve">EQ_1_2 = true</w:t>
      </w:r>
      <w:r>
        <w:br/>
      </w:r>
      <w:r>
        <w:t xml:space="preserve">EQ_1_4 = true</w:t>
      </w:r>
      <w:r>
        <w:br/>
      </w:r>
      <w:r>
        <w:t xml:space="preserve">EQ_1_3 = false</w:t>
      </w:r>
      <w:r>
        <w:br/>
      </w:r>
      <w:r>
        <w:t xml:space="preserve">EQ_2_4 = true</w:t>
      </w:r>
    </w:p>
    <w:p>
      <w:pPr>
        <w:pStyle w:val="Normal"/>
      </w:pPr>
      <w:r>
        <w:t xml:space="preserve">Запуски 1, 2 и 4 при seed 101 имеют одинаковые полные массивы; запуск при seed 1101 отличается. В этой среде совпали также PNG повторных запусков. Полные 64-символьные SHA-256 хранятся в results.json и паспорте; в таблице показаны начала только для удобства чтения. Основной критерий — отпечаток пикселей, поскольку байты PNG могут зависеть от zlib.</w:t>
      </w:r>
    </w:p>
    <w:p>
      <w:pPr>
        <w:pStyle w:val="Heading2"/>
      </w:pPr>
      <w:r>
        <w:t xml:space="preserve">5.2. Метрики основной серии n=5</w:t>
      </w:r>
    </w:p>
    <w:p>
      <w:pPr>
        <w:pStyle w:val="Normal"/>
      </w:pPr>
      <w:r>
        <w:t xml:space="preserve">Для каждой серии сообщаются среднее и выборочное s. Контраст внутри отдельного изображения вычисляется с делителем N по пикселям; это другая величина, чем выборочное s по пяти seed с делителем n−1.</w:t>
      </w:r>
    </w:p>
    <w:tbl>
      <w:tblPr>
        <w:tblW w:w="9350" w:type="dxa"/>
        <w:tblLayout w:type="fixed"/>
        <w:tblBorders>
          <w:top w:val="single" w:sz="4" w:color="777777"/>
          <w:left w:val="single" w:sz="4" w:color="777777"/>
          <w:bottom w:val="single" w:sz="4" w:color="777777"/>
          <w:right w:val="single" w:sz="4" w:color="777777"/>
          <w:insideH w:val="single" w:sz="4" w:color="777777"/>
          <w:insideV w:val="single" w:sz="4" w:color="777777"/>
        </w:tblBorders>
        <w:tblCellMar>
          <w:top w:w="60" w:type="dxa"/>
          <w:left w:w="70" w:type="dxa"/>
          <w:bottom w:w="60" w:type="dxa"/>
          <w:right w:w="70" w:type="dxa"/>
        </w:tblCellMar>
      </w:tblPr>
      <w:tblGrid>
        <w:gridCol w:w="1870"/>
        <w:gridCol w:w="1870"/>
        <w:gridCol w:w="1870"/>
        <w:gridCol w:w="1870"/>
        <w:gridCol w:w="1870"/>
      </w:tblGrid>
      <w:tr>
        <w:trPr>
          <w:cantSplit/>
          <w:tblHeader/>
        </w:trPr>
        <w:tc>
          <w:tcPr>
            <w:tcW w:w="1870" w:type="dxa"/>
            <w:shd w:fill="EEEEEE"/>
          </w:tcPr>
          <w:p>
            <w:pPr>
              <w:pStyle w:val="TableText"/>
            </w:pPr>
            <w:r>
              <w:rPr>
                <w:sz w:val="18"/>
              </w:rPr>
              <w:t xml:space="preserve">Метрика</w:t>
            </w:r>
          </w:p>
        </w:tc>
        <w:tc>
          <w:tcPr>
            <w:tcW w:w="1870" w:type="dxa"/>
            <w:shd w:fill="EEEEEE"/>
          </w:tcPr>
          <w:p>
            <w:pPr>
              <w:pStyle w:val="TableText"/>
            </w:pPr>
            <w:r>
              <w:rPr>
                <w:sz w:val="18"/>
              </w:rPr>
              <w:t xml:space="preserve">m̄ базы</w:t>
            </w:r>
          </w:p>
        </w:tc>
        <w:tc>
          <w:tcPr>
            <w:tcW w:w="1870" w:type="dxa"/>
            <w:shd w:fill="EEEEEE"/>
          </w:tcPr>
          <w:p>
            <w:pPr>
              <w:pStyle w:val="TableText"/>
            </w:pPr>
            <w:r>
              <w:rPr>
                <w:sz w:val="18"/>
              </w:rPr>
              <w:t xml:space="preserve">s базы</w:t>
            </w:r>
          </w:p>
        </w:tc>
        <w:tc>
          <w:tcPr>
            <w:tcW w:w="1870" w:type="dxa"/>
            <w:shd w:fill="EEEEEE"/>
          </w:tcPr>
          <w:p>
            <w:pPr>
              <w:pStyle w:val="TableText"/>
            </w:pPr>
            <w:r>
              <w:rPr>
                <w:sz w:val="18"/>
              </w:rPr>
              <w:t xml:space="preserve">m̄ фактора</w:t>
            </w:r>
          </w:p>
        </w:tc>
        <w:tc>
          <w:tcPr>
            <w:tcW w:w="1870" w:type="dxa"/>
            <w:shd w:fill="EEEEEE"/>
          </w:tcPr>
          <w:p>
            <w:pPr>
              <w:pStyle w:val="TableText"/>
            </w:pPr>
            <w:r>
              <w:rPr>
                <w:sz w:val="18"/>
              </w:rPr>
              <w:t xml:space="preserve">s фактора</w:t>
            </w:r>
          </w:p>
        </w:tc>
      </w:tr>
      <w:tr>
        <w:trPr>
          <w:cantSplit/>
        </w:trPr>
        <w:tc>
          <w:tcPr>
            <w:tcW w:w="1870" w:type="dxa"/>
          </w:tcPr>
          <w:p>
            <w:pPr>
              <w:pStyle w:val="TableText"/>
            </w:pPr>
            <w:r>
              <w:rPr>
                <w:sz w:val="18"/>
              </w:rPr>
              <w:t xml:space="preserve">Средняя яркость</w:t>
            </w:r>
          </w:p>
        </w:tc>
        <w:tc>
          <w:tcPr>
            <w:tcW w:w="1870" w:type="dxa"/>
          </w:tcPr>
          <w:p>
            <w:pPr>
              <w:pStyle w:val="TableText"/>
            </w:pPr>
            <w:r>
              <w:rPr>
                <w:sz w:val="18"/>
              </w:rPr>
              <w:t xml:space="preserve">0,500770</w:t>
            </w:r>
          </w:p>
        </w:tc>
        <w:tc>
          <w:tcPr>
            <w:tcW w:w="1870" w:type="dxa"/>
          </w:tcPr>
          <w:p>
            <w:pPr>
              <w:pStyle w:val="TableText"/>
            </w:pPr>
            <w:r>
              <w:rPr>
                <w:sz w:val="18"/>
              </w:rPr>
              <w:t xml:space="preserve">0,003845</w:t>
            </w:r>
          </w:p>
        </w:tc>
        <w:tc>
          <w:tcPr>
            <w:tcW w:w="1870" w:type="dxa"/>
          </w:tcPr>
          <w:p>
            <w:pPr>
              <w:pStyle w:val="TableText"/>
            </w:pPr>
            <w:r>
              <w:rPr>
                <w:sz w:val="18"/>
              </w:rPr>
              <w:t xml:space="preserve">0,504145</w:t>
            </w:r>
          </w:p>
        </w:tc>
        <w:tc>
          <w:tcPr>
            <w:tcW w:w="1870" w:type="dxa"/>
          </w:tcPr>
          <w:p>
            <w:pPr>
              <w:pStyle w:val="TableText"/>
            </w:pPr>
            <w:r>
              <w:rPr>
                <w:sz w:val="18"/>
              </w:rPr>
              <w:t xml:space="preserve">0,009568</w:t>
            </w:r>
          </w:p>
        </w:tc>
      </w:tr>
      <w:tr>
        <w:trPr>
          <w:cantSplit/>
        </w:trPr>
        <w:tc>
          <w:tcPr>
            <w:tcW w:w="1870" w:type="dxa"/>
          </w:tcPr>
          <w:p>
            <w:pPr>
              <w:pStyle w:val="TableText"/>
            </w:pPr>
            <w:r>
              <w:rPr>
                <w:sz w:val="18"/>
              </w:rPr>
              <w:t xml:space="preserve">Контраст</w:t>
            </w:r>
          </w:p>
        </w:tc>
        <w:tc>
          <w:tcPr>
            <w:tcW w:w="1870" w:type="dxa"/>
          </w:tcPr>
          <w:p>
            <w:pPr>
              <w:pStyle w:val="TableText"/>
            </w:pPr>
            <w:r>
              <w:rPr>
                <w:sz w:val="18"/>
              </w:rPr>
              <w:t xml:space="preserve">0,173459</w:t>
            </w:r>
          </w:p>
        </w:tc>
        <w:tc>
          <w:tcPr>
            <w:tcW w:w="1870" w:type="dxa"/>
          </w:tcPr>
          <w:p>
            <w:pPr>
              <w:pStyle w:val="TableText"/>
            </w:pPr>
            <w:r>
              <w:rPr>
                <w:sz w:val="18"/>
              </w:rPr>
              <w:t xml:space="preserve">0,000738</w:t>
            </w:r>
          </w:p>
        </w:tc>
        <w:tc>
          <w:tcPr>
            <w:tcW w:w="1870" w:type="dxa"/>
          </w:tcPr>
          <w:p>
            <w:pPr>
              <w:pStyle w:val="TableText"/>
            </w:pPr>
            <w:r>
              <w:rPr>
                <w:sz w:val="18"/>
              </w:rPr>
              <w:t xml:space="preserve">0,155880</w:t>
            </w:r>
          </w:p>
        </w:tc>
        <w:tc>
          <w:tcPr>
            <w:tcW w:w="1870" w:type="dxa"/>
          </w:tcPr>
          <w:p>
            <w:pPr>
              <w:pStyle w:val="TableText"/>
            </w:pPr>
            <w:r>
              <w:rPr>
                <w:sz w:val="18"/>
              </w:rPr>
              <w:t xml:space="preserve">0,002825</w:t>
            </w:r>
          </w:p>
        </w:tc>
      </w:tr>
      <w:tr>
        <w:trPr>
          <w:cantSplit/>
        </w:trPr>
        <w:tc>
          <w:tcPr>
            <w:tcW w:w="1870" w:type="dxa"/>
          </w:tcPr>
          <w:p>
            <w:pPr>
              <w:pStyle w:val="TableText"/>
            </w:pPr>
            <w:r>
              <w:rPr>
                <w:sz w:val="18"/>
              </w:rPr>
              <w:t xml:space="preserve">Граничная энергия</w:t>
            </w:r>
          </w:p>
        </w:tc>
        <w:tc>
          <w:tcPr>
            <w:tcW w:w="1870" w:type="dxa"/>
          </w:tcPr>
          <w:p>
            <w:pPr>
              <w:pStyle w:val="TableText"/>
            </w:pPr>
            <w:r>
              <w:rPr>
                <w:sz w:val="18"/>
              </w:rPr>
              <w:t xml:space="preserve">0,159482</w:t>
            </w:r>
          </w:p>
        </w:tc>
        <w:tc>
          <w:tcPr>
            <w:tcW w:w="1870" w:type="dxa"/>
          </w:tcPr>
          <w:p>
            <w:pPr>
              <w:pStyle w:val="TableText"/>
            </w:pPr>
            <w:r>
              <w:rPr>
                <w:sz w:val="18"/>
              </w:rPr>
              <w:t xml:space="preserve">0,001412</w:t>
            </w:r>
          </w:p>
        </w:tc>
        <w:tc>
          <w:tcPr>
            <w:tcW w:w="1870" w:type="dxa"/>
          </w:tcPr>
          <w:p>
            <w:pPr>
              <w:pStyle w:val="TableText"/>
            </w:pPr>
            <w:r>
              <w:rPr>
                <w:sz w:val="18"/>
              </w:rPr>
              <w:t xml:space="preserve">0,072729</w:t>
            </w:r>
          </w:p>
        </w:tc>
        <w:tc>
          <w:tcPr>
            <w:tcW w:w="1870" w:type="dxa"/>
          </w:tcPr>
          <w:p>
            <w:pPr>
              <w:pStyle w:val="TableText"/>
            </w:pPr>
            <w:r>
              <w:rPr>
                <w:sz w:val="18"/>
              </w:rPr>
              <w:t xml:space="preserve">0,000648</w:t>
            </w:r>
          </w:p>
        </w:tc>
      </w:tr>
      <w:tr>
        <w:trPr>
          <w:cantSplit/>
        </w:trPr>
        <w:tc>
          <w:tcPr>
            <w:tcW w:w="1870" w:type="dxa"/>
          </w:tcPr>
          <w:p>
            <w:pPr>
              <w:pStyle w:val="TableText"/>
            </w:pPr>
            <w:r>
              <w:rPr>
                <w:sz w:val="18"/>
              </w:rPr>
              <w:t xml:space="preserve">Энтропия, бит</w:t>
            </w:r>
          </w:p>
        </w:tc>
        <w:tc>
          <w:tcPr>
            <w:tcW w:w="1870" w:type="dxa"/>
          </w:tcPr>
          <w:p>
            <w:pPr>
              <w:pStyle w:val="TableText"/>
            </w:pPr>
            <w:r>
              <w:rPr>
                <w:sz w:val="18"/>
              </w:rPr>
              <w:t xml:space="preserve">7,483036</w:t>
            </w:r>
          </w:p>
        </w:tc>
        <w:tc>
          <w:tcPr>
            <w:tcW w:w="1870" w:type="dxa"/>
          </w:tcPr>
          <w:p>
            <w:pPr>
              <w:pStyle w:val="TableText"/>
            </w:pPr>
            <w:r>
              <w:rPr>
                <w:sz w:val="18"/>
              </w:rPr>
              <w:t xml:space="preserve">0,005091</w:t>
            </w:r>
          </w:p>
        </w:tc>
        <w:tc>
          <w:tcPr>
            <w:tcW w:w="1870" w:type="dxa"/>
          </w:tcPr>
          <w:p>
            <w:pPr>
              <w:pStyle w:val="TableText"/>
            </w:pPr>
            <w:r>
              <w:rPr>
                <w:sz w:val="18"/>
              </w:rPr>
              <w:t xml:space="preserve">7,331467</w:t>
            </w:r>
          </w:p>
        </w:tc>
        <w:tc>
          <w:tcPr>
            <w:tcW w:w="1870" w:type="dxa"/>
          </w:tcPr>
          <w:p>
            <w:pPr>
              <w:pStyle w:val="TableText"/>
            </w:pPr>
            <w:r>
              <w:rPr>
                <w:sz w:val="18"/>
              </w:rPr>
              <w:t xml:space="preserve">0,024096</w:t>
            </w:r>
          </w:p>
        </w:tc>
      </w:tr>
    </w:tbl>
    <w:tbl>
      <w:tblPr>
        <w:tblW w:w="9350" w:type="dxa"/>
        <w:tblLayout w:type="fixed"/>
        <w:tblBorders>
          <w:top w:val="single" w:sz="4" w:color="777777"/>
          <w:left w:val="single" w:sz="4" w:color="777777"/>
          <w:bottom w:val="single" w:sz="4" w:color="777777"/>
          <w:right w:val="single" w:sz="4" w:color="777777"/>
          <w:insideH w:val="single" w:sz="4" w:color="777777"/>
          <w:insideV w:val="single" w:sz="4" w:color="777777"/>
        </w:tblBorders>
        <w:tblCellMar>
          <w:top w:w="60" w:type="dxa"/>
          <w:left w:w="70" w:type="dxa"/>
          <w:bottom w:w="60" w:type="dxa"/>
          <w:right w:w="70" w:type="dxa"/>
        </w:tblCellMar>
      </w:tblPr>
      <w:tblGrid>
        <w:gridCol w:w="2337"/>
        <w:gridCol w:w="2337"/>
        <w:gridCol w:w="2337"/>
        <w:gridCol w:w="2337"/>
      </w:tblGrid>
      <w:tr>
        <w:trPr>
          <w:cantSplit/>
          <w:tblHeader/>
        </w:trPr>
        <w:tc>
          <w:tcPr>
            <w:tcW w:w="2337" w:type="dxa"/>
            <w:shd w:fill="EEEEEE"/>
          </w:tcPr>
          <w:p>
            <w:pPr>
              <w:pStyle w:val="TableText"/>
            </w:pPr>
            <w:r>
              <w:rPr>
                <w:sz w:val="18"/>
              </w:rPr>
              <w:t xml:space="preserve">Метрика</w:t>
            </w:r>
          </w:p>
        </w:tc>
        <w:tc>
          <w:tcPr>
            <w:tcW w:w="2337" w:type="dxa"/>
            <w:shd w:fill="EEEEEE"/>
          </w:tcPr>
          <w:p>
            <w:pPr>
              <w:pStyle w:val="TableText"/>
            </w:pPr>
            <w:r>
              <w:rPr>
                <w:sz w:val="18"/>
              </w:rPr>
              <w:t xml:space="preserve">Δ</w:t>
            </w:r>
          </w:p>
        </w:tc>
        <w:tc>
          <w:tcPr>
            <w:tcW w:w="2337" w:type="dxa"/>
            <w:shd w:fill="EEEEEE"/>
          </w:tcPr>
          <w:p>
            <w:pPr>
              <w:pStyle w:val="TableText"/>
            </w:pPr>
            <w:r>
              <w:rPr>
                <w:sz w:val="18"/>
              </w:rPr>
              <w:t xml:space="preserve">|Δ|/s_base</w:t>
            </w:r>
          </w:p>
        </w:tc>
        <w:tc>
          <w:tcPr>
            <w:tcW w:w="2337" w:type="dxa"/>
            <w:shd w:fill="EEEEEE"/>
          </w:tcPr>
          <w:p>
            <w:pPr>
              <w:pStyle w:val="TableText"/>
            </w:pPr>
            <w:r>
              <w:rPr>
                <w:sz w:val="18"/>
              </w:rPr>
              <w:t xml:space="preserve">Решение при n=5</w:t>
            </w:r>
          </w:p>
        </w:tc>
      </w:tr>
      <w:tr>
        <w:trPr>
          <w:cantSplit/>
        </w:trPr>
        <w:tc>
          <w:tcPr>
            <w:tcW w:w="2337" w:type="dxa"/>
          </w:tcPr>
          <w:p>
            <w:pPr>
              <w:pStyle w:val="TableText"/>
            </w:pPr>
            <w:r>
              <w:rPr>
                <w:sz w:val="18"/>
              </w:rPr>
              <w:t xml:space="preserve">Средняя яркость</w:t>
            </w:r>
          </w:p>
        </w:tc>
        <w:tc>
          <w:tcPr>
            <w:tcW w:w="2337" w:type="dxa"/>
          </w:tcPr>
          <w:p>
            <w:pPr>
              <w:pStyle w:val="TableText"/>
            </w:pPr>
            <w:r>
              <w:rPr>
                <w:sz w:val="18"/>
              </w:rPr>
              <w:t xml:space="preserve">0,003375</w:t>
            </w:r>
          </w:p>
        </w:tc>
        <w:tc>
          <w:tcPr>
            <w:tcW w:w="2337" w:type="dxa"/>
          </w:tcPr>
          <w:p>
            <w:pPr>
              <w:pStyle w:val="TableText"/>
            </w:pPr>
            <w:r>
              <w:rPr>
                <w:sz w:val="18"/>
              </w:rPr>
              <w:t xml:space="preserve">0,88</w:t>
            </w:r>
          </w:p>
        </w:tc>
        <w:tc>
          <w:tcPr>
            <w:tcW w:w="2337" w:type="dxa"/>
          </w:tcPr>
          <w:p>
            <w:pPr>
              <w:pStyle w:val="TableText"/>
            </w:pPr>
            <w:r>
              <w:rPr>
                <w:sz w:val="18"/>
              </w:rPr>
              <w:t xml:space="preserve">Не обнаружено</w:t>
            </w:r>
          </w:p>
        </w:tc>
      </w:tr>
      <w:tr>
        <w:trPr>
          <w:cantSplit/>
        </w:trPr>
        <w:tc>
          <w:tcPr>
            <w:tcW w:w="2337" w:type="dxa"/>
          </w:tcPr>
          <w:p>
            <w:pPr>
              <w:pStyle w:val="TableText"/>
            </w:pPr>
            <w:r>
              <w:rPr>
                <w:sz w:val="18"/>
              </w:rPr>
              <w:t xml:space="preserve">Контраст</w:t>
            </w:r>
          </w:p>
        </w:tc>
        <w:tc>
          <w:tcPr>
            <w:tcW w:w="2337" w:type="dxa"/>
          </w:tcPr>
          <w:p>
            <w:pPr>
              <w:pStyle w:val="TableText"/>
            </w:pPr>
            <w:r>
              <w:rPr>
                <w:sz w:val="18"/>
              </w:rPr>
              <w:t xml:space="preserve">-0,017579</w:t>
            </w:r>
          </w:p>
        </w:tc>
        <w:tc>
          <w:tcPr>
            <w:tcW w:w="2337" w:type="dxa"/>
          </w:tcPr>
          <w:p>
            <w:pPr>
              <w:pStyle w:val="TableText"/>
            </w:pPr>
            <w:r>
              <w:rPr>
                <w:sz w:val="18"/>
              </w:rPr>
              <w:t xml:space="preserve">23,80</w:t>
            </w:r>
          </w:p>
        </w:tc>
        <w:tc>
          <w:tcPr>
            <w:tcW w:w="2337" w:type="dxa"/>
          </w:tcPr>
          <w:p>
            <w:pPr>
              <w:pStyle w:val="TableText"/>
            </w:pPr>
            <w:r>
              <w:rPr>
                <w:sz w:val="18"/>
              </w:rPr>
              <w:t xml:space="preserve">Обнаружено</w:t>
            </w:r>
          </w:p>
        </w:tc>
      </w:tr>
      <w:tr>
        <w:trPr>
          <w:cantSplit/>
        </w:trPr>
        <w:tc>
          <w:tcPr>
            <w:tcW w:w="2337" w:type="dxa"/>
          </w:tcPr>
          <w:p>
            <w:pPr>
              <w:pStyle w:val="TableText"/>
            </w:pPr>
            <w:r>
              <w:rPr>
                <w:sz w:val="18"/>
              </w:rPr>
              <w:t xml:space="preserve">Граничная энергия</w:t>
            </w:r>
          </w:p>
        </w:tc>
        <w:tc>
          <w:tcPr>
            <w:tcW w:w="2337" w:type="dxa"/>
          </w:tcPr>
          <w:p>
            <w:pPr>
              <w:pStyle w:val="TableText"/>
            </w:pPr>
            <w:r>
              <w:rPr>
                <w:sz w:val="18"/>
              </w:rPr>
              <w:t xml:space="preserve">-0,086753</w:t>
            </w:r>
          </w:p>
        </w:tc>
        <w:tc>
          <w:tcPr>
            <w:tcW w:w="2337" w:type="dxa"/>
          </w:tcPr>
          <w:p>
            <w:pPr>
              <w:pStyle w:val="TableText"/>
            </w:pPr>
            <w:r>
              <w:rPr>
                <w:sz w:val="18"/>
              </w:rPr>
              <w:t xml:space="preserve">61,45</w:t>
            </w:r>
          </w:p>
        </w:tc>
        <w:tc>
          <w:tcPr>
            <w:tcW w:w="2337" w:type="dxa"/>
          </w:tcPr>
          <w:p>
            <w:pPr>
              <w:pStyle w:val="TableText"/>
            </w:pPr>
            <w:r>
              <w:rPr>
                <w:sz w:val="18"/>
              </w:rPr>
              <w:t xml:space="preserve">Обнаружено</w:t>
            </w:r>
          </w:p>
        </w:tc>
      </w:tr>
      <w:tr>
        <w:trPr>
          <w:cantSplit/>
        </w:trPr>
        <w:tc>
          <w:tcPr>
            <w:tcW w:w="2337" w:type="dxa"/>
          </w:tcPr>
          <w:p>
            <w:pPr>
              <w:pStyle w:val="TableText"/>
            </w:pPr>
            <w:r>
              <w:rPr>
                <w:sz w:val="18"/>
              </w:rPr>
              <w:t xml:space="preserve">Энтропия, бит</w:t>
            </w:r>
          </w:p>
        </w:tc>
        <w:tc>
          <w:tcPr>
            <w:tcW w:w="2337" w:type="dxa"/>
          </w:tcPr>
          <w:p>
            <w:pPr>
              <w:pStyle w:val="TableText"/>
            </w:pPr>
            <w:r>
              <w:rPr>
                <w:sz w:val="18"/>
              </w:rPr>
              <w:t xml:space="preserve">-0,151569</w:t>
            </w:r>
          </w:p>
        </w:tc>
        <w:tc>
          <w:tcPr>
            <w:tcW w:w="2337" w:type="dxa"/>
          </w:tcPr>
          <w:p>
            <w:pPr>
              <w:pStyle w:val="TableText"/>
            </w:pPr>
            <w:r>
              <w:rPr>
                <w:sz w:val="18"/>
              </w:rPr>
              <w:t xml:space="preserve">29,77</w:t>
            </w:r>
          </w:p>
        </w:tc>
        <w:tc>
          <w:tcPr>
            <w:tcW w:w="2337" w:type="dxa"/>
          </w:tcPr>
          <w:p>
            <w:pPr>
              <w:pStyle w:val="TableText"/>
            </w:pPr>
            <w:r>
              <w:rPr>
                <w:sz w:val="18"/>
              </w:rPr>
              <w:t xml:space="preserve">Обнаружено</w:t>
            </w:r>
          </w:p>
        </w:tc>
      </w:tr>
    </w:tbl>
    <w:p>
      <w:pPr>
        <w:pStyle w:val="Normal"/>
      </w:pPr>
      <w:r>
        <w:t xml:space="preserve">Изменение средней яркости не обнаружено: отношение равно 0,88. Для контраста, граничной энергии и энтропии отношение превышает 2; все три метрики снизились. Наиболее выражено снижение граничной энергии: 54,4% относительно базы.</w:t>
      </w:r>
    </w:p>
    <w:p>
      <w:pPr>
        <w:pStyle w:val="Heading2"/>
      </w:pPr>
      <w:r>
        <w:t xml:space="preserve">5.3. Сопоставление с исходной гипотезой</w:t>
      </w:r>
    </w:p>
    <w:p>
      <w:pPr>
        <w:pStyle w:val="Normal"/>
      </w:pPr>
      <w:r>
        <w:t xml:space="preserve">Предсказанное снижение граничной энергии с превышением порога подтвердилось. Направления изменения контраста и энтропии также совпали с ожиданием; обнаружение их изменений является результатом опыта и не выдаётся за заранее обещанный исход. Средняя яркость не превысила порог, как ожидалось.</w:t>
      </w:r>
    </w:p>
    <w:p>
      <w:pPr>
        <w:pStyle w:val="Heading2"/>
      </w:pPr>
      <w:r>
        <w:t xml:space="preserve">5.4. Сравнение изображений и равномерности зерна</w:t>
      </w:r>
    </w:p>
    <w:p>
      <w:pPr>
        <w:jc w:val="center"/>
      </w:pPr>
      <w:r>
        <w:drawing>
          <wp:inline distT="0" distB="0" distL="0" distR="0">
            <wp:extent cx="5600000" cy="2635294"/>
            <wp:docPr id="1" name="Figure 1"/>
            <a:graphic>
              <a:graphicData uri="http://schemas.openxmlformats.org/drawingml/2006/picture">
                <pic:pic>
                  <pic:nvPicPr>
                    <pic:cNvPr id="0" name="image1.png"/>
                    <pic:cNvPicPr/>
                  </pic:nvPicPr>
                  <pic:blipFill>
                    <a:blip r:embed="image1"/>
                    <a:stretch>
                      <a:fillRect/>
                    </a:stretch>
                  </pic:blipFill>
                  <pic:spPr>
                    <a:xfrm>
                      <a:off x="0" y="0"/>
                      <a:ext cx="5600000" cy="2635294"/>
                    </a:xfrm>
                    <a:prstGeom prst="rect">
                      <a:avLst/>
                    </a:prstGeom>
                  </pic:spPr>
                </pic:pic>
              </a:graphicData>
            </a:graphic>
          </wp:inline>
        </w:drawing>
      </w:r>
    </w:p>
    <w:p>
      <w:pPr>
        <w:pStyle w:val="Caption"/>
        <w:jc w:val="center"/>
      </w:pPr>
      <w:r>
        <w:t xml:space="preserve">Рисунок 1 — Слева база cell=2, справа фактор cell=4; seed 101. Оба исходных изображения 96×96, увеличены в 3 раза без интерполяции.</w:t>
      </w:r>
    </w:p>
    <w:p>
      <w:pPr>
        <w:pStyle w:val="Normal"/>
      </w:pPr>
      <w:r>
        <w:t xml:space="preserve">Разброс средней яркости между seed вырос с 0,003845 до 0,009568 (в 2,49 раза). Однако разброс граничной энергии уменьшился; нельзя утверждать, что фактор увеличил разброс всех метрик.</w:t>
      </w:r>
    </w:p>
    <w:p>
      <w:pPr>
        <w:pStyle w:val="Normal"/>
      </w:pPr>
      <w:r>
        <w:t xml:space="preserve">Для проверки равномерности внутри кадра каждый кадр разбит на 4×4 участка 24×24 пикселя. Для каждого seed вычислено выборочное s средних яркостей 16 участков; затем усреднено по seed. Нормированные значения: база 0,013676, фактор 0,029038. Это описательная дополнительная метрика без отдельного порога существенности.</w:t>
      </w:r>
    </w:p>
    <w:p>
      <w:pPr>
        <w:pStyle w:val="Normal"/>
      </w:pPr>
      <w:r>
        <w:t xml:space="preserve">Укрупнение зерна сопровождается более выраженными неоднородностями средней яркости по участкам и большим разбросом общей яркости между seed. Для задачи с мелким равномерным зерном база предпочтительнее по измеренным признакам. Оценка художественного качества и восприятия плёнки требует отдельной проверки; пространственная равномерность не выводится только из межзапускового s.</w:t>
      </w:r>
    </w:p>
    <w:p>
      <w:pPr>
        <w:pStyle w:val="Heading2"/>
      </w:pPr>
      <w:r>
        <w:t xml:space="preserve">5.5. Проверка при n=20 и n=50</w:t>
      </w:r>
    </w:p>
    <w:tbl>
      <w:tblPr>
        <w:tblW w:w="9350" w:type="dxa"/>
        <w:tblLayout w:type="fixed"/>
        <w:tblBorders>
          <w:top w:val="single" w:sz="4" w:color="777777"/>
          <w:left w:val="single" w:sz="4" w:color="777777"/>
          <w:bottom w:val="single" w:sz="4" w:color="777777"/>
          <w:right w:val="single" w:sz="4" w:color="777777"/>
          <w:insideH w:val="single" w:sz="4" w:color="777777"/>
          <w:insideV w:val="single" w:sz="4" w:color="777777"/>
        </w:tblBorders>
        <w:tblCellMar>
          <w:top w:w="60" w:type="dxa"/>
          <w:left w:w="70" w:type="dxa"/>
          <w:bottom w:w="60" w:type="dxa"/>
          <w:right w:w="70" w:type="dxa"/>
        </w:tblCellMar>
      </w:tblPr>
      <w:tblGrid>
        <w:gridCol w:w="2337"/>
        <w:gridCol w:w="2337"/>
        <w:gridCol w:w="2337"/>
        <w:gridCol w:w="2337"/>
      </w:tblGrid>
      <w:tr>
        <w:trPr>
          <w:cantSplit/>
          <w:tblHeader/>
        </w:trPr>
        <w:tc>
          <w:tcPr>
            <w:tcW w:w="2337" w:type="dxa"/>
            <w:shd w:fill="EEEEEE"/>
          </w:tcPr>
          <w:p>
            <w:pPr>
              <w:pStyle w:val="TableText"/>
            </w:pPr>
            <w:r>
              <w:rPr>
                <w:sz w:val="18"/>
              </w:rPr>
              <w:t xml:space="preserve">Метрика</w:t>
            </w:r>
          </w:p>
        </w:tc>
        <w:tc>
          <w:tcPr>
            <w:tcW w:w="2337" w:type="dxa"/>
            <w:shd w:fill="EEEEEE"/>
          </w:tcPr>
          <w:p>
            <w:pPr>
              <w:pStyle w:val="TableText"/>
            </w:pPr>
            <w:r>
              <w:rPr>
                <w:sz w:val="18"/>
              </w:rPr>
              <w:t xml:space="preserve">|Δ|/s, n=5</w:t>
            </w:r>
          </w:p>
        </w:tc>
        <w:tc>
          <w:tcPr>
            <w:tcW w:w="2337" w:type="dxa"/>
            <w:shd w:fill="EEEEEE"/>
          </w:tcPr>
          <w:p>
            <w:pPr>
              <w:pStyle w:val="TableText"/>
            </w:pPr>
            <w:r>
              <w:rPr>
                <w:sz w:val="18"/>
              </w:rPr>
              <w:t xml:space="preserve">n=20</w:t>
            </w:r>
          </w:p>
        </w:tc>
        <w:tc>
          <w:tcPr>
            <w:tcW w:w="2337" w:type="dxa"/>
            <w:shd w:fill="EEEEEE"/>
          </w:tcPr>
          <w:p>
            <w:pPr>
              <w:pStyle w:val="TableText"/>
            </w:pPr>
            <w:r>
              <w:rPr>
                <w:sz w:val="18"/>
              </w:rPr>
              <w:t xml:space="preserve">n=50</w:t>
            </w:r>
          </w:p>
        </w:tc>
      </w:tr>
      <w:tr>
        <w:trPr>
          <w:cantSplit/>
        </w:trPr>
        <w:tc>
          <w:tcPr>
            <w:tcW w:w="2337" w:type="dxa"/>
          </w:tcPr>
          <w:p>
            <w:pPr>
              <w:pStyle w:val="TableText"/>
            </w:pPr>
            <w:r>
              <w:rPr>
                <w:sz w:val="18"/>
              </w:rPr>
              <w:t xml:space="preserve">Средняя яркость</w:t>
            </w:r>
          </w:p>
        </w:tc>
        <w:tc>
          <w:tcPr>
            <w:tcW w:w="2337" w:type="dxa"/>
          </w:tcPr>
          <w:p>
            <w:pPr>
              <w:pStyle w:val="TableText"/>
            </w:pPr>
            <w:r>
              <w:rPr>
                <w:sz w:val="18"/>
              </w:rPr>
              <w:t xml:space="preserve">0,88</w:t>
            </w:r>
          </w:p>
        </w:tc>
        <w:tc>
          <w:tcPr>
            <w:tcW w:w="2337" w:type="dxa"/>
          </w:tcPr>
          <w:p>
            <w:pPr>
              <w:pStyle w:val="TableText"/>
            </w:pPr>
            <w:r>
              <w:rPr>
                <w:sz w:val="18"/>
              </w:rPr>
              <w:t xml:space="preserve">0,34</w:t>
            </w:r>
          </w:p>
        </w:tc>
        <w:tc>
          <w:tcPr>
            <w:tcW w:w="2337" w:type="dxa"/>
          </w:tcPr>
          <w:p>
            <w:pPr>
              <w:pStyle w:val="TableText"/>
            </w:pPr>
            <w:r>
              <w:rPr>
                <w:sz w:val="18"/>
              </w:rPr>
              <w:t xml:space="preserve">0,31</w:t>
            </w:r>
          </w:p>
        </w:tc>
      </w:tr>
      <w:tr>
        <w:trPr>
          <w:cantSplit/>
        </w:trPr>
        <w:tc>
          <w:tcPr>
            <w:tcW w:w="2337" w:type="dxa"/>
          </w:tcPr>
          <w:p>
            <w:pPr>
              <w:pStyle w:val="TableText"/>
            </w:pPr>
            <w:r>
              <w:rPr>
                <w:sz w:val="18"/>
              </w:rPr>
              <w:t xml:space="preserve">Контраст</w:t>
            </w:r>
          </w:p>
        </w:tc>
        <w:tc>
          <w:tcPr>
            <w:tcW w:w="2337" w:type="dxa"/>
          </w:tcPr>
          <w:p>
            <w:pPr>
              <w:pStyle w:val="TableText"/>
            </w:pPr>
            <w:r>
              <w:rPr>
                <w:sz w:val="18"/>
              </w:rPr>
              <w:t xml:space="preserve">23,80</w:t>
            </w:r>
          </w:p>
        </w:tc>
        <w:tc>
          <w:tcPr>
            <w:tcW w:w="2337" w:type="dxa"/>
          </w:tcPr>
          <w:p>
            <w:pPr>
              <w:pStyle w:val="TableText"/>
            </w:pPr>
            <w:r>
              <w:rPr>
                <w:sz w:val="18"/>
              </w:rPr>
              <w:t xml:space="preserve">18,90</w:t>
            </w:r>
          </w:p>
        </w:tc>
        <w:tc>
          <w:tcPr>
            <w:tcW w:w="2337" w:type="dxa"/>
          </w:tcPr>
          <w:p>
            <w:pPr>
              <w:pStyle w:val="TableText"/>
            </w:pPr>
            <w:r>
              <w:rPr>
                <w:sz w:val="18"/>
              </w:rPr>
              <w:t xml:space="preserve">15,70</w:t>
            </w:r>
          </w:p>
        </w:tc>
      </w:tr>
      <w:tr>
        <w:trPr>
          <w:cantSplit/>
        </w:trPr>
        <w:tc>
          <w:tcPr>
            <w:tcW w:w="2337" w:type="dxa"/>
          </w:tcPr>
          <w:p>
            <w:pPr>
              <w:pStyle w:val="TableText"/>
            </w:pPr>
            <w:r>
              <w:rPr>
                <w:sz w:val="18"/>
              </w:rPr>
              <w:t xml:space="preserve">Граничная энергия</w:t>
            </w:r>
          </w:p>
        </w:tc>
        <w:tc>
          <w:tcPr>
            <w:tcW w:w="2337" w:type="dxa"/>
          </w:tcPr>
          <w:p>
            <w:pPr>
              <w:pStyle w:val="TableText"/>
            </w:pPr>
            <w:r>
              <w:rPr>
                <w:sz w:val="18"/>
              </w:rPr>
              <w:t xml:space="preserve">61,45</w:t>
            </w:r>
          </w:p>
        </w:tc>
        <w:tc>
          <w:tcPr>
            <w:tcW w:w="2337" w:type="dxa"/>
          </w:tcPr>
          <w:p>
            <w:pPr>
              <w:pStyle w:val="TableText"/>
            </w:pPr>
            <w:r>
              <w:rPr>
                <w:sz w:val="18"/>
              </w:rPr>
              <w:t xml:space="preserve">79,01</w:t>
            </w:r>
          </w:p>
        </w:tc>
        <w:tc>
          <w:tcPr>
            <w:tcW w:w="2337" w:type="dxa"/>
          </w:tcPr>
          <w:p>
            <w:pPr>
              <w:pStyle w:val="TableText"/>
            </w:pPr>
            <w:r>
              <w:rPr>
                <w:sz w:val="18"/>
              </w:rPr>
              <w:t xml:space="preserve">73,51</w:t>
            </w:r>
          </w:p>
        </w:tc>
      </w:tr>
      <w:tr>
        <w:trPr>
          <w:cantSplit/>
        </w:trPr>
        <w:tc>
          <w:tcPr>
            <w:tcW w:w="2337" w:type="dxa"/>
          </w:tcPr>
          <w:p>
            <w:pPr>
              <w:pStyle w:val="TableText"/>
            </w:pPr>
            <w:r>
              <w:rPr>
                <w:sz w:val="18"/>
              </w:rPr>
              <w:t xml:space="preserve">Энтропия, бит</w:t>
            </w:r>
          </w:p>
        </w:tc>
        <w:tc>
          <w:tcPr>
            <w:tcW w:w="2337" w:type="dxa"/>
          </w:tcPr>
          <w:p>
            <w:pPr>
              <w:pStyle w:val="TableText"/>
            </w:pPr>
            <w:r>
              <w:rPr>
                <w:sz w:val="18"/>
              </w:rPr>
              <w:t xml:space="preserve">29,77</w:t>
            </w:r>
          </w:p>
        </w:tc>
        <w:tc>
          <w:tcPr>
            <w:tcW w:w="2337" w:type="dxa"/>
          </w:tcPr>
          <w:p>
            <w:pPr>
              <w:pStyle w:val="TableText"/>
            </w:pPr>
            <w:r>
              <w:rPr>
                <w:sz w:val="18"/>
              </w:rPr>
              <w:t xml:space="preserve">19,88</w:t>
            </w:r>
          </w:p>
        </w:tc>
        <w:tc>
          <w:tcPr>
            <w:tcW w:w="2337" w:type="dxa"/>
          </w:tcPr>
          <w:p>
            <w:pPr>
              <w:pStyle w:val="TableText"/>
            </w:pPr>
            <w:r>
              <w:rPr>
                <w:sz w:val="18"/>
              </w:rPr>
              <w:t xml:space="preserve">16,73</w:t>
            </w:r>
          </w:p>
        </w:tc>
      </w:tr>
    </w:tbl>
    <w:p>
      <w:pPr>
        <w:pStyle w:val="Normal"/>
      </w:pPr>
      <w:r>
        <w:t xml:space="preserve">Во всех трёх сериях состав обнаруженных изменений одинаков: контраст, граничная энергия и энтропия; для средней яркости порог не превышен. Серии вложены (seed 101…105, 101…120, 101…150), поэтому это проверка устойчивости при расширении выборки, а не три независимых подтверждения.</w:t>
      </w:r>
    </w:p>
    <w:p>
      <w:pPr>
        <w:pStyle w:val="Normal"/>
      </w:pPr>
      <w:r>
        <w:t xml:space="preserve">Дополнительная оценка неопределённости использует общие seed как пары: d_i=m_factor,i−m_base,i, SE=s(d)/√n. Она учитывает связь базы и фактора и не заменяет учебное правило.</w:t>
      </w:r>
    </w:p>
    <w:tbl>
      <w:tblPr>
        <w:tblW w:w="9350" w:type="dxa"/>
        <w:tblLayout w:type="fixed"/>
        <w:tblBorders>
          <w:top w:val="single" w:sz="4" w:color="777777"/>
          <w:left w:val="single" w:sz="4" w:color="777777"/>
          <w:bottom w:val="single" w:sz="4" w:color="777777"/>
          <w:right w:val="single" w:sz="4" w:color="777777"/>
          <w:insideH w:val="single" w:sz="4" w:color="777777"/>
          <w:insideV w:val="single" w:sz="4" w:color="777777"/>
        </w:tblBorders>
        <w:tblCellMar>
          <w:top w:w="60" w:type="dxa"/>
          <w:left w:w="70" w:type="dxa"/>
          <w:bottom w:w="60" w:type="dxa"/>
          <w:right w:w="70" w:type="dxa"/>
        </w:tblCellMar>
      </w:tblPr>
      <w:tblGrid>
        <w:gridCol w:w="2337"/>
        <w:gridCol w:w="2337"/>
        <w:gridCol w:w="2337"/>
        <w:gridCol w:w="2337"/>
      </w:tblGrid>
      <w:tr>
        <w:trPr>
          <w:cantSplit/>
          <w:tblHeader/>
        </w:trPr>
        <w:tc>
          <w:tcPr>
            <w:tcW w:w="2337" w:type="dxa"/>
            <w:shd w:fill="EEEEEE"/>
          </w:tcPr>
          <w:p>
            <w:pPr>
              <w:pStyle w:val="TableText"/>
            </w:pPr>
            <w:r>
              <w:rPr>
                <w:sz w:val="18"/>
              </w:rPr>
              <w:t xml:space="preserve">Метрика</w:t>
            </w:r>
          </w:p>
        </w:tc>
        <w:tc>
          <w:tcPr>
            <w:tcW w:w="2337" w:type="dxa"/>
            <w:shd w:fill="EEEEEE"/>
          </w:tcPr>
          <w:p>
            <w:pPr>
              <w:pStyle w:val="TableText"/>
            </w:pPr>
            <w:r>
              <w:rPr>
                <w:sz w:val="18"/>
              </w:rPr>
              <w:t xml:space="preserve">Δ при n=5</w:t>
            </w:r>
          </w:p>
        </w:tc>
        <w:tc>
          <w:tcPr>
            <w:tcW w:w="2337" w:type="dxa"/>
            <w:shd w:fill="EEEEEE"/>
          </w:tcPr>
          <w:p>
            <w:pPr>
              <w:pStyle w:val="TableText"/>
            </w:pPr>
            <w:r>
              <w:rPr>
                <w:sz w:val="18"/>
              </w:rPr>
              <w:t xml:space="preserve">Парная SE, n=5</w:t>
            </w:r>
          </w:p>
        </w:tc>
        <w:tc>
          <w:tcPr>
            <w:tcW w:w="2337" w:type="dxa"/>
            <w:shd w:fill="EEEEEE"/>
          </w:tcPr>
          <w:p>
            <w:pPr>
              <w:pStyle w:val="TableText"/>
            </w:pPr>
            <w:r>
              <w:rPr>
                <w:sz w:val="18"/>
              </w:rPr>
              <w:t xml:space="preserve">Парная SE, n=50</w:t>
            </w:r>
          </w:p>
        </w:tc>
      </w:tr>
      <w:tr>
        <w:trPr>
          <w:cantSplit/>
        </w:trPr>
        <w:tc>
          <w:tcPr>
            <w:tcW w:w="2337" w:type="dxa"/>
          </w:tcPr>
          <w:p>
            <w:pPr>
              <w:pStyle w:val="TableText"/>
            </w:pPr>
            <w:r>
              <w:rPr>
                <w:sz w:val="18"/>
              </w:rPr>
              <w:t xml:space="preserve">Средняя яркость</w:t>
            </w:r>
          </w:p>
        </w:tc>
        <w:tc>
          <w:tcPr>
            <w:tcW w:w="2337" w:type="dxa"/>
          </w:tcPr>
          <w:p>
            <w:pPr>
              <w:pStyle w:val="TableText"/>
            </w:pPr>
            <w:r>
              <w:rPr>
                <w:sz w:val="18"/>
              </w:rPr>
              <w:t xml:space="preserve">0,003375</w:t>
            </w:r>
          </w:p>
        </w:tc>
        <w:tc>
          <w:tcPr>
            <w:tcW w:w="2337" w:type="dxa"/>
          </w:tcPr>
          <w:p>
            <w:pPr>
              <w:pStyle w:val="TableText"/>
            </w:pPr>
            <w:r>
              <w:rPr>
                <w:sz w:val="18"/>
              </w:rPr>
              <w:t xml:space="preserve">0,003655</w:t>
            </w:r>
          </w:p>
        </w:tc>
        <w:tc>
          <w:tcPr>
            <w:tcW w:w="2337" w:type="dxa"/>
          </w:tcPr>
          <w:p>
            <w:pPr>
              <w:pStyle w:val="TableText"/>
            </w:pPr>
            <w:r>
              <w:rPr>
                <w:sz w:val="18"/>
              </w:rPr>
              <w:t xml:space="preserve">0,000824</w:t>
            </w:r>
          </w:p>
        </w:tc>
      </w:tr>
      <w:tr>
        <w:trPr>
          <w:cantSplit/>
        </w:trPr>
        <w:tc>
          <w:tcPr>
            <w:tcW w:w="2337" w:type="dxa"/>
          </w:tcPr>
          <w:p>
            <w:pPr>
              <w:pStyle w:val="TableText"/>
            </w:pPr>
            <w:r>
              <w:rPr>
                <w:sz w:val="18"/>
              </w:rPr>
              <w:t xml:space="preserve">Контраст</w:t>
            </w:r>
          </w:p>
        </w:tc>
        <w:tc>
          <w:tcPr>
            <w:tcW w:w="2337" w:type="dxa"/>
          </w:tcPr>
          <w:p>
            <w:pPr>
              <w:pStyle w:val="TableText"/>
            </w:pPr>
            <w:r>
              <w:rPr>
                <w:sz w:val="18"/>
              </w:rPr>
              <w:t xml:space="preserve">-0,017579</w:t>
            </w:r>
          </w:p>
        </w:tc>
        <w:tc>
          <w:tcPr>
            <w:tcW w:w="2337" w:type="dxa"/>
          </w:tcPr>
          <w:p>
            <w:pPr>
              <w:pStyle w:val="TableText"/>
            </w:pPr>
            <w:r>
              <w:rPr>
                <w:sz w:val="18"/>
              </w:rPr>
              <w:t xml:space="preserve">0,001465</w:t>
            </w:r>
          </w:p>
        </w:tc>
        <w:tc>
          <w:tcPr>
            <w:tcW w:w="2337" w:type="dxa"/>
          </w:tcPr>
          <w:p>
            <w:pPr>
              <w:pStyle w:val="TableText"/>
            </w:pPr>
            <w:r>
              <w:rPr>
                <w:sz w:val="18"/>
              </w:rPr>
              <w:t xml:space="preserve">0,000381</w:t>
            </w:r>
          </w:p>
        </w:tc>
      </w:tr>
      <w:tr>
        <w:trPr>
          <w:cantSplit/>
        </w:trPr>
        <w:tc>
          <w:tcPr>
            <w:tcW w:w="2337" w:type="dxa"/>
          </w:tcPr>
          <w:p>
            <w:pPr>
              <w:pStyle w:val="TableText"/>
            </w:pPr>
            <w:r>
              <w:rPr>
                <w:sz w:val="18"/>
              </w:rPr>
              <w:t xml:space="preserve">Граничная энергия</w:t>
            </w:r>
          </w:p>
        </w:tc>
        <w:tc>
          <w:tcPr>
            <w:tcW w:w="2337" w:type="dxa"/>
          </w:tcPr>
          <w:p>
            <w:pPr>
              <w:pStyle w:val="TableText"/>
            </w:pPr>
            <w:r>
              <w:rPr>
                <w:sz w:val="18"/>
              </w:rPr>
              <w:t xml:space="preserve">-0,086753</w:t>
            </w:r>
          </w:p>
        </w:tc>
        <w:tc>
          <w:tcPr>
            <w:tcW w:w="2337" w:type="dxa"/>
          </w:tcPr>
          <w:p>
            <w:pPr>
              <w:pStyle w:val="TableText"/>
            </w:pPr>
            <w:r>
              <w:rPr>
                <w:sz w:val="18"/>
              </w:rPr>
              <w:t xml:space="preserve">0,000466</w:t>
            </w:r>
          </w:p>
        </w:tc>
        <w:tc>
          <w:tcPr>
            <w:tcW w:w="2337" w:type="dxa"/>
          </w:tcPr>
          <w:p>
            <w:pPr>
              <w:pStyle w:val="TableText"/>
            </w:pPr>
            <w:r>
              <w:rPr>
                <w:sz w:val="18"/>
              </w:rPr>
              <w:t xml:space="preserve">0,000223</w:t>
            </w:r>
          </w:p>
        </w:tc>
      </w:tr>
      <w:tr>
        <w:trPr>
          <w:cantSplit/>
        </w:trPr>
        <w:tc>
          <w:tcPr>
            <w:tcW w:w="2337" w:type="dxa"/>
          </w:tcPr>
          <w:p>
            <w:pPr>
              <w:pStyle w:val="TableText"/>
            </w:pPr>
            <w:r>
              <w:rPr>
                <w:sz w:val="18"/>
              </w:rPr>
              <w:t xml:space="preserve">Энтропия, бит</w:t>
            </w:r>
          </w:p>
        </w:tc>
        <w:tc>
          <w:tcPr>
            <w:tcW w:w="2337" w:type="dxa"/>
          </w:tcPr>
          <w:p>
            <w:pPr>
              <w:pStyle w:val="TableText"/>
            </w:pPr>
            <w:r>
              <w:rPr>
                <w:sz w:val="18"/>
              </w:rPr>
              <w:t xml:space="preserve">-0,151569</w:t>
            </w:r>
          </w:p>
        </w:tc>
        <w:tc>
          <w:tcPr>
            <w:tcW w:w="2337" w:type="dxa"/>
          </w:tcPr>
          <w:p>
            <w:pPr>
              <w:pStyle w:val="TableText"/>
            </w:pPr>
            <w:r>
              <w:rPr>
                <w:sz w:val="18"/>
              </w:rPr>
              <w:t xml:space="preserve">0,012459</w:t>
            </w:r>
          </w:p>
        </w:tc>
        <w:tc>
          <w:tcPr>
            <w:tcW w:w="2337" w:type="dxa"/>
          </w:tcPr>
          <w:p>
            <w:pPr>
              <w:pStyle w:val="TableText"/>
            </w:pPr>
            <w:r>
              <w:rPr>
                <w:sz w:val="18"/>
              </w:rPr>
              <w:t xml:space="preserve">0,003398</w:t>
            </w:r>
          </w:p>
        </w:tc>
      </w:tr>
    </w:tbl>
    <w:p>
      <w:pPr>
        <w:pStyle w:val="Normal"/>
      </w:pPr>
      <w:r>
        <w:t xml:space="preserve">Для выводов с заданным уровнем значимости потребовались бы отдельный статистический план, проверка предпосылок и учёт сравнения нескольких метрик. Само значение SE формального доказательства эффекта не даёт.</w:t>
      </w:r>
    </w:p>
    <w:p>
      <w:pPr>
        <w:pStyle w:val="Heading2"/>
      </w:pPr>
      <w:r>
        <w:t xml:space="preserve">5.6. Воспроизведение демонстрационного варианта</w:t>
      </w:r>
    </w:p>
    <w:p>
      <w:pPr>
        <w:pStyle w:val="Normal"/>
      </w:pPr>
      <w:r>
        <w:t xml:space="preserve">Демонстрационный вариант 1 выполнен при n=5. Начала SHA-256 пикселей совпали с методичкой: 93fae5913d797284 (seed 101) и 79aa3ff4187bbfe8 (seed 1101); четыре равенства выполнены. Все опубликованные в методичке средние базы, s базы и средние фактора совпали до четырёх знаков после запятой.</w:t>
      </w:r>
    </w:p>
    <w:tbl>
      <w:tblPr>
        <w:tblW w:w="9350" w:type="dxa"/>
        <w:tblLayout w:type="fixed"/>
        <w:tblBorders>
          <w:top w:val="single" w:sz="4" w:color="777777"/>
          <w:left w:val="single" w:sz="4" w:color="777777"/>
          <w:bottom w:val="single" w:sz="4" w:color="777777"/>
          <w:right w:val="single" w:sz="4" w:color="777777"/>
          <w:insideH w:val="single" w:sz="4" w:color="777777"/>
          <w:insideV w:val="single" w:sz="4" w:color="777777"/>
        </w:tblBorders>
        <w:tblCellMar>
          <w:top w:w="60" w:type="dxa"/>
          <w:left w:w="70" w:type="dxa"/>
          <w:bottom w:w="60" w:type="dxa"/>
          <w:right w:w="70" w:type="dxa"/>
        </w:tblCellMar>
      </w:tblPr>
      <w:tblGrid>
        <w:gridCol w:w="3116"/>
        <w:gridCol w:w="3116"/>
        <w:gridCol w:w="3116"/>
      </w:tblGrid>
      <w:tr>
        <w:trPr>
          <w:cantSplit/>
          <w:tblHeader/>
        </w:trPr>
        <w:tc>
          <w:tcPr>
            <w:tcW w:w="3116" w:type="dxa"/>
            <w:shd w:fill="EEEEEE"/>
          </w:tcPr>
          <w:p>
            <w:pPr>
              <w:pStyle w:val="TableText"/>
            </w:pPr>
            <w:r>
              <w:rPr>
                <w:sz w:val="18"/>
              </w:rPr>
              <w:t xml:space="preserve">Параметр</w:t>
            </w:r>
          </w:p>
        </w:tc>
        <w:tc>
          <w:tcPr>
            <w:tcW w:w="3116" w:type="dxa"/>
            <w:shd w:fill="EEEEEE"/>
          </w:tcPr>
          <w:p>
            <w:pPr>
              <w:pStyle w:val="TableText"/>
            </w:pPr>
            <w:r>
              <w:rPr>
                <w:sz w:val="18"/>
              </w:rPr>
              <w:t xml:space="preserve">Методичка</w:t>
            </w:r>
          </w:p>
        </w:tc>
        <w:tc>
          <w:tcPr>
            <w:tcW w:w="3116" w:type="dxa"/>
            <w:shd w:fill="EEEEEE"/>
          </w:tcPr>
          <w:p>
            <w:pPr>
              <w:pStyle w:val="TableText"/>
            </w:pPr>
            <w:r>
              <w:rPr>
                <w:sz w:val="18"/>
              </w:rPr>
              <w:t xml:space="preserve">Текущая среда</w:t>
            </w:r>
          </w:p>
        </w:tc>
      </w:tr>
      <w:tr>
        <w:trPr>
          <w:cantSplit/>
        </w:trPr>
        <w:tc>
          <w:tcPr>
            <w:tcW w:w="3116" w:type="dxa"/>
          </w:tcPr>
          <w:p>
            <w:pPr>
              <w:pStyle w:val="TableText"/>
            </w:pPr>
            <w:r>
              <w:rPr>
                <w:sz w:val="18"/>
              </w:rPr>
              <w:t xml:space="preserve">Python</w:t>
            </w:r>
          </w:p>
        </w:tc>
        <w:tc>
          <w:tcPr>
            <w:tcW w:w="3116" w:type="dxa"/>
          </w:tcPr>
          <w:p>
            <w:pPr>
              <w:pStyle w:val="TableText"/>
            </w:pPr>
            <w:r>
              <w:rPr>
                <w:sz w:val="18"/>
              </w:rPr>
              <w:t xml:space="preserve">3.13.7</w:t>
            </w:r>
          </w:p>
        </w:tc>
        <w:tc>
          <w:tcPr>
            <w:tcW w:w="3116" w:type="dxa"/>
          </w:tcPr>
          <w:p>
            <w:pPr>
              <w:pStyle w:val="TableText"/>
            </w:pPr>
            <w:r>
              <w:rPr>
                <w:sz w:val="18"/>
              </w:rPr>
              <w:t xml:space="preserve">3.10.6</w:t>
            </w:r>
          </w:p>
        </w:tc>
      </w:tr>
      <w:tr>
        <w:trPr>
          <w:cantSplit/>
        </w:trPr>
        <w:tc>
          <w:tcPr>
            <w:tcW w:w="3116" w:type="dxa"/>
          </w:tcPr>
          <w:p>
            <w:pPr>
              <w:pStyle w:val="TableText"/>
            </w:pPr>
            <w:r>
              <w:rPr>
                <w:sz w:val="18"/>
              </w:rPr>
              <w:t xml:space="preserve">zlib</w:t>
            </w:r>
          </w:p>
        </w:tc>
        <w:tc>
          <w:tcPr>
            <w:tcW w:w="3116" w:type="dxa"/>
          </w:tcPr>
          <w:p>
            <w:pPr>
              <w:pStyle w:val="TableText"/>
            </w:pPr>
            <w:r>
              <w:rPr>
                <w:sz w:val="18"/>
              </w:rPr>
              <w:t xml:space="preserve">1.3.1</w:t>
            </w:r>
          </w:p>
        </w:tc>
        <w:tc>
          <w:tcPr>
            <w:tcW w:w="3116" w:type="dxa"/>
          </w:tcPr>
          <w:p>
            <w:pPr>
              <w:pStyle w:val="TableText"/>
            </w:pPr>
            <w:r>
              <w:rPr>
                <w:sz w:val="18"/>
              </w:rPr>
              <w:t xml:space="preserve">1.2.12</w:t>
            </w:r>
          </w:p>
        </w:tc>
      </w:tr>
      <w:tr>
        <w:trPr>
          <w:cantSplit/>
        </w:trPr>
        <w:tc>
          <w:tcPr>
            <w:tcW w:w="3116" w:type="dxa"/>
          </w:tcPr>
          <w:p>
            <w:pPr>
              <w:pStyle w:val="TableText"/>
            </w:pPr>
            <w:r>
              <w:rPr>
                <w:sz w:val="18"/>
              </w:rPr>
              <w:t xml:space="preserve">ОС</w:t>
            </w:r>
          </w:p>
        </w:tc>
        <w:tc>
          <w:tcPr>
            <w:tcW w:w="3116" w:type="dxa"/>
          </w:tcPr>
          <w:p>
            <w:pPr>
              <w:pStyle w:val="TableText"/>
            </w:pPr>
            <w:r>
              <w:rPr>
                <w:sz w:val="18"/>
              </w:rPr>
              <w:t xml:space="preserve">Windows 10</w:t>
            </w:r>
          </w:p>
        </w:tc>
        <w:tc>
          <w:tcPr>
            <w:tcW w:w="3116" w:type="dxa"/>
          </w:tcPr>
          <w:p>
            <w:pPr>
              <w:pStyle w:val="TableText"/>
            </w:pPr>
            <w:r>
              <w:rPr>
                <w:sz w:val="18"/>
              </w:rPr>
              <w:t xml:space="preserve">Windows-10-10.0.19045-SP0</w:t>
            </w:r>
          </w:p>
        </w:tc>
      </w:tr>
    </w:tbl>
    <w:p>
      <w:pPr>
        <w:pStyle w:val="Normal"/>
      </w:pPr>
      <w:r>
        <w:t xml:space="preserve">В методичке не приведён численный отпечаток PNG демонстрации, поэтому его межмашинное совпадение не заявляется. Проверено совпадение PNG повторных запусков внутри текущей среды. Совпадение опубликованных префиксов SHA-256 не выдаётся за сравнение отсутствующих полных эталонных хешей.</w:t>
      </w:r>
    </w:p>
    <w:p>
      <w:pPr>
        <w:pStyle w:val="Heading1"/>
      </w:pPr>
      <w:r>
        <w:t xml:space="preserve">6. Часть Б. Рабочая область Engee</w:t>
      </w:r>
    </w:p>
    <w:p>
      <w:pPr>
        <w:pStyle w:val="Normal"/>
      </w:pPr>
      <w:r>
        <w:t xml:space="preserve">По решению пользователя в текущем выполнении оформлена только локальная часть. Часть Б выполняется пользователем самостоятельно; результаты входа, версии Engee, выполнения Julia и очистки рабочей области не заявляются. Отдельный файл reports/engee_checklist.md содержит порядок действий и перечень доказательств для дополнения этого раздела.</w:t>
      </w:r>
    </w:p>
    <w:tbl>
      <w:tblPr>
        <w:tblW w:w="9350" w:type="dxa"/>
        <w:tblLayout w:type="fixed"/>
        <w:tblBorders>
          <w:top w:val="single" w:sz="4" w:color="777777"/>
          <w:left w:val="single" w:sz="4" w:color="777777"/>
          <w:bottom w:val="single" w:sz="4" w:color="777777"/>
          <w:right w:val="single" w:sz="4" w:color="777777"/>
          <w:insideH w:val="single" w:sz="4" w:color="777777"/>
          <w:insideV w:val="single" w:sz="4" w:color="777777"/>
        </w:tblBorders>
        <w:tblCellMar>
          <w:top w:w="60" w:type="dxa"/>
          <w:left w:w="70" w:type="dxa"/>
          <w:bottom w:w="60" w:type="dxa"/>
          <w:right w:w="70" w:type="dxa"/>
        </w:tblCellMar>
      </w:tblPr>
      <w:tblGrid>
        <w:gridCol w:w="4675"/>
        <w:gridCol w:w="4675"/>
      </w:tblGrid>
      <w:tr>
        <w:trPr>
          <w:cantSplit/>
          <w:tblHeader/>
        </w:trPr>
        <w:tc>
          <w:tcPr>
            <w:tcW w:w="4675" w:type="dxa"/>
            <w:shd w:fill="EEEEEE"/>
          </w:tcPr>
          <w:p>
            <w:pPr>
              <w:pStyle w:val="TableText"/>
            </w:pPr>
            <w:r>
              <w:rPr>
                <w:sz w:val="18"/>
              </w:rPr>
              <w:t xml:space="preserve">Что добавить после выполнения</w:t>
            </w:r>
          </w:p>
        </w:tc>
        <w:tc>
          <w:tcPr>
            <w:tcW w:w="4675" w:type="dxa"/>
            <w:shd w:fill="EEEEEE"/>
          </w:tcPr>
          <w:p>
            <w:pPr>
              <w:pStyle w:val="TableText"/>
            </w:pPr>
            <w:r>
              <w:rPr>
                <w:sz w:val="18"/>
              </w:rPr>
              <w:t xml:space="preserve">Фактический результат</w:t>
            </w:r>
          </w:p>
        </w:tc>
      </w:tr>
      <w:tr>
        <w:trPr>
          <w:cantSplit/>
        </w:trPr>
        <w:tc>
          <w:tcPr>
            <w:tcW w:w="4675" w:type="dxa"/>
          </w:tcPr>
          <w:p>
            <w:pPr>
              <w:pStyle w:val="TableText"/>
            </w:pPr>
            <w:r>
              <w:rPr>
                <w:sz w:val="18"/>
              </w:rPr>
              <w:t xml:space="preserve">Дата, версии кабинета и среды</w:t>
            </w:r>
          </w:p>
        </w:tc>
        <w:tc>
          <w:tcPr>
            <w:tcW w:w="4675" w:type="dxa"/>
          </w:tcPr>
          <w:p>
            <w:pPr>
              <w:pStyle w:val="TableText"/>
            </w:pPr>
            <w:r>
              <w:rPr>
                <w:sz w:val="18"/>
              </w:rPr>
              <w:t xml:space="preserve">____________________</w:t>
            </w:r>
          </w:p>
        </w:tc>
      </w:tr>
      <w:tr>
        <w:trPr>
          <w:cantSplit/>
        </w:trPr>
        <w:tc>
          <w:tcPr>
            <w:tcW w:w="4675" w:type="dxa"/>
          </w:tcPr>
          <w:p>
            <w:pPr>
              <w:pStyle w:val="TableText"/>
            </w:pPr>
            <w:r>
              <w:rPr>
                <w:sz w:val="18"/>
              </w:rPr>
              <w:t xml:space="preserve">VERSION и versioninfo()</w:t>
            </w:r>
          </w:p>
        </w:tc>
        <w:tc>
          <w:tcPr>
            <w:tcW w:w="4675" w:type="dxa"/>
          </w:tcPr>
          <w:p>
            <w:pPr>
              <w:pStyle w:val="TableText"/>
            </w:pPr>
            <w:r>
              <w:rPr>
                <w:sz w:val="18"/>
              </w:rPr>
              <w:t xml:space="preserve">____________________</w:t>
            </w:r>
          </w:p>
        </w:tc>
      </w:tr>
      <w:tr>
        <w:trPr>
          <w:cantSplit/>
        </w:trPr>
        <w:tc>
          <w:tcPr>
            <w:tcW w:w="4675" w:type="dxa"/>
          </w:tcPr>
          <w:p>
            <w:pPr>
              <w:pStyle w:val="TableText"/>
            </w:pPr>
            <w:r>
              <w:rPr>
                <w:sz w:val="18"/>
              </w:rPr>
              <w:t xml:space="preserve">Переменная seed=101, очистка, перезапуск</w:t>
            </w:r>
          </w:p>
        </w:tc>
        <w:tc>
          <w:tcPr>
            <w:tcW w:w="4675" w:type="dxa"/>
          </w:tcPr>
          <w:p>
            <w:pPr>
              <w:pStyle w:val="TableText"/>
            </w:pPr>
            <w:r>
              <w:rPr>
                <w:sz w:val="18"/>
              </w:rPr>
              <w:t xml:space="preserve">____________________</w:t>
            </w:r>
          </w:p>
        </w:tc>
      </w:tr>
      <w:tr>
        <w:trPr>
          <w:cantSplit/>
        </w:trPr>
        <w:tc>
          <w:tcPr>
            <w:tcW w:w="4675" w:type="dxa"/>
          </w:tcPr>
          <w:p>
            <w:pPr>
              <w:pStyle w:val="TableText"/>
            </w:pPr>
            <w:r>
              <w:rPr>
                <w:sz w:val="18"/>
              </w:rPr>
              <w:t xml:space="preserve">Файл .ngscript, паспорт и снимки</w:t>
            </w:r>
          </w:p>
        </w:tc>
        <w:tc>
          <w:tcPr>
            <w:tcW w:w="4675" w:type="dxa"/>
          </w:tcPr>
          <w:p>
            <w:pPr>
              <w:pStyle w:val="TableText"/>
            </w:pPr>
            <w:r>
              <w:rPr>
                <w:sz w:val="18"/>
              </w:rPr>
              <w:t xml:space="preserve">____________________</w:t>
            </w:r>
          </w:p>
        </w:tc>
      </w:tr>
    </w:tbl>
    <w:p>
      <w:pPr>
        <w:pStyle w:val="Heading1"/>
      </w:pPr>
      <w:r>
        <w:t xml:space="preserve">7. Анализ ошибок, угроз валидности и ограничений</w:t>
      </w:r>
    </w:p>
    <w:tbl>
      <w:tblPr>
        <w:tblW w:w="9350" w:type="dxa"/>
        <w:tblLayout w:type="fixed"/>
        <w:tblBorders>
          <w:top w:val="single" w:sz="4" w:color="777777"/>
          <w:left w:val="single" w:sz="4" w:color="777777"/>
          <w:bottom w:val="single" w:sz="4" w:color="777777"/>
          <w:right w:val="single" w:sz="4" w:color="777777"/>
          <w:insideH w:val="single" w:sz="4" w:color="777777"/>
          <w:insideV w:val="single" w:sz="4" w:color="777777"/>
        </w:tblBorders>
        <w:tblCellMar>
          <w:top w:w="60" w:type="dxa"/>
          <w:left w:w="70" w:type="dxa"/>
          <w:bottom w:w="60" w:type="dxa"/>
          <w:right w:w="70" w:type="dxa"/>
        </w:tblCellMar>
      </w:tblPr>
      <w:tblGrid>
        <w:gridCol w:w="4675"/>
        <w:gridCol w:w="4675"/>
      </w:tblGrid>
      <w:tr>
        <w:trPr>
          <w:cantSplit/>
          <w:tblHeader/>
        </w:trPr>
        <w:tc>
          <w:tcPr>
            <w:tcW w:w="4675" w:type="dxa"/>
            <w:shd w:fill="EEEEEE"/>
          </w:tcPr>
          <w:p>
            <w:pPr>
              <w:pStyle w:val="TableText"/>
            </w:pPr>
            <w:r>
              <w:rPr>
                <w:sz w:val="18"/>
              </w:rPr>
              <w:t xml:space="preserve">Угроза</w:t>
            </w:r>
          </w:p>
        </w:tc>
        <w:tc>
          <w:tcPr>
            <w:tcW w:w="4675" w:type="dxa"/>
            <w:shd w:fill="EEEEEE"/>
          </w:tcPr>
          <w:p>
            <w:pPr>
              <w:pStyle w:val="TableText"/>
            </w:pPr>
            <w:r>
              <w:rPr>
                <w:sz w:val="18"/>
              </w:rPr>
              <w:t xml:space="preserve">Мера и оставшееся ограничение</w:t>
            </w:r>
          </w:p>
        </w:tc>
      </w:tr>
      <w:tr>
        <w:trPr>
          <w:cantSplit/>
        </w:trPr>
        <w:tc>
          <w:tcPr>
            <w:tcW w:w="4675" w:type="dxa"/>
          </w:tcPr>
          <w:p>
            <w:pPr>
              <w:pStyle w:val="TableText"/>
            </w:pPr>
            <w:r>
              <w:rPr>
                <w:sz w:val="18"/>
              </w:rPr>
              <w:t xml:space="preserve">Не задан seed</w:t>
            </w:r>
          </w:p>
        </w:tc>
        <w:tc>
          <w:tcPr>
            <w:tcW w:w="4675" w:type="dxa"/>
          </w:tcPr>
          <w:p>
            <w:pPr>
              <w:pStyle w:val="TableText"/>
            </w:pPr>
            <w:r>
              <w:rPr>
                <w:sz w:val="18"/>
              </w:rPr>
              <w:t xml:space="preserve">Ошибка воспроизведена; использован явный seed и локальный random.Random.</w:t>
            </w:r>
          </w:p>
        </w:tc>
      </w:tr>
      <w:tr>
        <w:trPr>
          <w:cantSplit/>
        </w:trPr>
        <w:tc>
          <w:tcPr>
            <w:tcW w:w="4675" w:type="dxa"/>
          </w:tcPr>
          <w:p>
            <w:pPr>
              <w:pStyle w:val="TableText"/>
            </w:pPr>
            <w:r>
              <w:rPr>
                <w:sz w:val="18"/>
              </w:rPr>
              <w:t xml:space="preserve">Сравнение только средних</w:t>
            </w:r>
          </w:p>
        </w:tc>
        <w:tc>
          <w:tcPr>
            <w:tcW w:w="4675" w:type="dxa"/>
          </w:tcPr>
          <w:p>
            <w:pPr>
              <w:pStyle w:val="TableText"/>
            </w:pPr>
            <w:r>
              <w:rPr>
                <w:sz w:val="18"/>
              </w:rPr>
              <w:t xml:space="preserve">Воспроизводимость проверена по SHA-256 полных массивов.</w:t>
            </w:r>
          </w:p>
        </w:tc>
      </w:tr>
      <w:tr>
        <w:trPr>
          <w:cantSplit/>
        </w:trPr>
        <w:tc>
          <w:tcPr>
            <w:tcW w:w="4675" w:type="dxa"/>
          </w:tcPr>
          <w:p>
            <w:pPr>
              <w:pStyle w:val="TableText"/>
            </w:pPr>
            <w:r>
              <w:rPr>
                <w:sz w:val="18"/>
              </w:rPr>
              <w:t xml:space="preserve">Подгонка гипотезы</w:t>
            </w:r>
          </w:p>
        </w:tc>
        <w:tc>
          <w:tcPr>
            <w:tcW w:w="4675" w:type="dxa"/>
          </w:tcPr>
          <w:p>
            <w:pPr>
              <w:pStyle w:val="TableText"/>
            </w:pPr>
            <w:r>
              <w:rPr>
                <w:sz w:val="18"/>
              </w:rPr>
              <w:t xml:space="preserve">Новый протокол закоммичен до новых запусков; доступ к старым материалам честно отмечен.</w:t>
            </w:r>
          </w:p>
        </w:tc>
      </w:tr>
      <w:tr>
        <w:trPr>
          <w:cantSplit/>
        </w:trPr>
        <w:tc>
          <w:tcPr>
            <w:tcW w:w="4675" w:type="dxa"/>
          </w:tcPr>
          <w:p>
            <w:pPr>
              <w:pStyle w:val="TableText"/>
            </w:pPr>
            <w:r>
              <w:rPr>
                <w:sz w:val="18"/>
              </w:rPr>
              <w:t xml:space="preserve">Неверный делитель s</w:t>
            </w:r>
          </w:p>
        </w:tc>
        <w:tc>
          <w:tcPr>
            <w:tcW w:w="4675" w:type="dxa"/>
          </w:tcPr>
          <w:p>
            <w:pPr>
              <w:pStyle w:val="TableText"/>
            </w:pPr>
            <w:r>
              <w:rPr>
                <w:sz w:val="18"/>
              </w:rPr>
              <w:t xml:space="preserve">По seed используется n−1; сводка проверена по значениям отдельных запусков.</w:t>
            </w:r>
          </w:p>
        </w:tc>
      </w:tr>
      <w:tr>
        <w:trPr>
          <w:cantSplit/>
        </w:trPr>
        <w:tc>
          <w:tcPr>
            <w:tcW w:w="4675" w:type="dxa"/>
          </w:tcPr>
          <w:p>
            <w:pPr>
              <w:pStyle w:val="TableText"/>
            </w:pPr>
            <w:r>
              <w:rPr>
                <w:sz w:val="18"/>
              </w:rPr>
              <w:t xml:space="preserve">Малая выборка</w:t>
            </w:r>
          </w:p>
        </w:tc>
        <w:tc>
          <w:tcPr>
            <w:tcW w:w="4675" w:type="dxa"/>
          </w:tcPr>
          <w:p>
            <w:pPr>
              <w:pStyle w:val="TableText"/>
            </w:pPr>
            <w:r>
              <w:rPr>
                <w:sz w:val="18"/>
              </w:rPr>
              <w:t xml:space="preserve">Основной вывод при n=5; дополнительно n=20,50. Серии вложены.</w:t>
            </w:r>
          </w:p>
        </w:tc>
      </w:tr>
      <w:tr>
        <w:trPr>
          <w:cantSplit/>
        </w:trPr>
        <w:tc>
          <w:tcPr>
            <w:tcW w:w="4675" w:type="dxa"/>
          </w:tcPr>
          <w:p>
            <w:pPr>
              <w:pStyle w:val="TableText"/>
            </w:pPr>
            <w:r>
              <w:rPr>
                <w:sz w:val="18"/>
              </w:rPr>
              <w:t xml:space="preserve">Смена среды и кода</w:t>
            </w:r>
          </w:p>
        </w:tc>
        <w:tc>
          <w:tcPr>
            <w:tcW w:w="4675" w:type="dxa"/>
          </w:tcPr>
          <w:p>
            <w:pPr>
              <w:pStyle w:val="TableText"/>
            </w:pPr>
            <w:r>
              <w:rPr>
                <w:sz w:val="18"/>
              </w:rPr>
              <w:t xml:space="preserve">Записаны Python, zlib, ОС и SHA-256 исходных скриптов.</w:t>
            </w:r>
          </w:p>
        </w:tc>
      </w:tr>
      <w:tr>
        <w:trPr>
          <w:cantSplit/>
        </w:trPr>
        <w:tc>
          <w:tcPr>
            <w:tcW w:w="4675" w:type="dxa"/>
          </w:tcPr>
          <w:p>
            <w:pPr>
              <w:pStyle w:val="TableText"/>
            </w:pPr>
            <w:r>
              <w:rPr>
                <w:sz w:val="18"/>
              </w:rPr>
              <w:t xml:space="preserve">Ограниченность метрик</w:t>
            </w:r>
          </w:p>
        </w:tc>
        <w:tc>
          <w:tcPr>
            <w:tcW w:w="4675" w:type="dxa"/>
          </w:tcPr>
          <w:p>
            <w:pPr>
              <w:pStyle w:val="TableText"/>
            </w:pPr>
            <w:r>
              <w:rPr>
                <w:sz w:val="18"/>
              </w:rPr>
              <w:t xml:space="preserve">Они описывают яркость и структуру, не заменяют зрительскую оценку.</w:t>
            </w:r>
          </w:p>
        </w:tc>
      </w:tr>
      <w:tr>
        <w:trPr>
          <w:cantSplit/>
        </w:trPr>
        <w:tc>
          <w:tcPr>
            <w:tcW w:w="4675" w:type="dxa"/>
          </w:tcPr>
          <w:p>
            <w:pPr>
              <w:pStyle w:val="TableText"/>
            </w:pPr>
            <w:r>
              <w:rPr>
                <w:sz w:val="18"/>
              </w:rPr>
              <w:t xml:space="preserve">Неправомерное обобщение</w:t>
            </w:r>
          </w:p>
        </w:tc>
        <w:tc>
          <w:tcPr>
            <w:tcW w:w="4675" w:type="dxa"/>
          </w:tcPr>
          <w:p>
            <w:pPr>
              <w:pStyle w:val="TableText"/>
            </w:pPr>
            <w:r>
              <w:rPr>
                <w:sz w:val="18"/>
              </w:rPr>
              <w:t xml:space="preserve">Проверены один контекст, один фактор и одна реализация генератора; правило 2s — учебное.</w:t>
            </w:r>
          </w:p>
        </w:tc>
      </w:tr>
    </w:tbl>
    <w:p>
      <w:pPr>
        <w:pStyle w:val="Heading1"/>
      </w:pPr>
      <w:r>
        <w:t xml:space="preserve">8. Вывод по цели</w:t>
      </w:r>
    </w:p>
    <w:p>
      <w:pPr>
        <w:pStyle w:val="Normal"/>
      </w:pPr>
      <w:r>
        <w:t xml:space="preserve">Цель локальной части достигнута: создана изолированная среда без сторонних пакетов, условия записаны в паспорт, воспроизводимость подтверждена четырьмя сравнениями полных выходных данных. При n=5 удвоение cell с 2 до 4 существенно по учебному правилу снижает контраст, граничную энергию и энтропию; изменение средней яркости не обнаружено. Снижение граничной энергии с превышением порога соответствует исходной гипотезе.</w:t>
      </w:r>
    </w:p>
    <w:p>
      <w:pPr>
        <w:pStyle w:val="Normal"/>
      </w:pPr>
      <w:r>
        <w:t xml:space="preserve">Межзапусковый разброс средней яркости вырос, а неоднородность средних яркостей участков увеличилась в описательной проверке. Для мелкого равномерного зерна предпочтительнее базовый шаг. Расширенные серии сохранили решения по четырём метрикам. Выводы не доказывают отсутствие слабого эффекта по яркости, художественное превосходство изображения или переносимость результата на реальные нейросети. Часть Б остаётся для самостоятельного дополнения.</w:t>
      </w:r>
    </w:p>
    <w:p>
      <w:pPr>
        <w:pStyle w:val="Heading1"/>
      </w:pPr>
      <w:r>
        <w:t xml:space="preserve">9. Артефакты, паспорт и ссылки</w:t>
      </w:r>
    </w:p>
    <w:p>
      <w:pPr>
        <w:pStyle w:val="Normal"/>
      </w:pPr>
      <w:r>
        <w:t xml:space="preserve">Репозиторий: https://github.com/BookWormDevid/Creative_AI_things, каталог lab01/. Коммит предварительного протокола: e73126aca3128e50746329a8fb4db4f81ddeaba3. Новые коммиты созданы локально; публикация на GitHub в эту работу не входит.</w:t>
      </w:r>
    </w:p>
    <w:tbl>
      <w:tblPr>
        <w:tblW w:w="9350" w:type="dxa"/>
        <w:tblLayout w:type="fixed"/>
        <w:tblBorders>
          <w:top w:val="single" w:sz="4" w:color="777777"/>
          <w:left w:val="single" w:sz="4" w:color="777777"/>
          <w:bottom w:val="single" w:sz="4" w:color="777777"/>
          <w:right w:val="single" w:sz="4" w:color="777777"/>
          <w:insideH w:val="single" w:sz="4" w:color="777777"/>
          <w:insideV w:val="single" w:sz="4" w:color="777777"/>
        </w:tblBorders>
        <w:tblCellMar>
          <w:top w:w="60" w:type="dxa"/>
          <w:left w:w="70" w:type="dxa"/>
          <w:bottom w:w="60" w:type="dxa"/>
          <w:right w:w="70" w:type="dxa"/>
        </w:tblCellMar>
      </w:tblPr>
      <w:tblGrid>
        <w:gridCol w:w="4675"/>
        <w:gridCol w:w="4675"/>
      </w:tblGrid>
      <w:tr>
        <w:trPr>
          <w:cantSplit/>
          <w:tblHeader/>
        </w:trPr>
        <w:tc>
          <w:tcPr>
            <w:tcW w:w="4675" w:type="dxa"/>
            <w:shd w:fill="EEEEEE"/>
          </w:tcPr>
          <w:p>
            <w:pPr>
              <w:pStyle w:val="TableText"/>
            </w:pPr>
            <w:r>
              <w:rPr>
                <w:sz w:val="18"/>
              </w:rPr>
              <w:t xml:space="preserve">Путь относительно lab01</w:t>
            </w:r>
          </w:p>
        </w:tc>
        <w:tc>
          <w:tcPr>
            <w:tcW w:w="4675" w:type="dxa"/>
            <w:shd w:fill="EEEEEE"/>
          </w:tcPr>
          <w:p>
            <w:pPr>
              <w:pStyle w:val="TableText"/>
            </w:pPr>
            <w:r>
              <w:rPr>
                <w:sz w:val="18"/>
              </w:rPr>
              <w:t xml:space="preserve">Назначение</w:t>
            </w:r>
          </w:p>
        </w:tc>
      </w:tr>
      <w:tr>
        <w:trPr>
          <w:cantSplit/>
        </w:trPr>
        <w:tc>
          <w:tcPr>
            <w:tcW w:w="4675" w:type="dxa"/>
          </w:tcPr>
          <w:p>
            <w:pPr>
              <w:pStyle w:val="TableText"/>
            </w:pPr>
            <w:r>
              <w:rPr>
                <w:sz w:val="18"/>
              </w:rPr>
              <w:t xml:space="preserve">reports/report.docx, report.pdf, report.md</w:t>
            </w:r>
          </w:p>
        </w:tc>
        <w:tc>
          <w:tcPr>
            <w:tcW w:w="4675" w:type="dxa"/>
          </w:tcPr>
          <w:p>
            <w:pPr>
              <w:pStyle w:val="TableText"/>
            </w:pPr>
            <w:r>
              <w:rPr>
                <w:sz w:val="18"/>
              </w:rPr>
              <w:t xml:space="preserve">Редактируемый отчёт, PDF и исходник</w:t>
            </w:r>
          </w:p>
        </w:tc>
      </w:tr>
      <w:tr>
        <w:trPr>
          <w:cantSplit/>
        </w:trPr>
        <w:tc>
          <w:tcPr>
            <w:tcW w:w="4675" w:type="dxa"/>
          </w:tcPr>
          <w:p>
            <w:pPr>
              <w:pStyle w:val="TableText"/>
            </w:pPr>
            <w:r>
              <w:rPr>
                <w:sz w:val="18"/>
              </w:rPr>
              <w:t xml:space="preserve">reports/passport.md</w:t>
            </w:r>
          </w:p>
        </w:tc>
        <w:tc>
          <w:tcPr>
            <w:tcW w:w="4675" w:type="dxa"/>
          </w:tcPr>
          <w:p>
            <w:pPr>
              <w:pStyle w:val="TableText"/>
            </w:pPr>
            <w:r>
              <w:rPr>
                <w:sz w:val="18"/>
              </w:rPr>
              <w:t xml:space="preserve">Полный паспорт</w:t>
            </w:r>
          </w:p>
        </w:tc>
      </w:tr>
      <w:tr>
        <w:trPr>
          <w:cantSplit/>
        </w:trPr>
        <w:tc>
          <w:tcPr>
            <w:tcW w:w="4675" w:type="dxa"/>
          </w:tcPr>
          <w:p>
            <w:pPr>
              <w:pStyle w:val="TableText"/>
            </w:pPr>
            <w:r>
              <w:rPr>
                <w:sz w:val="18"/>
              </w:rPr>
              <w:t xml:space="preserve">reports/journal.md, registration.json</w:t>
            </w:r>
          </w:p>
        </w:tc>
        <w:tc>
          <w:tcPr>
            <w:tcW w:w="4675" w:type="dxa"/>
          </w:tcPr>
          <w:p>
            <w:pPr>
              <w:pStyle w:val="TableText"/>
            </w:pPr>
            <w:r>
              <w:rPr>
                <w:sz w:val="18"/>
              </w:rPr>
              <w:t xml:space="preserve">Порядок выполнения и регистрация</w:t>
            </w:r>
          </w:p>
        </w:tc>
      </w:tr>
      <w:tr>
        <w:trPr>
          <w:cantSplit/>
        </w:trPr>
        <w:tc>
          <w:tcPr>
            <w:tcW w:w="4675" w:type="dxa"/>
          </w:tcPr>
          <w:p>
            <w:pPr>
              <w:pStyle w:val="TableText"/>
            </w:pPr>
            <w:r>
              <w:rPr>
                <w:sz w:val="18"/>
              </w:rPr>
              <w:t xml:space="preserve">configs/protocol.json</w:t>
            </w:r>
          </w:p>
        </w:tc>
        <w:tc>
          <w:tcPr>
            <w:tcW w:w="4675" w:type="dxa"/>
          </w:tcPr>
          <w:p>
            <w:pPr>
              <w:pStyle w:val="TableText"/>
            </w:pPr>
            <w:r>
              <w:rPr>
                <w:sz w:val="18"/>
              </w:rPr>
              <w:t xml:space="preserve">Параметры и гипотеза</w:t>
            </w:r>
          </w:p>
        </w:tc>
      </w:tr>
      <w:tr>
        <w:trPr>
          <w:cantSplit/>
        </w:trPr>
        <w:tc>
          <w:tcPr>
            <w:tcW w:w="4675" w:type="dxa"/>
          </w:tcPr>
          <w:p>
            <w:pPr>
              <w:pStyle w:val="TableText"/>
            </w:pPr>
            <w:r>
              <w:rPr>
                <w:sz w:val="18"/>
              </w:rPr>
              <w:t xml:space="preserve">artifacts/fresh_run/v27_n5/</w:t>
            </w:r>
          </w:p>
        </w:tc>
        <w:tc>
          <w:tcPr>
            <w:tcW w:w="4675" w:type="dxa"/>
          </w:tcPr>
          <w:p>
            <w:pPr>
              <w:pStyle w:val="TableText"/>
            </w:pPr>
            <w:r>
              <w:rPr>
                <w:sz w:val="18"/>
              </w:rPr>
              <w:t xml:space="preserve">Основной результат и данные каждого seed</w:t>
            </w:r>
          </w:p>
        </w:tc>
      </w:tr>
      <w:tr>
        <w:trPr>
          <w:cantSplit/>
        </w:trPr>
        <w:tc>
          <w:tcPr>
            <w:tcW w:w="4675" w:type="dxa"/>
          </w:tcPr>
          <w:p>
            <w:pPr>
              <w:pStyle w:val="TableText"/>
            </w:pPr>
            <w:r>
              <w:rPr>
                <w:sz w:val="18"/>
              </w:rPr>
              <w:t xml:space="preserve">artifacts/fresh_run/v27_n20/, v27_n50/</w:t>
            </w:r>
          </w:p>
        </w:tc>
        <w:tc>
          <w:tcPr>
            <w:tcW w:w="4675" w:type="dxa"/>
          </w:tcPr>
          <w:p>
            <w:pPr>
              <w:pStyle w:val="TableText"/>
            </w:pPr>
            <w:r>
              <w:rPr>
                <w:sz w:val="18"/>
              </w:rPr>
              <w:t xml:space="preserve">Расширенные серии</w:t>
            </w:r>
          </w:p>
        </w:tc>
      </w:tr>
      <w:tr>
        <w:trPr>
          <w:cantSplit/>
        </w:trPr>
        <w:tc>
          <w:tcPr>
            <w:tcW w:w="4675" w:type="dxa"/>
          </w:tcPr>
          <w:p>
            <w:pPr>
              <w:pStyle w:val="TableText"/>
            </w:pPr>
            <w:r>
              <w:rPr>
                <w:sz w:val="18"/>
              </w:rPr>
              <w:t xml:space="preserve">artifacts/fresh_run/demo_v01/, error_demo/</w:t>
            </w:r>
          </w:p>
        </w:tc>
        <w:tc>
          <w:tcPr>
            <w:tcW w:w="4675" w:type="dxa"/>
          </w:tcPr>
          <w:p>
            <w:pPr>
              <w:pStyle w:val="TableText"/>
            </w:pPr>
            <w:r>
              <w:rPr>
                <w:sz w:val="18"/>
              </w:rPr>
              <w:t xml:space="preserve">Демонстрация и намеренная ошибка</w:t>
            </w:r>
          </w:p>
        </w:tc>
      </w:tr>
      <w:tr>
        <w:trPr>
          <w:cantSplit/>
        </w:trPr>
        <w:tc>
          <w:tcPr>
            <w:tcW w:w="4675" w:type="dxa"/>
          </w:tcPr>
          <w:p>
            <w:pPr>
              <w:pStyle w:val="TableText"/>
            </w:pPr>
            <w:r>
              <w:rPr>
                <w:sz w:val="18"/>
              </w:rPr>
              <w:t xml:space="preserve">artifacts/fresh_run/commands.json, *.log</w:t>
            </w:r>
          </w:p>
        </w:tc>
        <w:tc>
          <w:tcPr>
            <w:tcW w:w="4675" w:type="dxa"/>
          </w:tcPr>
          <w:p>
            <w:pPr>
              <w:pStyle w:val="TableText"/>
            </w:pPr>
            <w:r>
              <w:rPr>
                <w:sz w:val="18"/>
              </w:rPr>
              <w:t xml:space="preserve">Точные команды, время, вывод</w:t>
            </w:r>
          </w:p>
        </w:tc>
      </w:tr>
      <w:tr>
        <w:trPr>
          <w:cantSplit/>
        </w:trPr>
        <w:tc>
          <w:tcPr>
            <w:tcW w:w="4675" w:type="dxa"/>
          </w:tcPr>
          <w:p>
            <w:pPr>
              <w:pStyle w:val="TableText"/>
            </w:pPr>
            <w:r>
              <w:rPr>
                <w:sz w:val="18"/>
              </w:rPr>
              <w:t xml:space="preserve">reports/engee_checklist.md</w:t>
            </w:r>
          </w:p>
        </w:tc>
        <w:tc>
          <w:tcPr>
            <w:tcW w:w="4675" w:type="dxa"/>
          </w:tcPr>
          <w:p>
            <w:pPr>
              <w:pStyle w:val="TableText"/>
            </w:pPr>
            <w:r>
              <w:rPr>
                <w:sz w:val="18"/>
              </w:rPr>
              <w:t xml:space="preserve">Чек-лист самостоятельной части Б</w:t>
            </w:r>
          </w:p>
        </w:tc>
      </w:tr>
      <w:tr>
        <w:trPr>
          <w:cantSplit/>
        </w:trPr>
        <w:tc>
          <w:tcPr>
            <w:tcW w:w="4675" w:type="dxa"/>
          </w:tcPr>
          <w:p>
            <w:pPr>
              <w:pStyle w:val="TableText"/>
            </w:pPr>
            <w:r>
              <w:rPr>
                <w:sz w:val="18"/>
              </w:rPr>
              <w:t xml:space="preserve">reports/validation.json, manifest.json</w:t>
            </w:r>
          </w:p>
        </w:tc>
        <w:tc>
          <w:tcPr>
            <w:tcW w:w="4675" w:type="dxa"/>
          </w:tcPr>
          <w:p>
            <w:pPr>
              <w:pStyle w:val="TableText"/>
            </w:pPr>
            <w:r>
              <w:rPr>
                <w:sz w:val="18"/>
              </w:rPr>
              <w:t xml:space="preserve">Проверки и контрольные суммы файлов</w:t>
            </w:r>
          </w:p>
        </w:tc>
      </w:tr>
      <w:tr>
        <w:trPr>
          <w:cantSplit/>
        </w:trPr>
        <w:tc>
          <w:tcPr>
            <w:tcW w:w="4675" w:type="dxa"/>
          </w:tcPr>
          <w:p>
            <w:pPr>
              <w:pStyle w:val="TableText"/>
            </w:pPr>
            <w:r>
              <w:rPr>
                <w:sz w:val="18"/>
              </w:rPr>
              <w:t xml:space="preserve">dist/lab01_variant27_local.zip</w:t>
            </w:r>
          </w:p>
        </w:tc>
        <w:tc>
          <w:tcPr>
            <w:tcW w:w="4675" w:type="dxa"/>
          </w:tcPr>
          <w:p>
            <w:pPr>
              <w:pStyle w:val="TableText"/>
            </w:pPr>
            <w:r>
              <w:rPr>
                <w:sz w:val="18"/>
              </w:rPr>
              <w:t xml:space="preserve">Архив локальной части без окружения и Git</w:t>
            </w:r>
          </w:p>
        </w:tc>
      </w:tr>
    </w:tbl>
    <w:p>
      <w:pPr>
        <w:pStyle w:val="Heading1"/>
      </w:pPr>
      <w:r>
        <w:t xml:space="preserve">Приложение А. Ответы на контрольные вопросы</w:t>
      </w:r>
    </w:p>
    <w:p>
      <w:pPr>
        <w:pStyle w:val="Heading2"/>
      </w:pPr>
      <w:r>
        <w:t xml:space="preserve">1. Почему одного запуска недостаточно?</w:t>
      </w:r>
    </w:p>
    <w:p>
      <w:pPr>
        <w:pStyle w:val="Normal"/>
      </w:pPr>
      <w:r>
        <w:t xml:space="preserve">Один seed не показывает разброс. Нужны число и список seed, среднее и выборочное s, фиксированные параметры и критерий. Здесь используются n=5 и дополнительные n=20,50.</w:t>
      </w:r>
    </w:p>
    <w:p>
      <w:pPr>
        <w:pStyle w:val="Heading2"/>
      </w:pPr>
      <w:r>
        <w:t xml:space="preserve">2. Среднее и выборочное s для 0,71; 0,74; 0,69; 0,73; 0,70</w:t>
      </w:r>
    </w:p>
    <w:p>
      <w:pPr>
        <w:pStyle w:val="Normal"/>
      </w:pPr>
      <w:r>
        <w:t xml:space="preserve">Среднее 0,714; сумма квадратов отклонений 0,001720; s=√(0,001720/4)=0,020736; 2s=0,041473. Для среднего второй серии 0,770: Δ=0,056&gt;2s — изменение обнаружено по учебному правилу. Нужны оговорки о n=5, неопределённости s и отсутствии формального уровня значимости.</w:t>
      </w:r>
    </w:p>
    <w:p>
      <w:pPr>
        <w:pStyle w:val="Heading2"/>
      </w:pPr>
      <w:r>
        <w:t xml:space="preserve">3. Почему сравнивается полный массив?</w:t>
      </w:r>
    </w:p>
    <w:p>
      <w:pPr>
        <w:pStyle w:val="Normal"/>
      </w:pPr>
      <w:r>
        <w:t xml:space="preserve">Среднее теряет информацию: массивы (0,255) и (127,128) имеют среднее 127,5, но разные пиксели. SHA-256 вычисляется по всем байтам массива и позволяет практически надёжно проверить их совпадение.</w:t>
      </w:r>
    </w:p>
    <w:p>
      <w:pPr>
        <w:pStyle w:val="Heading2"/>
      </w:pPr>
      <w:r>
        <w:t xml:space="preserve">4. Почему могут различаться PNG?</w:t>
      </w:r>
    </w:p>
    <w:p>
      <w:pPr>
        <w:pStyle w:val="Normal"/>
      </w:pPr>
      <w:r>
        <w:t xml:space="preserve">PNG содержит сжатые данные; разные версии zlib могут выдавать разные байты при тех же пикселях. В паспорт записываются версия zlib и отдельно SHA-256 пикселей и PNG. Главная проверка — массив.</w:t>
      </w:r>
    </w:p>
    <w:p>
      <w:pPr>
        <w:pStyle w:val="Heading2"/>
      </w:pPr>
      <w:r>
        <w:t xml:space="preserve">5. Что означает s=0?</w:t>
      </w:r>
    </w:p>
    <w:p>
      <w:pPr>
        <w:pStyle w:val="Normal"/>
      </w:pPr>
      <w:r>
        <w:t xml:space="preserve">Все значения метрики в серии совпали. Проверяют изменение seed, число запусков, отпечатки и агрегацию. Разные изображения могут иметь одну метрику, поэтому s=0 не всегда ошибка. При n=1 выборочное s не определено, а не равно нулю.</w:t>
      </w:r>
    </w:p>
    <w:p>
      <w:pPr>
        <w:pStyle w:val="Heading2"/>
      </w:pPr>
      <w:r>
        <w:t xml:space="preserve">6. Как найти причину невоспроизводимости?</w:t>
      </w:r>
    </w:p>
    <w:p>
      <w:pPr>
        <w:pStyle w:val="Normal"/>
      </w:pPr>
      <w:r>
        <w:t xml:space="preserve">Сравнить полные хеши, прочитать предупреждения, проверить фактические seed, версии и параметры. В намеренном опыте причина найдена в выборе seed по времени; явный --seed 101 восстановил совпадение.</w:t>
      </w:r>
    </w:p>
    <w:p>
      <w:pPr>
        <w:pStyle w:val="Heading2"/>
      </w:pPr>
      <w:r>
        <w:t xml:space="preserve">7. Почему локальный random.Random(seed)?</w:t>
      </w:r>
    </w:p>
    <w:p>
      <w:pPr>
        <w:pStyle w:val="Normal"/>
      </w:pPr>
      <w:r>
        <w:t xml:space="preserve">Экземпляр изолирует состояние от чужих вызовов глобального random. Если несколько потоков делят один генератор, порядок получения чисел может различаться. Локальные генераторы и явно определённый порядок работы уменьшают скрытые зависимости.</w:t>
      </w:r>
    </w:p>
    <w:p>
      <w:pPr>
        <w:pStyle w:val="Heading2"/>
      </w:pPr>
      <w:r>
        <w:t xml:space="preserve">8. Какие поля обязательны в паспорте?</w:t>
      </w:r>
    </w:p>
    <w:p>
      <w:pPr>
        <w:pStyle w:val="Normal"/>
      </w:pPr>
      <w:r>
        <w:t xml:space="preserve">Цель и критерий; происхождение и ограничения данных; модель и версия кода; параметры и seed; среда; точная процедура; результаты; ограничения и вывод. Потеря seed или версии кода особенно затрудняет повтор; для real-world модели нужны также неизменяемая ревизия весов и устройство.</w:t>
      </w:r>
    </w:p>
    <w:p>
      <w:pPr>
        <w:pStyle w:val="Heading2"/>
      </w:pPr>
      <w:r>
        <w:t xml:space="preserve">9. Зачем точные версии зависимостей?</w:t>
      </w:r>
    </w:p>
    <w:p>
      <w:pPr>
        <w:pStyle w:val="Normal"/>
      </w:pPr>
      <w:r>
        <w:t xml:space="preserve">Диапазон версий допускает обновление среды без изменения файла требований. Точные версии фиксируют установленные пакеты. Здесь файл пуст, поскольку пакеты не используются, но версию самого Python всё равно нужно записать отдельно.</w:t>
      </w:r>
    </w:p>
    <w:p>
      <w:pPr>
        <w:pStyle w:val="Heading2"/>
      </w:pPr>
      <w:r>
        <w:t xml:space="preserve">10. Что добавить для модели «текст → изображение»?</w:t>
      </w:r>
    </w:p>
    <w:p>
      <w:pPr>
        <w:pStyle w:val="Normal"/>
      </w:pPr>
      <w:r>
        <w:t xml:space="preserve">Идентификатор модели и полную ревизию весов, точные prompt и negative prompt, seed и устройство генератора, размер, число шагов, guidance scale, scheduler и его настройки, device, dtype, версии библиотек и драйверов, число потоков и настройки детерминизма, состав конвейера. Это план будущего паспорта, а не утверждение о запуске такой модели в ЛР 1.</w:t>
      </w:r>
    </w:p>
    <w:sectPr>
      <w:pgSz w:w="11906" w:h="16838"/>
      <w:pgMar w:top="1134" w:right="850" w:bottom="1134" w:left="1701"/>
    </w:sectPr>
  </w:body>
</w:document>
</file>

<file path=word/styles.xml><?xml version="1.0" encoding="utf-8"?>
<w:styles xmlns:w="http://schemas.openxmlformats.org/wordprocessingml/2006/main">
  <w:docDefaults>
    <w:rPrDefault>
      <w:rPr>
        <w:rFonts w:ascii="Times New Roman" w:hAnsi="Times New Roman" w:cs="Times New Roman"/>
        <w:sz w:val="24"/>
        <w:lang w:val="ru-RU"/>
      </w:rPr>
    </w:rPrDefault>
    <w:pPrDefault>
      <w:pPr>
        <w:spacing w:after="120" w:line="360" w:lineRule="auto"/>
      </w:pPr>
    </w:pPrDefault>
  </w:docDefaults>
  <w:style w:type="paragraph" w:styleId="Normal">
    <w:name w:val="Normal"/>
    <w:pPr>
      <w:spacing w:before="180" w:after="120"/>
    </w:pPr>
    <w:rPr>
      <w:sz w:val="24"/>
    </w:rPr>
  </w:style>
  <w:style w:type="paragraph" w:styleId="Title">
    <w:name w:val="Title"/>
    <w:pPr>
      <w:spacing w:before="180" w:after="120"/>
    </w:pPr>
    <w:rPr>
      <w:sz w:val="36"/>
      <w:b/>
    </w:rPr>
  </w:style>
  <w:style w:type="paragraph" w:styleId="Heading1">
    <w:name w:val="Heading1"/>
    <w:pPr>
      <w:spacing w:before="180" w:after="120"/>
      <w:keepNext/>
    </w:pPr>
    <w:rPr>
      <w:sz w:val="30"/>
      <w:b/>
    </w:rPr>
  </w:style>
  <w:style w:type="paragraph" w:styleId="Heading2">
    <w:name w:val="Heading2"/>
    <w:pPr>
      <w:spacing w:before="180" w:after="120"/>
      <w:keepNext/>
    </w:pPr>
    <w:rPr>
      <w:sz w:val="26"/>
      <w:b/>
    </w:rPr>
  </w:style>
  <w:style w:type="paragraph" w:styleId="Code">
    <w:name w:val="Code"/>
    <w:pPr>
      <w:spacing w:after="100" w:line="240" w:lineRule="auto"/>
    </w:pPr>
    <w:rPr>
      <w:sz w:val="18"/>
    </w:rPr>
  </w:style>
  <w:style w:type="paragraph" w:styleId="TableText">
    <w:name w:val="TableText"/>
    <w:pPr>
      <w:spacing w:after="100" w:line="240" w:lineRule="auto"/>
    </w:pPr>
    <w:rPr>
      <w:sz w:val="18"/>
    </w:rPr>
  </w:style>
  <w:style w:type="paragraph" w:styleId="Caption">
    <w:name w:val="Caption"/>
    <w:pPr>
      <w:spacing w:after="100" w:line="240" w:lineRule="auto"/>
    </w:pPr>
    <w:rPr>
      <w:sz w:val="20"/>
    </w:rPr>
  </w:style>
</w:styles>
</file>

<file path=word/_rels/document.xml.rels><Relationships xmlns="http://schemas.openxmlformats.org/package/2006/relationships"><Relationship Id="styles" Type="http://schemas.openxmlformats.org/officeDocument/2006/relationships/styles" Target="styles.xml"/><Relationship Id="image1" Type="http://schemas.openxmlformats.org/officeDocument/2006/relationships/image" Target="media/image1.png"/></Relationships>
</file>