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  <w:jc w:val="center"/>
      </w:pPr>
      <w:r>
        <w:t xml:space="preserve">МИНИСТЕРСТВО НАУКИ И ВЫСШЕГО ОБРАЗОВАНИЯ РОССИЙСКОЙ ФЕДЕРАЦИИ</w:t>
      </w:r>
    </w:p>
    <w:p>
      <w:pPr>
        <w:pStyle w:val="Normal"/>
        <w:jc w:val="center"/>
      </w:pPr>
      <w:r>
        <w:t xml:space="preserve">ФЕДЕРАЛЬНОЕ ГОСУДАРСТВЕННОЕ БЮДЖЕТНОЕ ОБРАЗОВАТЕЛЬНОЕ УЧРЕЖДЕНИЕ ВЫСШЕГО ОБРАЗОВАНИЯ</w:t>
      </w:r>
    </w:p>
    <w:p>
      <w:pPr>
        <w:pStyle w:val="Normal"/>
        <w:jc w:val="center"/>
      </w:pPr>
      <w:r>
        <w:t xml:space="preserve">«ДОНСКОЙ ГОСУДАРСТВЕННЫЙ ТЕХНИЧЕСКИЙ УНИВЕРСИТЕТ» (ДГТУ)</w:t>
      </w:r>
    </w:p>
    <w:p>
      <w:pPr>
        <w:pStyle w:val="Title"/>
        <w:jc w:val="center"/>
      </w:pPr>
      <w:r>
        <w:t xml:space="preserve">ОТЧЁТ</w:t>
      </w:r>
    </w:p>
    <w:p>
      <w:pPr>
        <w:pStyle w:val="Normal"/>
        <w:jc w:val="center"/>
      </w:pPr>
      <w:r>
        <w:t xml:space="preserve">по лабораторной работе № 1</w:t>
      </w:r>
      <w:r>
        <w:br/>
      </w:r>
      <w:r>
        <w:t xml:space="preserve">«Подготовка рабочей среды и паспорт воспроизводимого AI-эксперимента»</w:t>
      </w:r>
    </w:p>
    <w:p>
      <w:pPr>
        <w:pStyle w:val="Normal"/>
        <w:jc w:val="center"/>
      </w:pPr>
      <w:r>
        <w:t xml:space="preserve">по дисциплине «Искусственный интеллект в креативных технологиях»</w:t>
      </w:r>
    </w:p>
    <w:p>
      <w:pPr>
        <w:pStyle w:val="Normal"/>
        <w:jc w:val="center"/>
      </w:pPr>
      <w:r>
        <w:t xml:space="preserve">Вариант 27</w:t>
      </w:r>
      <w:r>
        <w:br/>
      </w:r>
      <w:r>
        <w:t xml:space="preserve">Зернистая плёнка: шаг решётки 2 → 4 пикселя</w:t>
      </w:r>
    </w:p>
    <w:p>
      <w:pPr>
        <w:pStyle w:val="Normal"/>
      </w:pPr>
      <w:r>
        <w:t xml:space="preserve">Выполнил: ______________________________</w:t>
      </w:r>
      <w:r>
        <w:br/>
      </w:r>
      <w:r>
        <w:t xml:space="preserve">Группа: _________________________________</w:t>
      </w:r>
      <w:r>
        <w:br/>
      </w:r>
      <w:r>
        <w:t xml:space="preserve">Проверил: _______________________________</w:t>
      </w:r>
    </w:p>
    <w:p>
      <w:pPr>
        <w:pStyle w:val="Normal"/>
        <w:jc w:val="center"/>
      </w:pPr>
      <w:r>
        <w:t xml:space="preserve">Дата расчётов: 20.10.2026</w:t>
      </w:r>
      <w:r>
        <w:br/>
      </w:r>
      <w:r>
        <w:t xml:space="preserve">2026</w:t>
      </w:r>
    </w:p>
    <w:p>
      <w:r>
        <w:br w:type="page"/>
      </w:r>
    </w:p>
    <w:p>
      <w:pPr>
        <w:pStyle w:val="Heading1"/>
      </w:pPr>
      <w:r>
        <w:t xml:space="preserve">1. Цель, задача и гипотеза</w:t>
      </w:r>
    </w:p>
    <w:p>
      <w:pPr>
        <w:pStyle w:val="Normal"/>
      </w:pPr>
      <w:r>
        <w:t xml:space="preserve">Цель — подготовить среду Python, составить паспорт эксперимента и проверить, повторяется ли результат при одном seed. В варианте 27 нужно выяснить, как удвоение шага решётки меняет плёночное зерно.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Параметр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База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Фактор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Размер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96×96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96×96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cell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4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Октавы / persistence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 / 0,70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 / 0,70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Квантование / интерполяция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8 бит / smooth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8 бит / smooth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Seed / число запусков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101–105 / 5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101–105 / 5</w:t>
            </w:r>
          </w:p>
        </w:tc>
      </w:tr>
    </w:tbl>
    <w:p>
      <w:pPr>
        <w:pStyle w:val="Normal"/>
      </w:pPr>
      <w:r>
        <w:t xml:space="preserve">До новых запусков записана гипотеза: зерно станет крупнее, а граничная энергия снизится с превышением порога. Контраст и энтропия, предположительно, тоже снизятся; средняя яркость заметно не изменится. Возможно увеличение разброса яркости между seed.</w:t>
      </w:r>
    </w:p>
    <w:p>
      <w:pPr>
        <w:pStyle w:val="Normal"/>
      </w:pPr>
      <w:r>
        <w:t xml:space="preserve">Критерий для каждой метрики: |Δ| &gt; 2s_base, где Δ — разность средних фактора и базы, s_base — выборочное стандартное отклонение с делителем n−1. Это учебное правило. Протокол зафиксирован коммитом e73126a до новых расчётов. Работа выполнялась повторно; прежние результаты были доступны до очистки.</w:t>
      </w:r>
    </w:p>
    <w:p>
      <w:pPr>
        <w:pStyle w:val="Heading1"/>
      </w:pPr>
      <w:r>
        <w:t xml:space="preserve">2. Данные и происхождение кода</w:t>
      </w:r>
    </w:p>
    <w:p>
      <w:pPr>
        <w:pStyle w:val="Normal"/>
      </w:pPr>
      <w:r>
        <w:t xml:space="preserve">Внешних данных нет: изображения создаёт процедурный генератор v1.0. Два исходных скрипта получены с заданием и не изменялись. Их SHA-256 приведены в паспорте. Отдельная лицензия на код в материалах не указана.</w:t>
      </w:r>
    </w:p>
    <w:p>
      <w:pPr>
        <w:pStyle w:val="Heading1"/>
      </w:pPr>
      <w:r>
        <w:t xml:space="preserve">3. Среда и параметры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Компонент</w:t>
            </w:r>
          </w:p>
        </w:tc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Версия или значение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ОС / архитектура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Windows-10-10.0.19045-SP0 / AMD64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Python / zlib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3.10.6 / 1.2.12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Сторонние пакеты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Нет; requirements.txt пуст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Время основного запуска, Москва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20.10.2026 19:58:49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Среда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.venv в корне репозитория</w:t>
            </w:r>
          </w:p>
        </w:tc>
      </w:tr>
    </w:tbl>
    <w:p>
      <w:pPr>
        <w:pStyle w:val="Heading1"/>
      </w:pPr>
      <w:r>
        <w:t xml:space="preserve">4. Ход работы</w:t>
      </w:r>
    </w:p>
    <w:p>
      <w:pPr>
        <w:pStyle w:val="Normal"/>
      </w:pPr>
      <w:r>
        <w:t xml:space="preserve">Создана виртуальная среда, проверен импорт генератора. Два запуска без seed дали разные изображения и предупреждение. Причина — автоматический выбор seed по времени. После явного --seed 101 отпечатки совпали.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Запуск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Seed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SHA-256 пикселей, начало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noseed_1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1492550676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b185a87351bc30e8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noseed_2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1606524776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be5cffc183e4376c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seed_1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fbbd63d2201d1cb6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seed_2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fbbd63d2201d1cb6</w:t>
            </w:r>
          </w:p>
        </w:tc>
      </w:tr>
    </w:tbl>
    <w:p>
      <w:pPr>
        <w:pStyle w:val="Normal"/>
      </w:pPr>
      <w:r>
        <w:t xml:space="preserve">Основной опыт выполнен из корня репозитория:</w:t>
      </w:r>
    </w:p>
    <w:p>
      <w:pPr>
        <w:pStyle w:val="Code"/>
      </w:pPr>
      <w:r>
        <w:t xml:space="preserve">.\.venv\Scripts\python.exe lab01\src\lab01_experiment.py --variant 27 --seed 101 --n 5 --out lab01\artifacts\fresh_run\v27_n5</w:t>
      </w:r>
    </w:p>
    <w:p>
      <w:pPr>
        <w:pStyle w:val="Normal"/>
      </w:pPr>
      <w:r>
        <w:t xml:space="preserve">Затем выполнены серии n=20 и n=50, демонстрационный вариант 1 и проверка равномерности по участкам. Команды и вывод сохранены в artifacts/fresh_run/commands.json и логах.</w:t>
      </w:r>
    </w:p>
    <w:p>
      <w:pPr>
        <w:pStyle w:val="Heading1"/>
      </w:pPr>
      <w:r>
        <w:t xml:space="preserve">5. Результаты</w:t>
      </w:r>
    </w:p>
    <w:p>
      <w:pPr>
        <w:pStyle w:val="Heading2"/>
      </w:pPr>
      <w:r>
        <w:t xml:space="preserve">5.1. Воспроизводимость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Запуск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Seed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SHA-256 пикселей, начало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SHA-256 PNG, начало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fbbd63d2201d1cb6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f44c8c078ed2c70b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fbbd63d2201d1cb6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f44c8c078ed2c70b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1101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e10ab97f3373b013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032465639d6b03bf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101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fbbd63d2201d1cb6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f44c8c078ed2c70b</w:t>
            </w:r>
          </w:p>
        </w:tc>
      </w:tr>
    </w:tbl>
    <w:p>
      <w:pPr>
        <w:pStyle w:val="Normal"/>
      </w:pPr>
      <w:r>
        <w:t xml:space="preserve">EQ_1_2 = true; EQ_1_4 = true; EQ_1_3 = false; EQ_2_4 = true. Протокол выполнен. Сравнивались полные отпечатки массивов; таблица показывает первые 16 символов. PNG повторных запусков в этой среде также совпали.</w:t>
      </w:r>
    </w:p>
    <w:p>
      <w:pPr>
        <w:pStyle w:val="Heading2"/>
      </w:pPr>
      <w:r>
        <w:t xml:space="preserve">5.2. Метрики при n=5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rPr>
          <w:cantSplit/>
          <w:tblHeader/>
        </w:trPr>
        <w:tc>
          <w:tcPr>
            <w:tcW w:w="1870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Метрика</w:t>
            </w:r>
          </w:p>
        </w:tc>
        <w:tc>
          <w:tcPr>
            <w:tcW w:w="1870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Среднее базы</w:t>
            </w:r>
          </w:p>
        </w:tc>
        <w:tc>
          <w:tcPr>
            <w:tcW w:w="1870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 базы</w:t>
            </w:r>
          </w:p>
        </w:tc>
        <w:tc>
          <w:tcPr>
            <w:tcW w:w="1870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Среднее фактора</w:t>
            </w:r>
          </w:p>
        </w:tc>
        <w:tc>
          <w:tcPr>
            <w:tcW w:w="1870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 фактора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Средняя яркость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0,500770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0,003845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0,504145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0,009568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Контраст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0,173459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0,000738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0,155880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0,002825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Граничная энергия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0,159482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0,001412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0,072729</w:t>
            </w:r>
          </w:p>
        </w:tc>
        <w:tc>
          <w:tcPr>
            <w:tcW w:w="1870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0,000648</w:t>
            </w:r>
          </w:p>
        </w:tc>
      </w:tr>
      <w:tr>
        <w:trPr>
          <w:cantSplit/>
        </w:trPr>
        <w:tc>
          <w:tcPr>
            <w:tcW w:w="1870" w:type="dxa"/>
          </w:tcPr>
          <w:p>
            <w:pPr>
              <w:pStyle w:val="TableText"/>
            </w:pPr>
            <w:r>
              <w:rPr>
                <w:sz w:val="18"/>
              </w:rPr>
              <w:t xml:space="preserve">Энтропия, бит</w:t>
            </w:r>
          </w:p>
        </w:tc>
        <w:tc>
          <w:tcPr>
            <w:tcW w:w="1870" w:type="dxa"/>
          </w:tcPr>
          <w:p>
            <w:pPr>
              <w:pStyle w:val="TableText"/>
            </w:pPr>
            <w:r>
              <w:rPr>
                <w:sz w:val="18"/>
              </w:rPr>
              <w:t xml:space="preserve">7,483036</w:t>
            </w:r>
          </w:p>
        </w:tc>
        <w:tc>
          <w:tcPr>
            <w:tcW w:w="1870" w:type="dxa"/>
          </w:tcPr>
          <w:p>
            <w:pPr>
              <w:pStyle w:val="TableText"/>
            </w:pPr>
            <w:r>
              <w:rPr>
                <w:sz w:val="18"/>
              </w:rPr>
              <w:t xml:space="preserve">0,005091</w:t>
            </w:r>
          </w:p>
        </w:tc>
        <w:tc>
          <w:tcPr>
            <w:tcW w:w="1870" w:type="dxa"/>
          </w:tcPr>
          <w:p>
            <w:pPr>
              <w:pStyle w:val="TableText"/>
            </w:pPr>
            <w:r>
              <w:rPr>
                <w:sz w:val="18"/>
              </w:rPr>
              <w:t xml:space="preserve">7,331467</w:t>
            </w:r>
          </w:p>
        </w:tc>
        <w:tc>
          <w:tcPr>
            <w:tcW w:w="1870" w:type="dxa"/>
          </w:tcPr>
          <w:p>
            <w:pPr>
              <w:pStyle w:val="TableText"/>
            </w:pPr>
            <w:r>
              <w:rPr>
                <w:sz w:val="18"/>
              </w:rPr>
              <w:t xml:space="preserve">0,024096</w:t>
            </w:r>
          </w:p>
        </w:tc>
      </w:tr>
    </w:tbl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Метрика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Δ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|Δ|/s_base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Эффект при n=5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Средняя яркость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0,003375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0,88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Не обнаружен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Контраст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-0,017579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23,80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Обнаружен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Граничная энергия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-0,086753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61,45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Обнаружен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Энтропия, бит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-0,151569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29,77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Обнаружен</w:t>
            </w:r>
          </w:p>
        </w:tc>
      </w:tr>
    </w:tbl>
    <w:p>
      <w:pPr>
        <w:pStyle w:val="Normal"/>
      </w:pPr>
      <w:r>
        <w:t xml:space="preserve">Контраст, граничная энергия и энтропия снизились с превышением порога. Изменение средней яркости не обнаружено. Граничная энергия уменьшилась на 54,4%. Это подтверждает основное предсказание об укрупнении зерна.</w:t>
      </w:r>
    </w:p>
    <w:p>
      <w:pPr>
        <w:pStyle w:val="Heading2"/>
      </w:pPr>
      <w:r>
        <w:t xml:space="preserve">5.3. Изображения и равномерность зерна</w:t>
      </w:r>
    </w:p>
    <w:p>
      <w:pPr>
        <w:keepNext/>
        <w:jc w:val="center"/>
      </w:pPr>
      <w:r>
        <w:drawing>
          <wp:inline distT="0" distB="0" distL="0" distR="0">
            <wp:extent cx="5600000" cy="2635294"/>
            <wp:docPr id="1" name="Fig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6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1 — База cell=2 слева, фактор cell=4 справа. Seed 101, размер 96×96; увеличение без интерполяции.</w:t>
      </w:r>
    </w:p>
    <w:p>
      <w:pPr>
        <w:pStyle w:val="Normal"/>
      </w:pPr>
      <w:r>
        <w:t xml:space="preserve">Разброс средней яркости между seed вырос: 0,003845 → 0,009568. У граничной энергии разброс, напротив, уменьшился.</w:t>
      </w:r>
    </w:p>
    <w:p>
      <w:pPr>
        <w:pStyle w:val="Normal"/>
      </w:pPr>
      <w:r>
        <w:t xml:space="preserve">Каждый кадр разбит на 16 участков 24×24. Среднее по seed стандартное отклонение яркости участков выросло: 0,013676 → 0,029038. Неоднородность внутри кадра стала выраженнее. Это дополнительное описательное измерение без отдельного порога.</w:t>
      </w:r>
    </w:p>
    <w:p>
      <w:pPr>
        <w:pStyle w:val="Heading2"/>
      </w:pPr>
      <w:r>
        <w:t xml:space="preserve">5.4. Дополнительные проверки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Метрика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|Δ|/s, n=5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n=20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n=50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Средняя яркость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0,88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0,34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0,31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Контраст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23,80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18,90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15,70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Граничная энергия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61,45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79,01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73,51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Энтропия, бит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29,77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19,88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16,73</w:t>
            </w:r>
          </w:p>
        </w:tc>
      </w:tr>
    </w:tbl>
    <w:p>
      <w:pPr>
        <w:pStyle w:val="Normal"/>
      </w:pPr>
      <w:r>
        <w:t xml:space="preserve">При расширении серии вывод по каждой метрике сохранился. Серии вложены: они начинаются с seed 101 и не являются независимыми опытами.</w:t>
      </w:r>
    </w:p>
    <w:p>
      <w:pPr>
        <w:pStyle w:val="Normal"/>
      </w:pPr>
      <w:r>
        <w:t xml:space="preserve">Для оценки неопределённости рассчитана парная ошибка SE=s(d)/√n, где d — разность метрик при общем seed. Она дополняет основной критерий: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Метрика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SE, n=5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SE, n=50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Средняя яркость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0,003655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0,000824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Контраст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0,001465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0,000381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Граничная энергия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0,000466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0,000223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Энтропия, бит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0,012459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0,003398</w:t>
            </w:r>
          </w:p>
        </w:tc>
      </w:tr>
    </w:tbl>
    <w:p>
      <w:pPr>
        <w:pStyle w:val="Normal"/>
      </w:pPr>
      <w:r>
        <w:t xml:space="preserve">Вариант 1 воспроизвёл опубликованные начала отпечатков и значения метрик до четырёх знаков. В методичке Python 3.13.7 и zlib 1.3.1; здесь — 3.10.6 и 1.2.12. Полный эталонный отпечаток PNG не опубликован, поэтому межмашинное совпадение файла не проверялось.</w:t>
      </w:r>
    </w:p>
    <w:p>
      <w:pPr>
        <w:pStyle w:val="Heading1"/>
      </w:pPr>
      <w:r>
        <w:t xml:space="preserve">6. Часть Б. Engee</w:t>
      </w:r>
    </w:p>
    <w:p>
      <w:pPr>
        <w:pStyle w:val="Heading2"/>
      </w:pPr>
      <w:r>
        <w:t xml:space="preserve">6.1. Среда и файлы</w:t>
      </w:r>
    </w:p>
    <w:p>
      <w:pPr>
        <w:pStyle w:val="Normal"/>
      </w:pPr>
      <w:r>
        <w:t xml:space="preserve">Часть Б выполнена 20.10.2026 в 20:19 (Москва). В папке курса создан каталог LR01, сохранён скрипт LR01_environment.ngscript и вывод versioninfo.txt. В LR01 загружен паспорт локального эксперимента в PDF.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Компонент</w:t>
            </w:r>
          </w:p>
        </w:tc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Фактическое значение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Личный кабинет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26.10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Рабочая среда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26.9.2-H4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Julia — вывод VERSION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1.12.4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Платформа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Linux, x86_64-linux-gnu, 64 бит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Процессор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112 × Intel Xeon Platinum 8180, 2.50 GHz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Потоки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5 default, 3 interactive, 5 GC; JULIA_NUM_THREADS=7,1</w:t>
            </w:r>
          </w:p>
        </w:tc>
      </w:tr>
    </w:tbl>
    <w:p>
      <w:pPr>
        <w:pStyle w:val="Normal"/>
      </w:pPr>
      <w:r>
        <w:t xml:space="preserve">Версии отличаются от методички: там кабинет 26.9.1 и среда 26.8.2-H3. Интерфейс англоязычный: File Browser, Script Editor, Variables → Workspace. В метаданных .ngscript указана Julia 1.9.3, но фактически команда VERSION вернула 1.12.4; в отчёт внесён результат выполнения.</w:t>
      </w:r>
    </w:p>
    <w:p>
      <w:pPr>
        <w:pStyle w:val="Code"/>
      </w:pPr>
      <w:r>
        <w:t xml:space="preserve">println("VERSION = ", VERSION)</w:t>
      </w:r>
      <w:r>
        <w:br/>
      </w:r>
      <w:r>
        <w:t xml:space="preserve">versioninfo()</w:t>
      </w:r>
      <w:r>
        <w:br/>
      </w:r>
      <w:r>
        <w:t xml:space="preserve"/>
      </w:r>
      <w:r>
        <w:br/>
      </w:r>
      <w:r>
        <w:t xml:space="preserve">seed = 101</w:t>
      </w:r>
    </w:p>
    <w:p>
      <w:pPr>
        <w:pStyle w:val="Normal"/>
      </w:pPr>
      <w:r>
        <w:t xml:space="preserve">Полный вывод первой ячейки сохранён без изменений в reports/engee/versioninfo.txt. Локальная часть выполнялась на Python в Windows, часть Б — на Julia в Linux; сведения об этих средах записаны отдельно.</w:t>
      </w:r>
    </w:p>
    <w:p>
      <w:pPr>
        <w:keepNext/>
        <w:jc w:val="center"/>
      </w:pPr>
      <w:r>
        <w:drawing>
          <wp:inline distT="0" distB="0" distL="0" distR="0">
            <wp:extent cx="5600000" cy="2920016"/>
            <wp:docPr id="2" name="Figure 2"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92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2 — Вывод VERSION и versioninfo(), файлы рабочего каталога LR01.</w:t>
      </w:r>
    </w:p>
    <w:p>
      <w:pPr>
        <w:pStyle w:val="Heading2"/>
      </w:pPr>
      <w:r>
        <w:t xml:space="preserve">6.2. Состояние рабочей области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3116"/>
        <w:gridCol w:w="3116"/>
        <w:gridCol w:w="3116"/>
      </w:tblGrid>
      <w:tr>
        <w:trPr>
          <w:cantSplit/>
          <w:tblHeader/>
        </w:trPr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Действие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Переменные</w:t>
            </w:r>
          </w:p>
        </w:tc>
        <w:tc>
          <w:tcPr>
            <w:tcW w:w="3116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Сохранённый вывод ячейки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Выполнено seed = 101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seed = 101, Int64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101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Очистка переменных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Таблица пуста</w:t>
            </w:r>
          </w:p>
        </w:tc>
        <w:tc>
          <w:tcPr>
            <w:tcW w:w="3116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101 остаётся</w:t>
            </w:r>
          </w:p>
        </w:tc>
      </w:tr>
      <w:tr>
        <w:trPr>
          <w:cantSplit/>
        </w:trPr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Перезапуск ядра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Таблица пуста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rPr>
                <w:sz w:val="18"/>
              </w:rPr>
              <w:t xml:space="preserve">101 остаётся</w:t>
            </w:r>
          </w:p>
        </w:tc>
      </w:tr>
    </w:tbl>
    <w:p>
      <w:pPr>
        <w:pStyle w:val="Normal"/>
      </w:pPr>
      <w:r>
        <w:t xml:space="preserve">После очистки и перезапуска переменная исчезла из рабочей области, хотя вывод 101 сохранился под ячейкой. Сохранённый вывод отражает прошлый запуск, а не текущее состояние ядра. Поэтому для повторения работы нужно фиксировать порядок выполнения ячеек и исходное состояние среды.</w:t>
      </w:r>
    </w:p>
    <w:p>
      <w:pPr>
        <w:keepNext/>
        <w:jc w:val="center"/>
      </w:pPr>
      <w:r>
        <w:drawing>
          <wp:inline distT="0" distB="0" distL="0" distR="0">
            <wp:extent cx="5600000" cy="2895868"/>
            <wp:docPr id="3" name="Figure 3"/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89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3 — После seed = 101 в таблице есть переменная seed типа Int64.</w:t>
      </w:r>
    </w:p>
    <w:p>
      <w:pPr>
        <w:keepNext/>
        <w:jc w:val="center"/>
      </w:pPr>
      <w:r>
        <w:drawing>
          <wp:inline distT="0" distB="0" distL="0" distR="0">
            <wp:extent cx="5600000" cy="2910672"/>
            <wp:docPr id="4" name="Figure 4"/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91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4 — После очистки таблица переменных пуста, вывод ячейки сохранён.</w:t>
      </w:r>
    </w:p>
    <w:p>
      <w:pPr>
        <w:keepNext/>
        <w:jc w:val="center"/>
      </w:pPr>
      <w:r>
        <w:drawing>
          <wp:inline distT="0" distB="0" distL="0" distR="0">
            <wp:extent cx="5600000" cy="2922026"/>
            <wp:docPr id="5" name="Figure 5"/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92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Рисунок 5 — После перезапуска таблица остаётся пустой, вывод 101 виден в редакторе.</w:t>
      </w:r>
    </w:p>
    <w:p>
      <w:pPr>
        <w:pStyle w:val="Heading1"/>
      </w:pPr>
      <w:r>
        <w:t xml:space="preserve">7. Ошибки и ограничения</w:t>
      </w:r>
    </w:p>
    <w:p>
      <w:pPr>
        <w:pStyle w:val="Normal"/>
      </w:pPr>
      <w:r>
        <w:t xml:space="preserve">Ошибка без seed устранена явным значением 101. Воспроизводимость проверена по полным массивам, а не по средним. Выборочное s рассчитано с делителем n−1; порог после запуска не менялся.</w:t>
      </w:r>
    </w:p>
    <w:p>
      <w:pPr>
        <w:pStyle w:val="Normal"/>
      </w:pPr>
      <w:r>
        <w:t xml:space="preserve">Основной вывод ограничен n=5, одной текстурой и одним фактором. Правило 2s не является статистическим тестом. Метрики описывают яркость и структуру зерна, но не художественное качество. Отсутствие обнаруженного изменения яркости не доказывает отсутствия слабого эффекта.</w:t>
      </w:r>
    </w:p>
    <w:p>
      <w:pPr>
        <w:pStyle w:val="Heading1"/>
      </w:pPr>
      <w:r>
        <w:t xml:space="preserve">8. Вывод</w:t>
      </w:r>
    </w:p>
    <w:p>
      <w:pPr>
        <w:pStyle w:val="Normal"/>
      </w:pPr>
      <w:r>
        <w:t xml:space="preserve">Работа выполнена: среда подготовлена, паспорт составлен, воспроизводимость подтверждена. Удвоение cell укрупнило зерно, снизило контраст, граничную энергию и энтропию. Средняя яркость не превысила порог, но её разброс между seed вырос. Для мелкого равномерного зерна базовый шаг подходит лучше по измеренным признакам. В Engee проверены версии и состояние рабочей области: после очистки и перезапуска сохранённый вывод не подтверждает наличие переменной.</w:t>
      </w:r>
    </w:p>
    <w:p>
      <w:pPr>
        <w:pStyle w:val="Heading1"/>
      </w:pPr>
      <w:r>
        <w:t xml:space="preserve">9. Файлы работы</w:t>
      </w:r>
    </w:p>
    <w:p>
      <w:pPr>
        <w:pStyle w:val="Normal"/>
      </w:pPr>
      <w:r>
        <w:t xml:space="preserve">Репозиторий: https://github.com/BookWormDevid/Creative_AI_things, каталог lab01/. Коммиты нового выполнения сохранены локально.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Путь относительно lab01</w:t>
            </w:r>
          </w:p>
        </w:tc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Содержимое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reports/report.docx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Отчёт с частями А и Б; PDF экспортируется отдельно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reports/passport.pdf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Паспорт локального эксперимента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reports/engee/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Скрипт, полный вывод Julia, снимки и сведения о среде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reports/journal.md, registration.json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Журнал и регистрация протокола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artifacts/fresh_run/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Результаты, изображения, команды и логи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reports/validation.json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Результаты самопроверки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dist/lab01_variant27.zip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Архив работы с частями А и Б</w:t>
            </w:r>
          </w:p>
        </w:tc>
      </w:tr>
    </w:tbl>
    <w:p>
      <w:pPr>
        <w:pStyle w:val="Heading1"/>
      </w:pPr>
      <w:r>
        <w:t xml:space="preserve">Приложение А. Контрольные вопросы</w:t>
      </w:r>
    </w:p>
    <w:p>
      <w:pPr>
        <w:pStyle w:val="Normal"/>
      </w:pPr>
      <w:r>
        <w:t xml:space="preserve">1. Зачем несколько запусков? Один seed не показывает разброс. Нужны список seed, среднее, выборочное s и заранее заданный критерий.</w:t>
      </w:r>
    </w:p>
    <w:p>
      <w:pPr>
        <w:pStyle w:val="Normal"/>
      </w:pPr>
      <w:r>
        <w:t xml:space="preserve">2. Расчёт по пяти значениям Для 0,71; 0,74; 0,69; 0,73; 0,70: среднее 0,714; s=0,020736; 2s=0,041473. Разность со средним 0,770 равна 0,056 и превышает порог. Вывод действует в рамках учебного правила при n=5.</w:t>
      </w:r>
    </w:p>
    <w:p>
      <w:pPr>
        <w:pStyle w:val="Normal"/>
      </w:pPr>
      <w:r>
        <w:t xml:space="preserve">3. Почему полный массив? Массивы (0,255) и (127,128) имеют одно среднее 127,5, но разные пиксели. Отпечаток учитывает все байты.</w:t>
      </w:r>
    </w:p>
    <w:p>
      <w:pPr>
        <w:pStyle w:val="Normal"/>
      </w:pPr>
      <w:r>
        <w:t xml:space="preserve">4. Почему могут различаться PNG? Разная версия сжатия может изменить байты файла при тех же пикселях. Поэтому отдельно записываются zlib, отпечаток массива и отпечаток PNG.</w:t>
      </w:r>
    </w:p>
    <w:p>
      <w:pPr>
        <w:pStyle w:val="Normal"/>
      </w:pPr>
      <w:r>
        <w:t xml:space="preserve">5. Что означает s=0? Метрика совпала во всех запусках. Нужно проверить seed, отпечатки и агрегацию. Это не обязательно ошибка; при n=1 выборочное s не определено.</w:t>
      </w:r>
    </w:p>
    <w:p>
      <w:pPr>
        <w:pStyle w:val="Normal"/>
      </w:pPr>
      <w:r>
        <w:t xml:space="preserve">6. Как найти невоспроизводимость? Проверить предупреждения, фактические seed, параметры, версии и отпечатки. В опыте причиной стал выбор seed по времени.</w:t>
      </w:r>
    </w:p>
    <w:p>
      <w:pPr>
        <w:pStyle w:val="Normal"/>
      </w:pPr>
      <w:r>
        <w:t xml:space="preserve">7. Зачем random.Random(seed)? Локальный экземпляр защищает последовательность от посторонних вызовов глобального генератора. Общий генератор в потоках зависит от порядка обращений.</w:t>
      </w:r>
    </w:p>
    <w:p>
      <w:pPr>
        <w:pStyle w:val="Normal"/>
      </w:pPr>
      <w:r>
        <w:t xml:space="preserve">8. Что хранится в паспорте? Цель и критерий, данные, код и версия, параметры и seed, среда, точная команда, результаты и ограничения. Без этих сведений повторить опыт трудно.</w:t>
      </w:r>
    </w:p>
    <w:p>
      <w:pPr>
        <w:pStyle w:val="Normal"/>
      </w:pPr>
      <w:r>
        <w:t xml:space="preserve">9. Зачем точные версии? Диапазон допускает обновление зависимостей без изменения файла. Здесь сторонних пакетов нет, но версия Python записана отдельно.</w:t>
      </w:r>
    </w:p>
    <w:p>
      <w:pPr>
        <w:pStyle w:val="Normal"/>
      </w:pPr>
      <w:r>
        <w:t xml:space="preserve">10. Что добавить для «текст → изображение»? Ревизию весов, точный запрос, seed, размер, шаги, guidance scale, scheduler, устройство, dtype, версии библиотек и настройки детерминизма.</w:t>
      </w:r>
    </w:p>
    <w:p>
      <w:pPr>
        <w:pStyle w:val="Heading1"/>
      </w:pPr>
      <w:r>
        <w:t xml:space="preserve">Приложение Б. Самопроверка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Требование</w:t>
            </w:r>
          </w:p>
        </w:tc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Проверка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Вариант и единственный фактор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27; меняется только cell: 2→4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Гипотеза и порог до новых запусков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Протокол и исходная запись сверены с e73126a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Полный протокол seed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101,101,1101,101; четыре сравнения выполнены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Четыре метрики и выборочное s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Пересчитаны по данным каждого seed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Вывод по каждой метрике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Совпадает с правилом |Δ|&gt;2s_base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Изображения и равномерность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Один seed, один масштаб; проверка 16 участков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Среда, код, команды, паспорт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Версии, SHA-256 и файлы приложены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Дополнительные серии и демо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n=20,50 и вариант 1 проверены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Часть Б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Скрипт, вывод Julia и четыре снимка приложены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Оформление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Отчёт DOCX, паспорт PDF; осталось заполнить титульный лист</w:t>
            </w:r>
          </w:p>
        </w:tc>
      </w:tr>
    </w:tbl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u-RU"/>
      </w:rPr>
    </w:rPrDefault>
    <w:pPrDefault>
      <w:pPr>
        <w:spacing w:after="120" w:line="360" w:lineRule="auto"/>
      </w:pPr>
    </w:pPrDefault>
  </w:docDefaults>
  <w:style w:type="paragraph" w:styleId="Normal">
    <w:name w:val="Normal"/>
    <w:pPr>
      <w:spacing w:before="180" w:after="120"/>
    </w:pPr>
    <w:rPr>
      <w:sz w:val="24"/>
    </w:rPr>
  </w:style>
  <w:style w:type="paragraph" w:styleId="Title">
    <w:name w:val="Title"/>
    <w:pPr>
      <w:spacing w:before="180" w:after="120"/>
    </w:pPr>
    <w:rPr>
      <w:sz w:val="36"/>
      <w:b/>
    </w:rPr>
  </w:style>
  <w:style w:type="paragraph" w:styleId="Heading1">
    <w:name w:val="Heading1"/>
    <w:pPr>
      <w:spacing w:before="180" w:after="120"/>
      <w:keepNext/>
    </w:pPr>
    <w:rPr>
      <w:sz w:val="30"/>
      <w:b/>
    </w:rPr>
  </w:style>
  <w:style w:type="paragraph" w:styleId="Heading2">
    <w:name w:val="Heading2"/>
    <w:pPr>
      <w:spacing w:before="180" w:after="120"/>
      <w:keepNext/>
    </w:pPr>
    <w:rPr>
      <w:sz w:val="26"/>
      <w:b/>
    </w:rPr>
  </w:style>
  <w:style w:type="paragraph" w:styleId="Code">
    <w:name w:val="Code"/>
    <w:pPr>
      <w:spacing w:after="100" w:line="240" w:lineRule="auto"/>
    </w:pPr>
    <w:rPr>
      <w:sz w:val="18"/>
    </w:rPr>
  </w:style>
  <w:style w:type="paragraph" w:styleId="TableText">
    <w:name w:val="TableText"/>
    <w:pPr>
      <w:spacing w:after="100" w:line="240" w:lineRule="auto"/>
    </w:pPr>
    <w:rPr>
      <w:sz w:val="18"/>
    </w:rPr>
  </w:style>
  <w:style w:type="paragraph" w:styleId="Caption">
    <w:name w:val="Caption"/>
    <w:pPr>
      <w:spacing w:after="100" w:line="240" w:lineRule="auto"/>
    </w:pPr>
    <w:rPr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image3" Type="http://schemas.openxmlformats.org/officeDocument/2006/relationships/image" Target="media/image3.png"/><Relationship Id="image4" Type="http://schemas.openxmlformats.org/officeDocument/2006/relationships/image" Target="media/image4.png"/><Relationship Id="image5" Type="http://schemas.openxmlformats.org/officeDocument/2006/relationships/image" Target="media/image5.png"/></Relationships>
</file>