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b/>
          <w:bCs/>
          <w:color w:val="1F3864"/>
          <w:sz w:val="56"/>
          <w:szCs w:val="56"/>
        </w:rPr>
        <w:t xml:space="preserve">POS Gostinstvo</w:t>
      </w:r>
    </w:p>
    <w:p>
      <w:pPr>
        <w:spacing w:after="120" w:before="0"/>
        <w:jc w:val="center"/>
      </w:pPr>
      <w:r>
        <w:rPr>
          <w:color w:val="2E4F8A"/>
          <w:sz w:val="36"/>
          <w:szCs w:val="36"/>
        </w:rPr>
        <w:t xml:space="preserve">Uporabniški priročnik</w:t>
      </w:r>
    </w:p>
    <w:p>
      <w:pPr>
        <w:spacing w:after="300" w:before="0"/>
        <w:jc w:val="center"/>
      </w:pPr>
      <w:r>
        <w:rPr>
          <w:i/>
          <w:iCs/>
          <w:color w:val="4A70B5"/>
          <w:sz w:val="26"/>
          <w:szCs w:val="26"/>
        </w:rPr>
        <w:t xml:space="preserve">del sistema BOOKIE ERP</w:t>
      </w:r>
    </w:p>
    <w:p>
      <w:pPr>
        <w:spacing w:after="80" w:before="0"/>
        <w:jc w:val="center"/>
      </w:pPr>
      <w:r>
        <w:rPr>
          <w:color w:val="888888"/>
          <w:sz w:val="22"/>
          <w:szCs w:val="22"/>
        </w:rPr>
        <w:t xml:space="preserve">Različica 2.1  •  Julij 2026</w:t>
      </w:r>
    </w:p>
    <w:p>
      <w:pPr>
        <w:spacing w:after="600" w:before="0"/>
        <w:jc w:val="center"/>
      </w:pPr>
      <w:r>
        <w:rPr>
          <w:i/>
          <w:iCs/>
          <w:color w:val="555555"/>
          <w:sz w:val="20"/>
          <w:szCs w:val="20"/>
        </w:rPr>
        <w:t xml:space="preserve">Namenjeno upravljavcem in strežnemu osebju restavracij, gostiln, kavarn in lokali s hitro prehrano.</w:t>
      </w:r>
    </w:p>
    <w:p>
      <w:pPr>
        <w:pBdr>
          <w:top w:val="single" w:color="2E4F8A" w:sz="6" w:space="8"/>
        </w:pBdr>
        <w:spacing w:after="0" w:before="0"/>
      </w:pPr>
    </w:p>
    <w:p>
      <w:pPr>
        <w:spacing w:after="40" w:before="40"/>
      </w:pPr>
    </w:p>
    <w:p>
      <w:pPr>
        <w:spacing w:after="40" w:before="0"/>
        <w:jc w:val="center"/>
      </w:pPr>
      <w:r>
        <w:rPr>
          <w:color w:val="888888"/>
          <w:sz w:val="20"/>
          <w:szCs w:val="20"/>
        </w:rPr>
        <w:t xml:space="preserve">Pripravil in vzdržuje:</w:t>
      </w:r>
    </w:p>
    <w:p>
      <w:pPr>
        <w:spacing w:after="40" w:before="0"/>
        <w:jc w:val="center"/>
      </w:pPr>
      <w:r>
        <w:rPr>
          <w:b/>
          <w:bCs/>
          <w:color w:val="1F3864"/>
          <w:sz w:val="26"/>
          <w:szCs w:val="26"/>
        </w:rPr>
        <w:t xml:space="preserve">Mikrona d.o.o.</w:t>
      </w:r>
    </w:p>
    <w:p>
      <w:pPr>
        <w:spacing w:after="40" w:before="0"/>
        <w:jc w:val="center"/>
      </w:pPr>
      <w:r>
        <w:rPr>
          <w:color w:val="444444"/>
          <w:sz w:val="22"/>
          <w:szCs w:val="22"/>
        </w:rPr>
        <w:t xml:space="preserve">Zidani Most 32a, 1432 Zidani Most</w:t>
      </w:r>
    </w:p>
    <w:p>
      <w:pPr>
        <w:spacing w:after="600" w:before="0"/>
        <w:jc w:val="center"/>
      </w:pPr>
      <w:r>
        <w:rPr>
          <w:color w:val="888888"/>
          <w:sz w:val="20"/>
          <w:szCs w:val="20"/>
        </w:rPr>
        <w:t xml:space="preserve">Slovenija</w:t>
      </w:r>
    </w:p>
    <w:p>
      <w:pPr>
        <w:pBdr>
          <w:bottom w:val="single" w:color="2E4F8A" w:sz="6" w:space="8"/>
        </w:pBdr>
        <w:spacing w:after="0" w:before="0"/>
      </w:pPr>
    </w:p>
    <w:p>
      <w:pPr>
        <w:spacing w:after="40" w:before="40"/>
      </w:pPr>
    </w:p>
    <w:p>
      <w:pPr>
        <w:spacing w:after="40" w:before="40"/>
      </w:pPr>
    </w:p>
    <w:p>
      <w:pPr>
        <w:pStyle w:val="Heading1"/>
        <w:spacing w:after="120" w:before="480"/>
      </w:pPr>
      <w:r>
        <w:t xml:space="preserve">1. Uvod</w:t>
      </w:r>
    </w:p>
    <w:p>
      <w:pPr>
        <w:spacing w:after="60" w:before="60"/>
      </w:pPr>
      <w:r>
        <w:rPr>
          <w:sz w:val="22"/>
          <w:szCs w:val="22"/>
        </w:rPr>
        <w:t xml:space="preserve">POS Gostinstvo je blagajniška rešitev za gostinska podjetja, ki deluje v spletnem brskalniku na tablicah, prenosnikih ali namiznih računalnikih. Program je del sistema BOOKIE ERP in je neposredno povezan z modulom za davčno potrjevanje (FURS), terminalskimi plačili ter z ERP-modulom za samodejno knjiženje dnevnega prometa.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Sistem razvija in vzdržuje Mikrona d.o.o., Zidani Most 32a, 1432 Zidani Most. Za tehnično podporo se obrnite na skrbnika sistema.</w:t>
      </w:r>
    </w:p>
    <w:p>
      <w:pPr>
        <w:pStyle w:val="Heading2"/>
        <w:spacing w:after="80" w:before="320"/>
      </w:pPr>
      <w:r>
        <w:t xml:space="preserve">1.1 Tehnične zahteve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Naprava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Tablica, prenosnik ali namizni računalnik (priporočena ločljivost 1280 × 800 ali več).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Brskalnik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Google Chrome 115+, Microsoft Edge 115+ ali Safari 16+.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Internetna povezava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Stabilna brezžična (Wi-Fi) ali žična (LAN) povezava. Program brez interneta ne deluje.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Tiskalnik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Termalni tiskalnik (USB, Bluetooth, IP, Windows-agent, Sunmi ali ZCS).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Plačilni terminal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Payten, SumUp ali Viva Wallet (neobvezno).</w:t>
            </w:r>
          </w:p>
        </w:tc>
      </w:tr>
    </w:tbl>
    <w:p>
      <w:pPr>
        <w:pStyle w:val="Heading2"/>
        <w:spacing w:after="80" w:before="320"/>
      </w:pPr>
      <w:r>
        <w:t xml:space="preserve">1.2 Vloge uporabnikov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Vloga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Superadmin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Dostop do vseh podjetij in vseh nastavitev. Rezervirano za sistemskega skrbnika.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Admin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Polni dostop znotraj lastnega podjetja: nastavitve, meni, uporabniki in poročila.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Admin enote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Dostop omejen na eno poslovno enoto (npr. en lokal v verigi).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Uporabnik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Strežnik ali blagajnik: sprejemanje naročil, blagajna, pregled lastnih izmen.</w:t>
            </w:r>
          </w:p>
        </w:tc>
      </w:tr>
    </w:tbl>
    <w:p>
      <w:pPr>
        <w:pStyle w:val="Heading1"/>
        <w:spacing w:after="120" w:before="480"/>
      </w:pPr>
      <w:r>
        <w:t xml:space="preserve">2. Nastavitve na ravni podjetja</w:t>
      </w:r>
    </w:p>
    <w:p>
      <w:pPr>
        <w:spacing w:after="60" w:before="60"/>
      </w:pPr>
      <w:r>
        <w:rPr>
          <w:sz w:val="22"/>
          <w:szCs w:val="22"/>
        </w:rPr>
        <w:t xml:space="preserve">Razdelek Nastavitve je dostopen samo skrbnikom z vlogo Admin ali Superadmin. Nastavitve, opisane v tem poglavju, so shranjene na ravni podjetja in veljajo za vse poslovne enote v sistemu BOOKIE ERP.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Spremembe v tem razdelku vplivajo na vse blagajne in vse poslovne enote. Pred vsako spremembo se posvetujte z računovodjo ali skrbnikom sistema.</w:t>
      </w:r>
    </w:p>
    <w:p>
      <w:pPr>
        <w:pStyle w:val="Heading2"/>
        <w:spacing w:after="80" w:before="320"/>
      </w:pPr>
      <w:r>
        <w:t xml:space="preserve">2.1 Podatki za FURS in račune</w:t>
      </w:r>
    </w:p>
    <w:p>
      <w:pPr>
        <w:spacing w:after="60" w:before="60"/>
      </w:pPr>
      <w:r>
        <w:rPr>
          <w:sz w:val="22"/>
          <w:szCs w:val="22"/>
        </w:rPr>
        <w:t xml:space="preserve">To je osrednja kartica z vsemi podatki, ki se vpišejo v vsak fiskalni račun in se posredujejo FURS-u ob potrditvi. Dostopna je prek Nastavitve → »Podatki za FURS in račune«.</w:t>
      </w:r>
    </w:p>
    <w:p>
      <w:pPr>
        <w:pStyle w:val="Heading3"/>
        <w:spacing w:after="60" w:before="200"/>
      </w:pPr>
      <w:r>
        <w:t xml:space="preserve">2.1.1 Identifikacija podjetja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Primer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 podjetja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Polni naziv, ki se natisne na računu in posreduje FURS-u.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Restavracija pri Janezu d.o.o.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 in hišna številka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 sedeža podjetja.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Slovenska cesta 1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Poštna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Štirimestna slovenska poštna številka.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1000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 sedeža.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Ljubljana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Osmestna davčna številka brez predpone SI. Obvezno polje.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12345678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za DDV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Samo za zavezance za DDV — vključuje predpono SI (npr. SI12345678). Pustite prazno, če niste zavezanec.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SI12345678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 ponudnika programske opreme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 razvijalca oz. vzdrževalca POS-sistema (SoftwareSupplierTaxNumber za FURS). Če je prazno, se uporabi davčna številka podjetja.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87654321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Davčna številka je osmestna in se vpiše brez predpone SI. ID za DDV je ločeno polje ter vključuje predpono SI (npr. SI12345678).</w:t>
      </w:r>
    </w:p>
    <w:p>
      <w:pPr>
        <w:pStyle w:val="Heading3"/>
        <w:spacing w:after="60" w:before="200"/>
      </w:pPr>
      <w:r>
        <w:t xml:space="preserve">2.1.2 Način pošiljanja FURS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Način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Strežnik FURS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Kdaj uporabiti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Simulacija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Brez komunikacije s FURS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Razvoj, učenje, preizkušanje blagajne brez certifikata.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Testni strežnik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blagajne-test.fu.gov.si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Testiranje z veljavnim certifikatom pred prehodom v produkcijo.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Produkcija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blagajne.fu.gov.si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Redno poslovanje — zahteva produkcijski certifikat FURS.</w:t>
            </w:r>
          </w:p>
        </w:tc>
      </w:tr>
    </w:tbl>
    <w:p>
      <w:pPr>
        <w:shd w:fill="FEF2F2" w:val="clear"/>
        <w:spacing w:after="60" w:before="60"/>
        <w:ind w:left="360"/>
      </w:pPr>
      <w:r>
        <w:rPr>
          <w:b/>
          <w:bCs/>
          <w:sz w:val="20"/>
          <w:szCs w:val="20"/>
        </w:rPr>
        <w:t xml:space="preserve">🔴  Ko preklopite na »Produkcija«, so vsi računi davčno veljavni in nepreklicni. Tega ne storite brez vednosti računovodje.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FURS Proxy URL: če strežnik deluje v oblaku z zunanjim (neslovenskim) IP-naslovom, FURS WAF blokira neposredne zahteve. Vnesite URL slovenskega posredniškega strežnika. Pri lokalnih namestitvah pustite prazno.</w:t>
      </w:r>
    </w:p>
    <w:p>
      <w:pPr>
        <w:pStyle w:val="Heading3"/>
        <w:spacing w:after="60" w:before="200"/>
      </w:pPr>
      <w:r>
        <w:t xml:space="preserve">2.1.3 Pozdrav na računu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Privzeta vrednost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Prva vrstica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Hvala za obisk!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Druga vrstica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Vračamo se — se vidimo.</w:t>
            </w:r>
          </w:p>
        </w:tc>
      </w:tr>
    </w:tbl>
    <w:p>
      <w:pPr>
        <w:pStyle w:val="Heading3"/>
        <w:spacing w:after="60" w:before="200"/>
      </w:pPr>
      <w:r>
        <w:t xml:space="preserve">2.1.4 Negotovinsko plačilo — TRR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IBAN prodajalca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Številka transakcijskega računa v obliki SI56 XXXX XXXX XXXX XXX.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BIC/SWIFT koda banke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banke, npr. LJBASI2X za NLB ali BSLJSI2X za UJP-podračune.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Če ima podjetje več transakcijskih računov, se pojavi spustni seznam za izbiro privzetega računa.</w:t>
      </w:r>
    </w:p>
    <w:p>
      <w:pPr>
        <w:pStyle w:val="Heading3"/>
        <w:spacing w:after="60" w:before="200"/>
      </w:pPr>
      <w:r>
        <w:t xml:space="preserve">2.1.5 Zakonski podatki v nogi računa (ZGD-1)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Primer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Matična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Desmestna matična številka iz poslovnega registra.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1234567000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Sodišče vpisa in vložek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Registrsko sodišče in vložna številka.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Okrožno sodišče v LJ, reg. vl. 12345/2020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Osnovni kapital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Višina in stanje vplačila.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Osnovni kapital 7.500,00 EUR, vplačan v celoti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Samostojni podjetniki (s. p.) in fizične osebe teh polj ne izpolnjujejo.</w:t>
      </w:r>
    </w:p>
    <w:p>
      <w:pPr>
        <w:pStyle w:val="Heading3"/>
        <w:spacing w:after="60" w:before="200"/>
      </w:pPr>
      <w:r>
        <w:t xml:space="preserve">2.1.6 Klavzula za DDV in pravna opomba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Kdaj izpolniti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Besedilo klavzule za DDV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Mali zavezanci (94. člen ZDDV-1), obrnjeno davčno breme.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Pravna opomba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 želi podjetje navesti posebne pravne pogoje plačila.</w:t>
            </w:r>
          </w:p>
        </w:tc>
      </w:tr>
    </w:tbl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Primer klavzule za male zavezance: »DDV ni obračunan na podlagi prvega odstavka 94. člena ZDDV-1.«</w:t>
      </w:r>
    </w:p>
    <w:p>
      <w:pPr>
        <w:pStyle w:val="Heading2"/>
        <w:spacing w:after="80" w:before="320"/>
      </w:pPr>
      <w:r>
        <w:t xml:space="preserve">2.2 Digitalni certifikat FURS</w:t>
      </w:r>
    </w:p>
    <w:p>
      <w:pPr>
        <w:spacing w:after="60" w:before="60"/>
      </w:pPr>
      <w:r>
        <w:rPr>
          <w:sz w:val="22"/>
          <w:szCs w:val="22"/>
        </w:rPr>
        <w:t xml:space="preserve">Certifikat je kriptografski ključ, s katerim BOOKIE ERP digitalno podpisuje vsak fiskalni račun in vsako registracijsko sporočilo pred pošiljanjem na FURS. Brez veljavnega certifikata so računi samo simulirani.</w:t>
      </w:r>
    </w:p>
    <w:p>
      <w:pPr>
        <w:pStyle w:val="Heading3"/>
        <w:spacing w:after="60" w:before="200"/>
      </w:pPr>
      <w:r>
        <w:t xml:space="preserve">2.2.1 Pridobitev certifikata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Prijavite se na portal eDavki (edavki.fu.gov.si).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Poiščite obrazec za registracijo poslovnih prostorov in blagajn.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Oddajte zahtevek za digitalno potrdilo.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FURS vam pošlje datoteko s končnico .p12 (ali .pfx) in geslo za njeno odpiranje.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Testni certifikat deluje samo na testnem strežniku. Produkcijski certifikat deluje samo na produkcijskem strežniku.</w:t>
      </w:r>
    </w:p>
    <w:p>
      <w:pPr>
        <w:pStyle w:val="Heading3"/>
        <w:spacing w:after="60" w:before="200"/>
      </w:pPr>
      <w:r>
        <w:t xml:space="preserve">2.2.2 Nalaganje certifikata</w:t>
      </w:r>
    </w:p>
    <w:p>
      <w:pPr>
        <w:spacing w:after="60" w:before="60"/>
      </w:pPr>
      <w:r>
        <w:rPr>
          <w:sz w:val="22"/>
          <w:szCs w:val="22"/>
        </w:rPr>
        <w:t xml:space="preserve">Nastavitve → »Digitalni certifikat FURS«: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Pomen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🟢 Certifikat je naložen in aktiven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Sistem je pripravljen za podpisovanje fiskalnih računov.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🟠 Certifikat poteče čez N dni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Certifikat kmalu poteče — pravočasno pridobite novega.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🔴 Certifikat ni naložen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Računi bodo simulirani — brez zakonske vrednosti.</w:t>
            </w:r>
          </w:p>
        </w:tc>
      </w:tr>
    </w:tbl>
    <w:p>
      <w:pPr>
        <w:spacing w:after="40" w:before="40"/>
      </w:pP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»Izberi datoteko« in izberite datoteko .p12 ali .pfx.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Vnesite geslo certifikata.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»Naloži in pretvori certifikat«.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Program pretvori certifikat v obliko PEM in ga shrani v podatkovno bazo (trajno shranjevanje, certifikat ostane aktiven po ponovnem zagonu).</w:t>
      </w:r>
    </w:p>
    <w:p>
      <w:pPr>
        <w:shd w:fill="FEF2F2" w:val="clear"/>
        <w:spacing w:after="60" w:before="60"/>
        <w:ind w:left="360"/>
      </w:pPr>
      <w:r>
        <w:rPr>
          <w:b/>
          <w:bCs/>
          <w:sz w:val="20"/>
          <w:szCs w:val="20"/>
        </w:rPr>
        <w:t xml:space="preserve">🔴  Certifikat velja za celotno podjetje (vse enote). Ne nalagajte testnega certifikata na produkcijsko okolje in obratno.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Nastavite si opomnik 30 dni pred iztekom certifikata. Brez veljavnega certifikata fiskalizacija ni mogoča.</w:t>
      </w:r>
    </w:p>
    <w:p>
      <w:pPr>
        <w:pStyle w:val="Heading2"/>
        <w:spacing w:after="80" w:before="320"/>
      </w:pPr>
      <w:r>
        <w:t xml:space="preserve">2.3 Poslovni prostori (registracija pri FURS)</w:t>
      </w:r>
    </w:p>
    <w:p>
      <w:pPr>
        <w:spacing w:after="60" w:before="60"/>
      </w:pPr>
      <w:r>
        <w:rPr>
          <w:sz w:val="22"/>
          <w:szCs w:val="22"/>
        </w:rPr>
        <w:t xml:space="preserve">Vsak prostor, v katerem izdajate račune, mora biti registriran pri FURS. BOOKIE ERP to opravi neposredno — brez ročnih obrazcev.</w:t>
      </w:r>
    </w:p>
    <w:p>
      <w:pPr>
        <w:pStyle w:val="Heading3"/>
        <w:spacing w:after="60" w:before="200"/>
      </w:pPr>
      <w:r>
        <w:t xml:space="preserve">2.3.1 Statusi prostora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Registriran (zeleno)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Prostor je aktiven za izdajanje fiskalnih računov.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Ni registriran (oranžno)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Prostor je dodan, a registracija pri FURS še ni bila izvedena.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Zaprt (sivo)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Prostor je pri FURS označen kot zaprt — ne more sprejemati novih računov.</w:t>
            </w:r>
          </w:p>
        </w:tc>
      </w:tr>
    </w:tbl>
    <w:p>
      <w:pPr>
        <w:pStyle w:val="Heading3"/>
        <w:spacing w:after="60" w:before="200"/>
      </w:pPr>
      <w:r>
        <w:t xml:space="preserve">2.3.2 Dodajanje poslovnega prostora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Primer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prostora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Edinstvena koda. Po shranjevanju je ni mogoče spremeniti.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PP001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Opisno ime (neobvezno).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Restavracija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Tip prostora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Nepremičnina (stalni lokal) ali premičnina (kiosk, vozilo).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Nepremičnina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Enota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Poslovna enota v verigi (kadar je relevantno).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Enota 1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Za nepremičnine — naslov: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Ulica, hišna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Naslov lokala.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Poštna številka, kraj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Kraj lokala.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Skupnost (občina)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Pogosto enako kot kraj — preverite pri FURS.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Katastrski podatki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Katastrska občina (K. O.), stavba, del stavbe. Vpisati je treba vse tri ali nobenega — vmesnih kombinacij FURS ne sprejema. Podatke najdete v zemljiški knjigi ali na portalu GURS.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Za premičnine: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Registrska tablica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Tablica vozila (prednost pred VIN-številko).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VIN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Identifikacijska številka vozila (17 znakov).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Tip premičnine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= vozilo, B = kiosk/stojnica, C = elektronska naprava (tablica/računalnik — tipično za POS).</w:t>
            </w:r>
          </w:p>
        </w:tc>
      </w:tr>
    </w:tbl>
    <w:p>
      <w:pPr>
        <w:pStyle w:val="Heading3"/>
        <w:spacing w:after="60" w:before="200"/>
      </w:pPr>
      <w:r>
        <w:t xml:space="preserve">2.3.3 Registracija prostora pri FURS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V tabeli poslovnih prostorov kliknite »Registriraj« pri želenem prostoru.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Preglejte potrditveni dialog (ID prostora, davčna številka).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»Pošlji registracijo na FURS«.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Po uspešni registraciji se status obarva zeleno.</w:t>
      </w:r>
    </w:p>
    <w:p>
      <w:pPr>
        <w:shd w:fill="FEF2F2" w:val="clear"/>
        <w:spacing w:after="60" w:before="60"/>
        <w:ind w:left="360"/>
      </w:pPr>
      <w:r>
        <w:rPr>
          <w:b/>
          <w:bCs/>
          <w:sz w:val="20"/>
          <w:szCs w:val="20"/>
        </w:rPr>
        <w:t xml:space="preserve">🔴  Registracija zahteva naložen produkcijski certifikat in način FURS = »Produkcija«. V testnem načinu se sporočilo pošlje na testni strežnik FURS.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Zaprtega poslovnega prostora ni mogoče znova odpreti. Za ponovni zagon ustvarite nov vnos z novim ID-jem.</w:t>
      </w:r>
    </w:p>
    <w:p>
      <w:pPr>
        <w:pStyle w:val="Heading2"/>
        <w:spacing w:after="80" w:before="320"/>
      </w:pPr>
      <w:r>
        <w:t xml:space="preserve">2.4 Blagajne (identifikatorji FURS)</w:t>
      </w:r>
    </w:p>
    <w:p>
      <w:pPr>
        <w:spacing w:after="60" w:before="60"/>
      </w:pPr>
      <w:r>
        <w:rPr>
          <w:sz w:val="22"/>
          <w:szCs w:val="22"/>
        </w:rPr>
        <w:t xml:space="preserve">Vsaka blagajna ima edinstveno kombinacijo ID poslovnega prostora (PP) in ID elektronske naprave (B), ki sta registrirani pri FURS. Vsaka kombinacija PP + B vzdržuje lastno zaporedje številk računov.</w:t>
      </w:r>
    </w:p>
    <w:p>
      <w:pPr>
        <w:pStyle w:val="Heading3"/>
        <w:spacing w:after="60" w:before="200"/>
      </w:pPr>
      <w:r>
        <w:t xml:space="preserve">2.4.1 Dodajanje blagajne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Primer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 blagajne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Opisno ime — ni del fiskalizacije.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Blagajna 1, Bar, Terasa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Enota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Poslovna enota v verigi.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Enota 1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poslovnega prostora (PP)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Mora biti enak ID-ju iz kartice »Poslovni prostori«.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PP001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elektronske naprave (B)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Koda naprave, kot je registrirana pri FURS.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B001</w:t>
            </w:r>
          </w:p>
        </w:tc>
      </w:tr>
    </w:tbl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Nikoli ne zamenjajte PP ID ali B ID blagajne, ki je že izdajala račune — s tem se pokvari zaporedje številk, kar je kršitev davčne zakonodaje.</w:t>
      </w:r>
    </w:p>
    <w:p>
      <w:pPr>
        <w:pStyle w:val="Heading3"/>
        <w:spacing w:after="60" w:before="200"/>
      </w:pPr>
      <w:r>
        <w:t xml:space="preserve">2.4.2 Upravljanje blagajn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Dejanje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Uredi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Spremenite naziv, enoto, PP/B ID ali stanje aktivnosti.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Aktivna / Neaktivna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Neaktivne blagajne se ne prikažejo pri prijavi.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Izbriši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 brišite blagajn, ki so že izdajale račune.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V zgornjem levem kotu blagajniškega vmesnika je meni za izbiro aktivne blagajne — vsak blagajnik jo izbere pred začetkom izmene.</w:t>
      </w:r>
    </w:p>
    <w:p>
      <w:pPr>
        <w:pStyle w:val="Heading1"/>
        <w:spacing w:after="120" w:before="480"/>
      </w:pPr>
      <w:r>
        <w:t xml:space="preserve">3. Šifrant poslovnih partnerjev</w:t>
      </w:r>
    </w:p>
    <w:p>
      <w:pPr>
        <w:spacing w:after="60" w:before="60"/>
      </w:pPr>
      <w:r>
        <w:rPr>
          <w:sz w:val="22"/>
          <w:szCs w:val="22"/>
        </w:rPr>
        <w:t xml:space="preserve">Šifrant partnerjev je zbirka poslovnih strank za izdajanje računov podjetjem in samostojnim podjetnikom. V sistemu BOOKIE ERP je dostopen v meniju »Partnerji«.</w:t>
      </w:r>
    </w:p>
    <w:p>
      <w:pPr>
        <w:pStyle w:val="Heading2"/>
        <w:spacing w:after="80" w:before="320"/>
      </w:pPr>
      <w:r>
        <w:t xml:space="preserve">3.1 Vrste partnerjev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Oznaka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Vrsta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Občan (siva)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Fizična oseba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Končni potrošnik brez poslovnega statusa.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S. p. (modra)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Samostojni podjetnik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Poslovni subjekt — davčna številka.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Podjetje (vijolična)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Gospodarska družba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d. o. o., d. d. — davčna in matična številka.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Kmet (zelena)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Kmetijsko gospodarstvo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KMG-MID številka.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Javni sektor (svetlo modra)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Javna ustanova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Šole, vrtci, občine, zavodi.</w:t>
            </w:r>
          </w:p>
        </w:tc>
      </w:tr>
    </w:tbl>
    <w:p>
      <w:pPr>
        <w:pStyle w:val="Heading2"/>
        <w:spacing w:after="80" w:before="320"/>
      </w:pPr>
      <w:r>
        <w:t xml:space="preserve">3.2 Dodajanje partnerja</w:t>
      </w:r>
    </w:p>
    <w:p>
      <w:pPr>
        <w:pStyle w:val="Heading3"/>
        <w:spacing w:after="60" w:before="200"/>
      </w:pPr>
      <w:r>
        <w:t xml:space="preserve">3.2.1 Hitri vnos z davčno številko (priporočeno)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»+ Dodaj partnerja«.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Vnesite osmestno davčno številko.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BOOKIE ERP samodejno poišče podatke iz slovenskega poslovnega registra (AJPES).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Preverite vnaprej izpolnjene podatke in kliknite »Shrani«.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Samodejno iskanje se sproži po vnosu vseh 8 mestnih cifer — brez klika dodatnega gumba.</w:t>
      </w:r>
    </w:p>
    <w:p>
      <w:pPr>
        <w:pStyle w:val="Heading3"/>
        <w:spacing w:after="60" w:before="200"/>
      </w:pPr>
      <w:r>
        <w:t xml:space="preserve">3.2.2 Ročni vnos — vsa polja</w:t>
      </w:r>
    </w:p>
    <w:p>
      <w:pPr>
        <w:spacing w:after="40" w:before="80"/>
      </w:pPr>
      <w:r>
        <w:rPr>
          <w:b/>
          <w:bCs/>
          <w:sz w:val="22"/>
          <w:szCs w:val="22"/>
        </w:rPr>
        <w:t xml:space="preserve">Osnova: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Obvezno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Polni uradni naziv.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Kratki naziv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Vzdevek za lažje iskanje.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Vrsta partnerja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Samodejno zaznana iz naziva; možna ročna popravka.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Ulica, poštna številka, kraj, država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Naslov sedeža.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Davčni podatki: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Osmestna, brez predpone SI.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Zavezanec za DDV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Kljukica — ali partner odbija DDV.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ID za DDV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 + 8 mestnih cifer — samo pri zavezancih.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Matična številka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Desmestna iz poslovnega registra.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KMG-MID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Samo za kmetijska gospodarstva.</w:t>
            </w:r>
          </w:p>
        </w:tc>
      </w:tr>
    </w:tbl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Transakcijski račun (TRR):</w:t>
      </w:r>
    </w:p>
    <w:p>
      <w:pPr>
        <w:spacing w:after="60" w:before="60"/>
      </w:pPr>
      <w:r>
        <w:rPr>
          <w:sz w:val="22"/>
          <w:szCs w:val="22"/>
        </w:rPr>
        <w:t xml:space="preserve">Kliknite »+ Dodaj TRR« za vsak račun partnerja. Za UJP-podračune (SI5601 …) program samodejno vpiše BIC BSLJSI2X.</w:t>
      </w:r>
    </w:p>
    <w:p>
      <w:pPr>
        <w:spacing w:after="40" w:before="40"/>
      </w:pPr>
    </w:p>
    <w:p>
      <w:pPr>
        <w:spacing w:after="40" w:before="80"/>
      </w:pPr>
      <w:r>
        <w:rPr>
          <w:b/>
          <w:bCs/>
          <w:sz w:val="22"/>
          <w:szCs w:val="22"/>
        </w:rPr>
        <w:t xml:space="preserve">e-Račun: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Polje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Prejemnik e-računa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Ali partner sprejema e-račune.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Omrežje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UJPnet (javni sektor), Peppol (Evropa) …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E-poštni naslov, naslov, šifra PU, BIC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Podatki za dostavo e-računa.</w:t>
            </w:r>
          </w:p>
        </w:tc>
      </w:tr>
    </w:tbl>
    <w:p>
      <w:pPr>
        <w:pStyle w:val="Heading2"/>
        <w:spacing w:after="80" w:before="320"/>
      </w:pPr>
      <w:r>
        <w:t xml:space="preserve">3.3 Urejanje in osveževanje</w:t>
      </w:r>
    </w:p>
    <w:p>
      <w:pPr>
        <w:spacing w:after="60" w:before="60"/>
      </w:pPr>
      <w:r>
        <w:rPr>
          <w:sz w:val="22"/>
          <w:szCs w:val="22"/>
        </w:rPr>
        <w:t xml:space="preserve">Ikona svinčnika odpre obrazec za urejanje. Ikona s krožno puščico samodejno osveži podatke iz registra AJPES — brez odpiranja obrazca.</w:t>
      </w:r>
    </w:p>
    <w:p>
      <w:pPr>
        <w:pStyle w:val="Heading2"/>
        <w:spacing w:after="80" w:before="320"/>
      </w:pPr>
      <w:r>
        <w:t xml:space="preserve">3.4 Partnerski cenik</w:t>
      </w:r>
    </w:p>
    <w:p>
      <w:pPr>
        <w:spacing w:after="60" w:before="60"/>
      </w:pPr>
      <w:r>
        <w:rPr>
          <w:sz w:val="22"/>
          <w:szCs w:val="22"/>
        </w:rPr>
        <w:t xml:space="preserve">V obrazcu za partnerja je razdelek »Partnerski cenik«. Dodajte artikel in individualno ceno — ob zaračunavanju se znesek skupaj samodejno preračuna po partnerskih cenah.</w:t>
      </w:r>
    </w:p>
    <w:p>
      <w:pPr>
        <w:pStyle w:val="Heading1"/>
        <w:spacing w:after="120" w:before="480"/>
      </w:pPr>
      <w:r>
        <w:t xml:space="preserve">4. Zaključek računa</w:t>
      </w:r>
    </w:p>
    <w:p>
      <w:pPr>
        <w:spacing w:after="60" w:before="60"/>
      </w:pPr>
      <w:r>
        <w:rPr>
          <w:sz w:val="22"/>
          <w:szCs w:val="22"/>
        </w:rPr>
        <w:t xml:space="preserve">Zaslon »Zaračunaj« je osrednji vmesnik za plačilo. Dostopate do njega prek gumba »Zaračunaj« v meniju ali neposredno iz naročila.</w:t>
      </w:r>
    </w:p>
    <w:p>
      <w:pPr>
        <w:pStyle w:val="Heading2"/>
        <w:spacing w:after="80" w:before="320"/>
      </w:pPr>
      <w:r>
        <w:t xml:space="preserve">4.1 Izbira naročila in natakarja</w:t>
      </w:r>
    </w:p>
    <w:p>
      <w:pPr>
        <w:spacing w:after="60" w:before="60"/>
      </w:pPr>
      <w:r>
        <w:rPr>
          <w:sz w:val="22"/>
          <w:szCs w:val="22"/>
        </w:rPr>
        <w:t xml:space="preserve">V levem delu zaslona izberite naročilo, v desnem pa natakarja (prikazani so samo natakari z odprto izmeno).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Program si zapomni zadnjega izbranega natakarja. Ko ima naročilo več gostov, se samodejno aktivira razdelitev računa.</w:t>
      </w:r>
    </w:p>
    <w:p>
      <w:pPr>
        <w:pStyle w:val="Heading2"/>
        <w:spacing w:after="80" w:before="320"/>
      </w:pPr>
      <w:r>
        <w:t xml:space="preserve">4.2 Načini plačila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Način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Gotovina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Vnesite prejeti znesek — program izračuna vračilo.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Kartica (ročno)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Evidentira kartično plačilo brez terminalske potrditve.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Payten (TCP/IP)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Samodejni prenos na terminal Payten v lokalnem omrežju (LAN).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Payten Android APK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Odpre aplikacijo Payten na tablicah Android.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SumUp Business Terminal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Terminal SumUp; podpira plačilo prek QR-kode.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Cloud Terminal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Terminal Viva prek oblačnega vmesnika API.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Android Terminal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Aplikacija Viva za tablice Android.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Tap to Pay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SoftPOS — gost prisloni kartico na telefon z NFC.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Viva Smart Checkout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Gosta preusmeri na plačilno stran Viva.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Bon za pico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Promocijsko plačilo — pokrije ceno označenih pic.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Darilni bon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Vrednostni bon z določeno denarno vrednostjo.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Nakazilo (TRR)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Plačilo podjetja z bančnim nakazilom.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Reprezentanca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Brezplačna postrežba za reprezentančne namene.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Lastna poraba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Brezplačna postrežba za lastno porabo.</w:t>
            </w:r>
          </w:p>
        </w:tc>
      </w:tr>
    </w:tbl>
    <w:p>
      <w:pPr>
        <w:pStyle w:val="Heading3"/>
        <w:spacing w:after="60" w:before="200"/>
      </w:pPr>
      <w:r>
        <w:t xml:space="preserve">4.2.1 Plačilo z gotovino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Izberite »Gotovina« in vnesite prejeti znesek.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Program izračuna vračilo.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»Zaključi in natisni račun«.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Hitri gumbi za okrogle zneske (10 €, 20 €, 50 €) so dostopni pod vnosnim poljem.</w:t>
      </w:r>
    </w:p>
    <w:p>
      <w:pPr>
        <w:pStyle w:val="Heading3"/>
        <w:spacing w:after="60" w:before="200"/>
      </w:pPr>
      <w:r>
        <w:t xml:space="preserve">4.2.2 Plačilo s terminalem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Izberite »Kartica« in kliknite »Pošlji na terminal«.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Gost vstavi ali prisloni kartico — počakajte na potrditev.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Po potrditvi program samodejno izda in natisne račun.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Med čakanjem na odziv terminala ne klikajte »Prekliči«, razen če transakcija dejansko ni bila opravljena.</w:t>
      </w:r>
    </w:p>
    <w:p>
      <w:pPr>
        <w:pStyle w:val="Heading3"/>
        <w:spacing w:after="60" w:before="200"/>
      </w:pPr>
      <w:r>
        <w:t xml:space="preserve">4.2.3 Nakazilo na TRR (B2B)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Izberite »Nakazilo (TRR)«.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Poiščite partnerja po davčni številki ali iz šifranta.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Nastavite rok plačila (privzeto 8 dni).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Kliknite »Zaključi« — na računu bodo natisnjeni podatki transakcijskega računa prodajalca.</w:t>
      </w:r>
    </w:p>
    <w:p>
      <w:pPr>
        <w:pStyle w:val="Heading3"/>
        <w:spacing w:after="60" w:before="200"/>
      </w:pPr>
      <w:r>
        <w:t xml:space="preserve">4.2.4 Bon za pico</w:t>
      </w:r>
    </w:p>
    <w:p>
      <w:pPr>
        <w:spacing w:after="60" w:before="60"/>
      </w:pPr>
      <w:r>
        <w:rPr>
          <w:sz w:val="22"/>
          <w:szCs w:val="22"/>
        </w:rPr>
        <w:t xml:space="preserve">Ko naročilo vsebuje pice, se na vrhu zaslona prikaže razdelek za bone. Z gumboma + in − nastavite število bonov — vsak bon pokrije ceno ene pice. Preostanek plačate z izbranim načinom plačila.</w:t>
      </w:r>
    </w:p>
    <w:p>
      <w:pPr>
        <w:pStyle w:val="Heading2"/>
        <w:spacing w:after="80" w:before="320"/>
      </w:pPr>
      <w:r>
        <w:t xml:space="preserve">4.3 Razdelitev računa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Kliknite »Razdeli račun«.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Označite postavke za prvega gosta.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Zaračunajte — postopek ponavljajte za vsakega gosta.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Vsak del razdeljenega računa dobi svojo zaščitno oznako izdajatelja (ZOI) in edinstveno oznako računa (EOR) ter je samostojen davčno veljaven dokument.</w:t>
      </w:r>
    </w:p>
    <w:p>
      <w:pPr>
        <w:pStyle w:val="Heading2"/>
        <w:spacing w:after="80" w:before="320"/>
      </w:pPr>
      <w:r>
        <w:t xml:space="preserve">4.4 Fiskalizacija</w:t>
      </w:r>
    </w:p>
    <w:p>
      <w:pPr>
        <w:spacing w:after="60" w:before="60"/>
      </w:pPr>
      <w:r>
        <w:rPr>
          <w:sz w:val="22"/>
          <w:szCs w:val="22"/>
        </w:rPr>
        <w:t xml:space="preserve">Ob kliku »Zaključi in natisni račun« BOOKIE ERP izvede naslednje korake: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Izračuna zaščitno oznako izdajatelja (ZOI) z digitalnim podpisom certifikata.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Pošlje zahtevek na strežnik FURS.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Prejme edinstveno oznako računa (EOR) od FURS.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Natisne račun z ZOI, EOR in QR-kodo za preverjanje.</w:t>
      </w:r>
    </w:p>
    <w:p>
      <w:pPr>
        <w:shd w:fill="FEF2F2" w:val="clear"/>
        <w:spacing w:after="60" w:before="60"/>
        <w:ind w:left="360"/>
      </w:pPr>
      <w:r>
        <w:rPr>
          <w:b/>
          <w:bCs/>
          <w:sz w:val="20"/>
          <w:szCs w:val="20"/>
        </w:rPr>
        <w:t xml:space="preserve">🔴  Med potekom fiskalizacije ne zapirajte brskalnika in ne klikajte »Nazaj«.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Ob izpadu internetne povezave program izda račun z lokalno ZOI in ga samodejno pošlje na FURS, ko se povezava znova vzpostavi.</w:t>
      </w:r>
    </w:p>
    <w:p>
      <w:pPr>
        <w:pStyle w:val="Heading3"/>
        <w:spacing w:after="60" w:before="200"/>
      </w:pPr>
      <w:r>
        <w:t xml:space="preserve">4.4.1 Vsebina fiskalnega računa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 in naslov podjetja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Iz nastavitev BOOKIE ERP.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številka / ID za DDV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identifikacija podjetja.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Datum in ura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Slovenska ura (Ljubljana).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Zaporedna številka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Oblika: LLLL-PP-B-NNNN (npr. 2026-PP001-B001-0001).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Postavke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Naziv, količina, cena, stopnja DDV, znesek skupaj.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Razčlenitev DDV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Davčna osnova in DDV po stopnjah.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Skupaj z DDV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Celotni znesek računa.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Način plačila in vračilo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Gotovina, kartica, bon … z zneski in vračilom.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Ime natakarja/blagajnika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Ime izbranega natakarja.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ZOI — zaščitna oznaka izdajatelja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32-mestna zaščitna koda (šestnajstiška vrednost), ki jo generira BOOKIE ERP z digitalnim podpisom.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EOR — edinstvena oznaka računa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36-mestna koda, ki jo izda FURS kot potrditev fiskalnega računa.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QR-koda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Za preverjanje veljavnosti računa na portalu FURS.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Pozdravno besedilo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Iz nastavitev (npr. »Hvala za obisk!«).</w:t>
            </w:r>
          </w:p>
        </w:tc>
      </w:tr>
    </w:tbl>
    <w:p>
      <w:pPr>
        <w:pStyle w:val="Heading2"/>
        <w:spacing w:after="80" w:before="320"/>
      </w:pPr>
      <w:r>
        <w:t xml:space="preserve">4.5 Po izdaji računa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Dejanje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Postopek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Pošlji po e-pošti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Kliknite »Pošlji po e-pošti« → vnesite e-poštni naslov gosta.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Natisni kopijo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Gumb »Natisni kopijo« — kopija je označena z besedilom »KOPIJA«.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Storno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Arhiv računov → »Storno« → vnesite razlog → potrdite.</w:t>
            </w:r>
          </w:p>
        </w:tc>
      </w:tr>
    </w:tbl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Storno je nepreklicen davčno potrjen dokument. Pri plačilih Viva Wallet se ponudi gumb »Povrni na kartico«.</w:t>
      </w:r>
    </w:p>
    <w:p>
      <w:pPr>
        <w:pStyle w:val="Heading2"/>
        <w:spacing w:after="80" w:before="320"/>
      </w:pPr>
      <w:r>
        <w:t xml:space="preserve">4.6 Izpis prometa</w:t>
      </w:r>
    </w:p>
    <w:p>
      <w:pPr>
        <w:spacing w:after="60" w:before="60"/>
      </w:pPr>
      <w:r>
        <w:rPr>
          <w:sz w:val="22"/>
          <w:szCs w:val="22"/>
        </w:rPr>
        <w:t xml:space="preserve">Na zaslonu Zaračunaj je gumb »Izpis prometa« za hiter pregled in tisk prometa za izbrani datum ali časovno obdobje. Prikazuje promet po natakarjih, blagajnah, načinih plačila in stopnjah DDV.</w:t>
      </w:r>
    </w:p>
    <w:p>
      <w:pPr>
        <w:pStyle w:val="Heading1"/>
        <w:spacing w:after="120" w:before="480"/>
      </w:pPr>
      <w:r>
        <w:t xml:space="preserve">5. Izmene</w:t>
      </w:r>
    </w:p>
    <w:p>
      <w:pPr>
        <w:pStyle w:val="Heading2"/>
        <w:spacing w:after="80" w:before="320"/>
      </w:pPr>
      <w:r>
        <w:t xml:space="preserve">5.1 Odpiranje izmene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Izmene → »Odpri izmeno«.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Vnesite začetni znesek gotovine v blagajni.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Kliknite »Potrdi«.</w:t>
      </w:r>
    </w:p>
    <w:p>
      <w:pPr>
        <w:pStyle w:val="Heading2"/>
        <w:spacing w:after="80" w:before="320"/>
      </w:pPr>
      <w:r>
        <w:t xml:space="preserve">5.2 Zaključek izmene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Izmene → »Zaključi izmeno«.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Preglejte povzetek (promet, DDV, načini plačila).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Preštejte gotovino in vnesite dejansko stanje v polje »Dejansko stanje gotovine«.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Kliknite »Zaključi in natisni«.</w:t>
      </w:r>
    </w:p>
    <w:p>
      <w:pPr>
        <w:shd w:fill="FFFBEB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⚠️  Zaključka izmene ni mogoče razveljaviti.</w:t>
      </w:r>
    </w:p>
    <w:p>
      <w:pPr>
        <w:pStyle w:val="Heading1"/>
        <w:spacing w:after="120" w:before="480"/>
      </w:pPr>
      <w:r>
        <w:t xml:space="preserve">6. Meni in šifrant artiklov</w:t>
      </w:r>
    </w:p>
    <w:p>
      <w:pPr>
        <w:pStyle w:val="Heading2"/>
        <w:spacing w:after="80" w:before="320"/>
      </w:pPr>
      <w:r>
        <w:t xml:space="preserve">6.1 Tipi artiklov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Prikazuje se v POS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 prejemnicah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Prodajni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Artikel za prodajo gostom (kava, pica).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Nabavni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Surovina za pripravo (moka, kavna zrna).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Nabavno-prodajni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Artikel, ki ga prodajate in nabavljate (Radenska, stekleničeno pivo).</w:t>
            </w:r>
          </w:p>
        </w:tc>
      </w:tr>
    </w:tbl>
    <w:p>
      <w:pPr>
        <w:pStyle w:val="Heading2"/>
        <w:spacing w:after="80" w:before="320"/>
      </w:pPr>
      <w:r>
        <w:t xml:space="preserve">6.2 Kategorije DDV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Kategorija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 mizi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 s seboj (konzervativno)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 s seboj (liberalno)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Hrana (food)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Topla pijača (hot_beverage)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Hladna pijača (cold_beverage)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Alkohol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Pijača-jed (food_drink)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9,5 %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Ostalo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22 %</w:t>
            </w:r>
          </w:p>
        </w:tc>
      </w:tr>
    </w:tbl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Pijače z dodanim sladkorjem: kljukica »Vsebuje dodan sladkor« nastavi 22 % ne glede na kategorijo in način strežbe.</w:t>
      </w:r>
    </w:p>
    <w:p>
      <w:pPr>
        <w:pStyle w:val="Heading2"/>
        <w:spacing w:after="80" w:before="320"/>
      </w:pPr>
      <w:r>
        <w:t xml:space="preserve">6.3 Gumb To Go</w:t>
      </w:r>
    </w:p>
    <w:p>
      <w:pPr>
        <w:spacing w:after="60" w:before="60"/>
      </w:pPr>
      <w:r>
        <w:rPr>
          <w:sz w:val="22"/>
          <w:szCs w:val="22"/>
        </w:rPr>
        <w:t xml:space="preserve">Oranžni gumb To Go na posamezni postavki v naročilu aktivira prodajo za s seboj. DDV se takoj preračuna, embalažni artikli pa se samodejno dodajo.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Vsaka postavka ima neodvisen gumb — možna so mešana naročila (del pri mizi, del za s seboj).</w:t>
      </w:r>
    </w:p>
    <w:p>
      <w:pPr>
        <w:pStyle w:val="Heading1"/>
        <w:spacing w:after="120" w:before="480"/>
      </w:pPr>
      <w:r>
        <w:t xml:space="preserve">7. Zaloge</w:t>
      </w:r>
    </w:p>
    <w:p>
      <w:pPr>
        <w:pStyle w:val="Heading2"/>
        <w:spacing w:after="80" w:before="320"/>
      </w:pPr>
      <w:r>
        <w:t xml:space="preserve">7.1 Prejemnice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1. Zaloge → »Prejemnice« → »+ Nova prejemnica«.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2. Izpolnite datum in dobavitelja (s tipko Enter prehajate med polji).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3. Neobvezno: novega dobavitelja dodate z gumbom »+« (samodejno iskanje v AJPES).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4. Izberite vnos cen: neto ali bruto.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5. Vrstice: artikel → paket (neobvezno) → količina → cena.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6. Preverite znesek skupaj bruto in ga primerjajte z računom dobavitelja.</w:t>
      </w:r>
    </w:p>
    <w:p>
      <w:pPr>
        <w:spacing w:after="40" w:before="40"/>
        <w:ind w:left="360"/>
      </w:pPr>
      <w:r>
        <w:rPr>
          <w:sz w:val="22"/>
          <w:szCs w:val="22"/>
        </w:rPr>
        <w:t xml:space="preserve">7. Shranite s tipko F2.</w:t>
      </w:r>
    </w:p>
    <w:p>
      <w:pPr>
        <w:shd w:fill="EFF6FF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ℹ️  Tipki ↑ ↓ premikajo med vrsticami, ← → pa med stolpci. Program vnaprej izpolni zadnjo nabavno ceno za vsak artikel.</w:t>
      </w:r>
    </w:p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Paketni vnos: kliknite 📦 pri vrstici → vnesite število paketov in enot v paketu → ceno na paket. Primer: 5 kartonov × 6 steklenic po 3,60 €/karton = 30 steklenic po 0,60 €.</w:t>
      </w:r>
    </w:p>
    <w:p>
      <w:pPr>
        <w:pStyle w:val="Heading2"/>
        <w:spacing w:after="80" w:before="320"/>
      </w:pPr>
      <w:r>
        <w:t xml:space="preserve">7.2 Izdajnice</w:t>
      </w:r>
    </w:p>
    <w:p>
      <w:pPr>
        <w:spacing w:after="60" w:before="60"/>
      </w:pPr>
      <w:r>
        <w:rPr>
          <w:sz w:val="22"/>
          <w:szCs w:val="22"/>
        </w:rPr>
        <w:t xml:space="preserve">Zaloge → »Izdajnice« → »+ Nova izdajnica«. Vnesite datum, razlog (obvezno) in vrstice (artikel, količina). Shranite.</w:t>
      </w:r>
    </w:p>
    <w:p>
      <w:pPr>
        <w:spacing w:after="60" w:before="60"/>
      </w:pPr>
      <w:r>
        <w:rPr>
          <w:sz w:val="22"/>
          <w:szCs w:val="22"/>
        </w:rPr>
        <w:t xml:space="preserve">Tipične situacije: kalo, lom, notranja postrežba, reklamacija dobavitelju, odpis pokvarjenega blaga.</w:t>
      </w:r>
    </w:p>
    <w:p>
      <w:pPr>
        <w:pStyle w:val="Heading2"/>
        <w:spacing w:after="80" w:before="320"/>
      </w:pPr>
      <w:r>
        <w:t xml:space="preserve">7.3 Inventura</w:t>
      </w:r>
    </w:p>
    <w:p>
      <w:pPr>
        <w:spacing w:after="60" w:before="60"/>
      </w:pPr>
      <w:r>
        <w:rPr>
          <w:sz w:val="22"/>
          <w:szCs w:val="22"/>
        </w:rPr>
        <w:t xml:space="preserve">Zaloge → »Inventure« → »+ Nova inventura«. Vnesite dejansko stanje za vsak artikel. Program prikaže razliko med knjižnim in dejanskim stanjem. Po potrditvi se zalogo uskladi.</w:t>
      </w:r>
    </w:p>
    <w:p>
      <w:pPr>
        <w:pStyle w:val="Heading2"/>
        <w:spacing w:after="80" w:before="320"/>
      </w:pPr>
      <w:r>
        <w:t xml:space="preserve">7.4 Začetne zaloge</w:t>
      </w:r>
    </w:p>
    <w:p>
      <w:pPr>
        <w:spacing w:after="60" w:before="60"/>
      </w:pPr>
      <w:r>
        <w:rPr>
          <w:sz w:val="22"/>
          <w:szCs w:val="22"/>
        </w:rPr>
        <w:t xml:space="preserve">Ob prvem zagonu vnesite začetna stanja prek Nastavitve → »Otvoritvene zaloge«.</w:t>
      </w:r>
    </w:p>
    <w:p>
      <w:pPr>
        <w:pStyle w:val="Heading1"/>
        <w:spacing w:after="120" w:before="480"/>
      </w:pPr>
      <w:r>
        <w:t xml:space="preserve">8. Statistike, dnevni izkaz in realizacija</w:t>
      </w:r>
    </w:p>
    <w:p>
      <w:pPr>
        <w:pStyle w:val="Heading2"/>
        <w:spacing w:after="80" w:before="320"/>
      </w:pPr>
      <w:r>
        <w:t xml:space="preserve">8.1 Dnevni izkaz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Kazalnik</w:t>
            </w:r>
          </w:p>
        </w:tc>
        <w:tc>
          <w:tcPr>
            <w:shd w:fill="1F3864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Opis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Skupni promet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Celotni prihodek z DDV za izbrano obdobje.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Število računov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Skupno število zaračunanih naročil.</w:t>
            </w:r>
          </w:p>
        </w:tc>
      </w:tr>
      <w:tr>
        <w:trPr>
          <w:tblHeader w:val="false"/>
        </w:trPr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Povprečni račun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Povprečna vrednost enega računa.</w:t>
            </w:r>
          </w:p>
        </w:tc>
      </w:tr>
      <w:tr>
        <w:trPr>
          <w:tblHeader w:val="false"/>
        </w:trPr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DDV skupaj</w:t>
            </w:r>
          </w:p>
        </w:tc>
        <w:tc>
          <w:tcPr>
            <w:shd w:fill="F5F7FA" w:val="clear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Skupni DDV po stopnjah (9,5 % in 22 %).</w:t>
            </w:r>
          </w:p>
        </w:tc>
      </w:tr>
    </w:tbl>
    <w:p>
      <w:pPr>
        <w:shd w:fill="F0FDF4" w:val="clear"/>
        <w:spacing w:after="60" w:before="60"/>
        <w:ind w:left="360"/>
      </w:pPr>
      <w:r>
        <w:rPr>
          <w:i/>
          <w:iCs/>
          <w:sz w:val="20"/>
          <w:szCs w:val="20"/>
        </w:rPr>
        <w:t xml:space="preserve">💡  Kliknite »Izvozi CSV« za prenos v Excel ali uvoz v BOOKIE ERP.</w:t>
      </w:r>
    </w:p>
    <w:p>
      <w:pPr>
        <w:pStyle w:val="Heading2"/>
        <w:spacing w:after="80" w:before="320"/>
      </w:pPr>
      <w:r>
        <w:t xml:space="preserve">8.2 Statistike</w:t>
      </w:r>
    </w:p>
    <w:p>
      <w:pPr>
        <w:spacing w:after="40" w:before="40"/>
        <w:ind w:left="360"/>
      </w:pPr>
      <w:r>
        <w:t xml:space="preserve">• KPI-kartice: promet, gostje, povprečni račun, primerjava z enakim dnem prejšnjega tedna.</w:t>
      </w:r>
    </w:p>
    <w:p>
      <w:pPr>
        <w:spacing w:after="40" w:before="40"/>
        <w:ind w:left="360"/>
      </w:pPr>
      <w:r>
        <w:t xml:space="preserve">• Tortni grafikon: delež po načinu plačila.</w:t>
      </w:r>
    </w:p>
    <w:p>
      <w:pPr>
        <w:spacing w:after="40" w:before="40"/>
        <w:ind w:left="360"/>
      </w:pPr>
      <w:r>
        <w:t xml:space="preserve">• Stolpični grafikon: promet po urah.</w:t>
      </w:r>
    </w:p>
    <w:p>
      <w:pPr>
        <w:spacing w:after="40" w:before="40"/>
        <w:ind w:left="360"/>
      </w:pPr>
      <w:r>
        <w:t xml:space="preserve">• Najprodajanejši artikli: prvih 10 po prometu ali količini.</w:t>
      </w:r>
    </w:p>
    <w:p>
      <w:pPr>
        <w:pStyle w:val="Heading2"/>
        <w:spacing w:after="80" w:before="320"/>
      </w:pPr>
      <w:r>
        <w:t xml:space="preserve">8.3 Realizacija</w:t>
      </w:r>
    </w:p>
    <w:p>
      <w:pPr>
        <w:spacing w:after="60" w:before="60"/>
      </w:pPr>
      <w:r>
        <w:rPr>
          <w:sz w:val="22"/>
          <w:szCs w:val="22"/>
        </w:rPr>
        <w:t xml:space="preserve">Podroben pregled vseh računov z davčno osnovo, DDV in načini plačila. Možna je združitev po dnevih in tisk poročila.</w:t>
      </w:r>
    </w:p>
    <w:p>
      <w:pPr>
        <w:pStyle w:val="Heading1"/>
        <w:spacing w:after="120" w:before="480"/>
      </w:pPr>
      <w:r>
        <w:t xml:space="preserve">9. Pogosta vprašanja in odpravljanje težav</w:t>
      </w:r>
    </w:p>
    <w:p>
      <w:pPr>
        <w:pStyle w:val="Heading2"/>
        <w:spacing w:after="80" w:before="320"/>
      </w:pPr>
      <w:r>
        <w:t xml:space="preserve">Program se ne odziva</w:t>
      </w:r>
    </w:p>
    <w:p>
      <w:pPr>
        <w:spacing w:after="60" w:before="60"/>
      </w:pPr>
      <w:r>
        <w:rPr>
          <w:sz w:val="22"/>
          <w:szCs w:val="22"/>
        </w:rPr>
        <w:t xml:space="preserve">Stran osvežite s tipko F5. Vsi podatki so ohranjeni.</w:t>
      </w:r>
    </w:p>
    <w:p>
      <w:pPr>
        <w:pStyle w:val="Heading2"/>
        <w:spacing w:after="80" w:before="320"/>
      </w:pPr>
      <w:r>
        <w:t xml:space="preserve">FURS vrne napako S100</w:t>
      </w:r>
    </w:p>
    <w:p>
      <w:pPr>
        <w:spacing w:after="40" w:before="40"/>
        <w:ind w:left="360"/>
      </w:pPr>
      <w:r>
        <w:t xml:space="preserve">• Preverite, ali je naložen veljavni produkcijski certifikat (zeleni kazalnik v Nastavitve → Digitalni certifikat FURS).</w:t>
      </w:r>
    </w:p>
    <w:p>
      <w:pPr>
        <w:spacing w:after="40" w:before="40"/>
        <w:ind w:left="360"/>
      </w:pPr>
      <w:r>
        <w:t xml:space="preserve">• Preverite PP ID in B ID — en napačen znak blokira fiskalizacijo.</w:t>
      </w:r>
    </w:p>
    <w:p>
      <w:pPr>
        <w:spacing w:after="40" w:before="40"/>
        <w:ind w:left="360"/>
      </w:pPr>
      <w:r>
        <w:t xml:space="preserve">• Preverite, ali je način FURS nastavljen na »Produkcija«.</w:t>
      </w:r>
    </w:p>
    <w:p>
      <w:pPr>
        <w:spacing w:after="40" w:before="40"/>
        <w:ind w:left="360"/>
      </w:pPr>
      <w:r>
        <w:t xml:space="preserve">• Preverite proxy URL (za oblačne namestitve z neslovenskim IP-naslovom).</w:t>
      </w:r>
    </w:p>
    <w:p>
      <w:pPr>
        <w:spacing w:after="40" w:before="40"/>
        <w:ind w:left="360"/>
      </w:pPr>
      <w:r>
        <w:t xml:space="preserve">• Arhiv računov → »Ponovi pošiljanje« za naknadno posredovanje nepotrjenih računov.</w:t>
      </w:r>
    </w:p>
    <w:p>
      <w:pPr>
        <w:pStyle w:val="Heading2"/>
        <w:spacing w:after="80" w:before="320"/>
      </w:pPr>
      <w:r>
        <w:t xml:space="preserve">Napaka pri nalaganju certifikata</w:t>
      </w:r>
    </w:p>
    <w:p>
      <w:pPr>
        <w:spacing w:after="40" w:before="40"/>
        <w:ind w:left="360"/>
      </w:pPr>
      <w:r>
        <w:t xml:space="preserve">• Preverite geslo (mora biti enako tistemu, ki ste ga prejeli od FURS).</w:t>
      </w:r>
    </w:p>
    <w:p>
      <w:pPr>
        <w:spacing w:after="40" w:before="40"/>
        <w:ind w:left="360"/>
      </w:pPr>
      <w:r>
        <w:t xml:space="preserve">• Datoteka mora imeti končnico .p12 ali .pfx.</w:t>
      </w:r>
    </w:p>
    <w:p>
      <w:pPr>
        <w:spacing w:after="40" w:before="40"/>
        <w:ind w:left="360"/>
      </w:pPr>
      <w:r>
        <w:t xml:space="preserve">• Testni certifikat ne deluje na produkcijskem strežniku in obratno.</w:t>
      </w:r>
    </w:p>
    <w:p>
      <w:pPr>
        <w:pStyle w:val="Heading2"/>
        <w:spacing w:after="80" w:before="320"/>
      </w:pPr>
      <w:r>
        <w:t xml:space="preserve">Poslovni prostor — napaka pri registraciji</w:t>
      </w:r>
    </w:p>
    <w:p>
      <w:pPr>
        <w:spacing w:after="40" w:before="40"/>
        <w:ind w:left="360"/>
      </w:pPr>
      <w:r>
        <w:t xml:space="preserve">• Certifikat mora biti naložen in aktiven.</w:t>
      </w:r>
    </w:p>
    <w:p>
      <w:pPr>
        <w:spacing w:after="40" w:before="40"/>
        <w:ind w:left="360"/>
      </w:pPr>
      <w:r>
        <w:t xml:space="preserve">• Način FURS mora biti nastavljen na »Produkcija« za uradno registracijo.</w:t>
      </w:r>
    </w:p>
    <w:p>
      <w:pPr>
        <w:spacing w:after="40" w:before="40"/>
        <w:ind w:left="360"/>
      </w:pPr>
      <w:r>
        <w:t xml:space="preserve">• Katastrski podatki: vnesite vse tri vrednosti ali nobenega.</w:t>
      </w:r>
    </w:p>
    <w:p>
      <w:pPr>
        <w:pStyle w:val="Heading2"/>
        <w:spacing w:after="80" w:before="320"/>
      </w:pPr>
      <w:r>
        <w:t xml:space="preserve">Tiskalnik ne tiska</w:t>
      </w:r>
    </w:p>
    <w:p>
      <w:pPr>
        <w:spacing w:after="40" w:before="40"/>
        <w:ind w:left="360"/>
      </w:pPr>
      <w:r>
        <w:t xml:space="preserve">• Preverite fizično povezavo in zalogo papirja.</w:t>
      </w:r>
    </w:p>
    <w:p>
      <w:pPr>
        <w:spacing w:after="40" w:before="40"/>
        <w:ind w:left="360"/>
      </w:pPr>
      <w:r>
        <w:t xml:space="preserve">• Nastavitve → Tiskalniki → »Testni izpis«.</w:t>
      </w:r>
    </w:p>
    <w:p>
      <w:pPr>
        <w:spacing w:after="40" w:before="40"/>
        <w:ind w:left="360"/>
      </w:pPr>
      <w:r>
        <w:t xml:space="preserve">• ZCS-tiskalnik: preverite, ali je aplikacija Bridge (APK) zagnana.</w:t>
      </w:r>
    </w:p>
    <w:p>
      <w:pPr>
        <w:pStyle w:val="Heading2"/>
        <w:spacing w:after="80" w:before="320"/>
      </w:pPr>
      <w:r>
        <w:t xml:space="preserve">DDV na računu ni pravilen</w:t>
      </w:r>
    </w:p>
    <w:p>
      <w:pPr>
        <w:spacing w:after="40" w:before="40"/>
        <w:ind w:left="360"/>
      </w:pPr>
      <w:r>
        <w:t xml:space="preserve">• Preverite davčno kategorijo artikla v šifrantu.</w:t>
      </w:r>
    </w:p>
    <w:p>
      <w:pPr>
        <w:spacing w:after="40" w:before="40"/>
        <w:ind w:left="360"/>
      </w:pPr>
      <w:r>
        <w:t xml:space="preserve">• Strežba za s seboj: preverite oranžni gumb To Go pri postavki.</w:t>
      </w:r>
    </w:p>
    <w:p>
      <w:pPr>
        <w:spacing w:after="40" w:before="40"/>
        <w:ind w:left="360"/>
      </w:pPr>
      <w:r>
        <w:t xml:space="preserve">• Tople pijače: Nastavitve → DDV → konzervativno / liberalno.</w:t>
      </w:r>
    </w:p>
    <w:p>
      <w:pPr>
        <w:spacing w:after="40" w:before="40"/>
        <w:ind w:left="360"/>
      </w:pPr>
      <w:r>
        <w:t xml:space="preserve">• Pijače z dodanim sladkorjem: kljukica »Vsebuje dodan sladkor« pri artiklu.</w:t>
      </w:r>
    </w:p>
    <w:p>
      <w:pPr>
        <w:pStyle w:val="Heading2"/>
        <w:spacing w:after="80" w:before="320"/>
      </w:pPr>
      <w:r>
        <w:t xml:space="preserve">Ne vidim računov drugega natakarja</w:t>
      </w:r>
    </w:p>
    <w:p>
      <w:pPr>
        <w:spacing w:after="60" w:before="60"/>
      </w:pPr>
      <w:r>
        <w:rPr>
          <w:sz w:val="22"/>
          <w:szCs w:val="22"/>
        </w:rPr>
        <w:t xml:space="preserve">Vloga »Uporabnik« prikazuje samo lastne račune. Za pregled vseh računov je potrebna vloga Admin.</w:t>
      </w:r>
    </w:p>
    <w:p>
      <w:pPr>
        <w:spacing w:after="40" w:before="40"/>
      </w:pPr>
    </w:p>
    <w:p>
      <w:pPr>
        <w:pBdr>
          <w:top w:val="single" w:color="2E4F8A" w:sz="4" w:space="8"/>
        </w:pBdr>
        <w:spacing w:after="0" w:before="400"/>
      </w:pPr>
    </w:p>
    <w:p>
      <w:pPr>
        <w:spacing w:after="40" w:before="40"/>
      </w:pPr>
    </w:p>
    <w:p>
      <w:pPr>
        <w:spacing w:after="40" w:before="0"/>
        <w:jc w:val="center"/>
      </w:pPr>
      <w:r>
        <w:rPr>
          <w:color w:val="888888"/>
          <w:sz w:val="18"/>
          <w:szCs w:val="18"/>
        </w:rPr>
        <w:t xml:space="preserve">© 2026 Mikrona d.o.o.  •  Zidani Most 32a, 1432 Zidani Most  •  Slovenija</w:t>
      </w:r>
    </w:p>
    <w:p>
      <w:pPr>
        <w:spacing w:after="0" w:before="0"/>
        <w:jc w:val="center"/>
      </w:pPr>
      <w:r>
        <w:rPr>
          <w:color w:val="888888"/>
          <w:sz w:val="18"/>
          <w:szCs w:val="18"/>
        </w:rPr>
        <w:t xml:space="preserve">BOOKIE ERP — POS Gostinstvo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4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320"/>
    </w:pPr>
    <w:rPr>
      <w:rFonts w:ascii="Calibri" w:cs="Calibri" w:eastAsia="Calibri" w:hAnsi="Calibri"/>
      <w:b/>
      <w:bCs/>
      <w:color w:val="2E4F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</w:pPr>
    <w:rPr>
      <w:rFonts w:ascii="Calibri" w:cs="Calibri" w:eastAsia="Calibri" w:hAnsi="Calibri"/>
      <w:b w:val="false"/>
      <w:bCs w:val="false"/>
      <w:i/>
      <w:iCs/>
      <w:color w:val="2E4F8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2026-07-31T05:48:44.393Z</dcterms:created>
  <dcterms:modified xsi:type="dcterms:W3CDTF">2026-07-31T05:48:44.393Z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