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900"/>
        <w:jc w:val="center"/>
      </w:pPr>
      <w:r>
        <w:rPr>
          <w:b/>
          <w:bCs/>
          <w:color w:val="1F4E79"/>
          <w:sz w:val="46"/>
          <w:szCs w:val="46"/>
        </w:rPr>
        <w:t xml:space="preserve">POS Gostinstvo</w:t>
      </w:r>
    </w:p>
    <w:p>
      <w:pPr>
        <w:spacing w:after="100"/>
        <w:jc w:val="center"/>
      </w:pPr>
      <w:r>
        <w:rPr>
          <w:color w:val="52606D"/>
          <w:sz w:val="27"/>
          <w:szCs w:val="27"/>
        </w:rPr>
        <w:t xml:space="preserve">Celovit uporabniški priročnik</w:t>
      </w:r>
    </w:p>
    <w:p>
      <w:pPr>
        <w:spacing w:after="460"/>
        <w:jc w:val="center"/>
      </w:pPr>
      <w:r>
        <w:rPr>
          <w:color w:val="52606D"/>
          <w:sz w:val="23"/>
          <w:szCs w:val="23"/>
        </w:rPr>
        <w:t xml:space="preserve">del sistema BOOKIE ERP  •  izdaja 3.0  •  avgust 2026</w:t>
      </w:r>
    </w:p>
    <w:tbl>
      <w:tblPr>
        <w:tblW w:type="pct" w:w="100%"/>
        <w:tblBorders>
          <w:top w:val="single" w:color="1F4E79" w:sz="6"/>
          <w:left w:val="single" w:color="1F4E79" w:sz="6"/>
          <w:bottom w:val="single" w:color="1F4E79" w:sz="6"/>
          <w:right w:val="single" w:color="1F4E79" w:sz="6"/>
          <w:insideH w:val="none" w:color="1F4E79" w:sz="0"/>
          <w:insideV w:val="none" w:color="1F4E79" w:sz="0"/>
        </w:tblBorders>
      </w:tblPr>
      <w:tblGrid>
        <w:gridCol w:w="100"/>
      </w:tblGrid>
      <w:tr>
        <w:tc>
          <w:tcPr>
            <w:shd w:fill="EAF3F8"/>
            <w:tcMar>
              <w:top w:type="dxa" w:w="100"/>
              <w:left w:type="dxa" w:w="140"/>
              <w:bottom w:type="dxa" w:w="100"/>
              <w:right w:type="dxa" w:w="140"/>
            </w:tcMar>
          </w:tcPr>
          <w:p>
            <w:pPr>
              <w:spacing w:after="0" w:line="276"/>
            </w:pPr>
            <w:r>
              <w:rPr>
                <w:b/>
                <w:bCs/>
                <w:color w:val="1F4E79"/>
                <w:sz w:val="22"/>
                <w:szCs w:val="22"/>
              </w:rPr>
              <w:t xml:space="preserve">Namen priročnika  </w:t>
            </w:r>
            <w:r>
              <w:rPr>
                <w:sz w:val="22"/>
                <w:szCs w:val="22"/>
              </w:rPr>
              <w:t xml:space="preserve">Priročnik je namenjen upravljavcem, vodjem izmen, natakarjem, blagajnikom, kuhinji in osebju, ki skrbi za zaloge. Opisuje uporabo modula POS Gostinstvo, ne pa programiranja ali strežniškega vzdrževanja.</w:t>
            </w:r>
          </w:p>
        </w:tc>
      </w:tr>
    </w:tbl>
    <w:p>
      <w:pPr>
        <w:spacing w:after="80" w:line="276"/>
      </w:pPr>
      <w:r>
        <w:rPr>
          <w:sz w:val="22"/>
          <w:szCs w:val="22"/>
        </w:rPr>
        <w:t xml:space="preserve"/>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Pomembno  </w:t>
            </w:r>
            <w:r>
              <w:rPr>
                <w:sz w:val="22"/>
                <w:szCs w:val="22"/>
              </w:rPr>
              <w:t xml:space="preserve">Davčno potrjenih računov, zaključenih izmen, potrjenih zapisnikov in drugih zaklenjenih evidenc ne popravljajte z brisanjem. Uporabite predviden storno, popravek ali novo korektivno evidenco.</w:t>
            </w:r>
          </w:p>
        </w:tc>
      </w:tr>
    </w:tbl>
    <w:p>
      <w:pPr>
        <w:spacing w:after="80" w:line="276"/>
      </w:pPr>
      <w:r>
        <w:rPr>
          <w:sz w:val="22"/>
          <w:szCs w:val="22"/>
        </w:rPr>
        <w:t xml:space="preserve"/>
      </w:r>
    </w:p>
    <w:p>
      <w:pPr>
        <w:spacing w:after="40" w:line="276"/>
        <w:jc w:val="center"/>
      </w:pPr>
      <w:r>
        <w:rPr>
          <w:color w:val="52606D"/>
          <w:sz w:val="20"/>
          <w:szCs w:val="20"/>
        </w:rPr>
        <w:t xml:space="preserve">Mikrona d.o.o.  •  Slovenija</w:t>
      </w:r>
    </w:p>
    <w:p>
      <w:pPr>
        <w:spacing w:after="120" w:line="276"/>
        <w:jc w:val="center"/>
      </w:pPr>
      <w:r>
        <w:rPr>
          <w:i/>
          <w:iCs/>
          <w:color w:val="52606D"/>
          <w:sz w:val="18"/>
          <w:szCs w:val="18"/>
        </w:rPr>
        <w:t xml:space="preserve">Dokument je treba ob spremembi programa ponovno uskladiti z dejanskim zaslonom.</w:t>
      </w:r>
    </w:p>
    <w:p>
      <w:r>
        <w:br w:type="page"/>
      </w:r>
    </w:p>
    <w:p>
      <w:pPr>
        <w:pStyle w:val="Heading1"/>
        <w:keepNext/>
        <w:spacing w:after="100" w:before="300"/>
      </w:pPr>
      <w:r>
        <w:rPr>
          <w:b/>
          <w:bCs/>
          <w:color w:val="1F4E79"/>
          <w:sz w:val="30"/>
          <w:szCs w:val="30"/>
        </w:rPr>
        <w:t xml:space="preserve">Kazalo vsebine</w:t>
      </w:r>
    </w:p>
    <w:sdt>
      <w:sdtPr>
        <w:alias w:val="Kazalo"/>
      </w:sdtPr>
      <w:sdtContent>
        <w:p>
          <w:r>
            <w:fldChar w:fldCharType="begin" w:dirty="true"/>
            <w:instrText xml:space="preserve">TOC \h \o "1-3"</w:instrText>
            <w:fldChar w:fldCharType="separate"/>
          </w:r>
        </w:p>
        <w:p>
          <w:r>
            <w:fldChar w:fldCharType="end"/>
          </w:r>
        </w:p>
      </w:sdtContent>
    </w:sdt>
    <w:p>
      <w:pPr>
        <w:spacing w:after="120" w:line="276"/>
      </w:pPr>
      <w:r>
        <w:rPr>
          <w:sz w:val="22"/>
          <w:szCs w:val="22"/>
        </w:rPr>
        <w:t xml:space="preserve">Kazalo v Wordu posodobite z ukazom »Update field«, če dokument odprete v urejevalniku Word.</w:t>
      </w:r>
    </w:p>
    <w:p>
      <w:pPr>
        <w:pStyle w:val="Heading2"/>
        <w:keepNext/>
        <w:spacing w:after="100" w:before="180"/>
      </w:pPr>
      <w:r>
        <w:rPr>
          <w:b/>
          <w:bCs/>
          <w:color w:val="1F4E79"/>
          <w:sz w:val="26"/>
          <w:szCs w:val="26"/>
        </w:rPr>
        <w:t xml:space="preserve">Kako uporabljati priročnik</w:t>
      </w:r>
    </w:p>
    <w:p>
      <w:pPr>
        <w:pStyle w:val="ListParagraph"/>
        <w:numPr>
          <w:ilvl w:val="0"/>
          <w:numId w:val="1"/>
        </w:numPr>
        <w:spacing w:after="70" w:line="260"/>
      </w:pPr>
      <w:r>
        <w:rPr>
          <w:sz w:val="21"/>
          <w:szCs w:val="21"/>
        </w:rPr>
        <w:t xml:space="preserve">Poglavja 1–3 preberite pred prvo uporabo oziroma pred uvedbo nove poslovne enote.</w:t>
      </w:r>
    </w:p>
    <w:p>
      <w:pPr>
        <w:pStyle w:val="ListParagraph"/>
        <w:numPr>
          <w:ilvl w:val="0"/>
          <w:numId w:val="1"/>
        </w:numPr>
        <w:spacing w:after="70" w:line="260"/>
      </w:pPr>
      <w:r>
        <w:rPr>
          <w:sz w:val="21"/>
          <w:szCs w:val="21"/>
        </w:rPr>
        <w:t xml:space="preserve">Poglavja 4–9 so namenjena vsakodnevnemu delu: naročilo, kuhinja, plačilo, račun in izmena.</w:t>
      </w:r>
    </w:p>
    <w:p>
      <w:pPr>
        <w:pStyle w:val="ListParagraph"/>
        <w:numPr>
          <w:ilvl w:val="0"/>
          <w:numId w:val="1"/>
        </w:numPr>
        <w:spacing w:after="70" w:line="260"/>
      </w:pPr>
      <w:r>
        <w:rPr>
          <w:sz w:val="21"/>
          <w:szCs w:val="21"/>
        </w:rPr>
        <w:t xml:space="preserve">Poglavja 10–15 so namenjena vodji, administratorju in osebi za zaloge, poročila ter nastavitve.</w:t>
      </w:r>
    </w:p>
    <w:p>
      <w:pPr>
        <w:pStyle w:val="ListParagraph"/>
        <w:numPr>
          <w:ilvl w:val="0"/>
          <w:numId w:val="1"/>
        </w:numPr>
        <w:spacing w:after="70" w:line="260"/>
      </w:pPr>
      <w:r>
        <w:rPr>
          <w:sz w:val="21"/>
          <w:szCs w:val="21"/>
        </w:rPr>
        <w:t xml:space="preserve">Če se na zaslonu pojavi opozorilo, ga ne obidite z večkratnim klikom. Najprej preverite razlog in sledite poglavju 16.</w:t>
      </w:r>
    </w:p>
    <w:p>
      <w:r>
        <w:br w:type="page"/>
      </w:r>
    </w:p>
    <w:p>
      <w:pPr>
        <w:pStyle w:val="Heading1"/>
        <w:keepNext/>
        <w:spacing w:after="100" w:before="300"/>
      </w:pPr>
      <w:r>
        <w:rPr>
          <w:b/>
          <w:bCs/>
          <w:color w:val="1F4E79"/>
          <w:sz w:val="30"/>
          <w:szCs w:val="30"/>
        </w:rPr>
        <w:t xml:space="preserve">1. Kaj je POS Gostinstvo</w:t>
      </w:r>
    </w:p>
    <w:p>
      <w:pPr>
        <w:spacing w:after="120" w:line="276"/>
      </w:pPr>
      <w:r>
        <w:rPr>
          <w:sz w:val="22"/>
          <w:szCs w:val="22"/>
        </w:rPr>
        <w:t xml:space="preserve">POS Gostinstvo je spletni blagajniški in operativni modul za restavracije, gostilne, bare, kavarne, pekarne in druge gostinske obrate. V enem okolju povezuje mize in naročila, kuhinjo oziroma točilnico, izdajo računov, FURS, plačilne terminale, tiskanje, zaloge, normative, pripravljeno hrano, odpadke, izmene in poročila.</w:t>
      </w:r>
    </w:p>
    <w:p>
      <w:pPr>
        <w:pStyle w:val="Heading2"/>
        <w:keepNext/>
        <w:spacing w:after="100" w:before="180"/>
      </w:pPr>
      <w:r>
        <w:rPr>
          <w:b/>
          <w:bCs/>
          <w:color w:val="1F4E79"/>
          <w:sz w:val="26"/>
          <w:szCs w:val="26"/>
        </w:rPr>
        <w:t xml:space="preserve">1.1 Kaj program vodi</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5"/>
        <w:gridCol w:w="75"/>
      </w:tblGrid>
      <w:tr>
        <w:tc>
          <w:tcPr>
            <w:tcW w:type="pct" w:w="25%"/>
            <w:shd w:fill="1F4E79"/>
            <w:tcMar>
              <w:top w:type="dxa" w:w="90"/>
              <w:left w:type="dxa" w:w="100"/>
              <w:bottom w:type="dxa" w:w="90"/>
              <w:right w:type="dxa" w:w="100"/>
            </w:tcMar>
          </w:tcPr>
          <w:p>
            <w:pPr>
              <w:spacing w:after="0" w:line="276"/>
            </w:pPr>
            <w:r>
              <w:rPr>
                <w:b/>
                <w:bCs/>
                <w:color w:val="FFFFFF"/>
                <w:sz w:val="20"/>
                <w:szCs w:val="20"/>
              </w:rPr>
              <w:t xml:space="preserve">Področje</w:t>
            </w:r>
          </w:p>
        </w:tc>
        <w:tc>
          <w:tcPr>
            <w:tcW w:type="pct" w:w="75%"/>
            <w:shd w:fill="1F4E79"/>
            <w:tcMar>
              <w:top w:type="dxa" w:w="90"/>
              <w:left w:type="dxa" w:w="100"/>
              <w:bottom w:type="dxa" w:w="90"/>
              <w:right w:type="dxa" w:w="100"/>
            </w:tcMar>
          </w:tcPr>
          <w:p>
            <w:pPr>
              <w:spacing w:after="0" w:line="276"/>
            </w:pPr>
            <w:r>
              <w:rPr>
                <w:b/>
                <w:bCs/>
                <w:color w:val="FFFFFF"/>
                <w:sz w:val="20"/>
                <w:szCs w:val="20"/>
              </w:rPr>
              <w:t xml:space="preserve">Kaj se vodi</w:t>
            </w:r>
          </w:p>
        </w:tc>
      </w:tr>
      <w:tr>
        <w:tc>
          <w:tcPr>
            <w:tcW w:type="pct" w:w="25%"/>
            <w:tcMar>
              <w:top w:type="dxa" w:w="80"/>
              <w:left w:type="dxa" w:w="100"/>
              <w:bottom w:type="dxa" w:w="80"/>
              <w:right w:type="dxa" w:w="100"/>
            </w:tcMar>
          </w:tcPr>
          <w:p>
            <w:pPr>
              <w:spacing w:after="0" w:line="276"/>
            </w:pPr>
            <w:r>
              <w:rPr>
                <w:sz w:val="20"/>
                <w:szCs w:val="20"/>
              </w:rPr>
              <w:t xml:space="preserve">Prodaja</w:t>
            </w:r>
          </w:p>
        </w:tc>
        <w:tc>
          <w:tcPr>
            <w:tcW w:type="pct" w:w="75%"/>
            <w:tcMar>
              <w:top w:type="dxa" w:w="80"/>
              <w:left w:type="dxa" w:w="100"/>
              <w:bottom w:type="dxa" w:w="80"/>
              <w:right w:type="dxa" w:w="100"/>
            </w:tcMar>
          </w:tcPr>
          <w:p>
            <w:pPr>
              <w:spacing w:after="0" w:line="276"/>
            </w:pPr>
            <w:r>
              <w:rPr>
                <w:sz w:val="20"/>
                <w:szCs w:val="20"/>
              </w:rPr>
              <w:t xml:space="preserve">Naročila, postavke, modifikatorji, popusti, način plačila, računi, delni računi in storna.</w:t>
            </w:r>
          </w:p>
        </w:tc>
      </w:tr>
      <w:tr>
        <w:tc>
          <w:tcPr>
            <w:tcW w:type="pct" w:w="25%"/>
            <w:shd w:fill="F2F4F7"/>
            <w:tcMar>
              <w:top w:type="dxa" w:w="80"/>
              <w:left w:type="dxa" w:w="100"/>
              <w:bottom w:type="dxa" w:w="80"/>
              <w:right w:type="dxa" w:w="100"/>
            </w:tcMar>
          </w:tcPr>
          <w:p>
            <w:pPr>
              <w:spacing w:after="0" w:line="276"/>
            </w:pPr>
            <w:r>
              <w:rPr>
                <w:sz w:val="20"/>
                <w:szCs w:val="20"/>
              </w:rPr>
              <w:t xml:space="preserve">Fiskalizacija</w:t>
            </w:r>
          </w:p>
        </w:tc>
        <w:tc>
          <w:tcPr>
            <w:tcW w:type="pct" w:w="75%"/>
            <w:shd w:fill="F2F4F7"/>
            <w:tcMar>
              <w:top w:type="dxa" w:w="80"/>
              <w:left w:type="dxa" w:w="100"/>
              <w:bottom w:type="dxa" w:w="80"/>
              <w:right w:type="dxa" w:w="100"/>
            </w:tcMar>
          </w:tcPr>
          <w:p>
            <w:pPr>
              <w:spacing w:after="0" w:line="276"/>
            </w:pPr>
            <w:r>
              <w:rPr>
                <w:sz w:val="20"/>
                <w:szCs w:val="20"/>
              </w:rPr>
              <w:t xml:space="preserve">Poslovni prostori, blagajne, certifikat, ZOI/EOR, komunikacija s FURS in ponovni poskusi.</w:t>
            </w:r>
          </w:p>
        </w:tc>
      </w:tr>
      <w:tr>
        <w:tc>
          <w:tcPr>
            <w:tcW w:type="pct" w:w="25%"/>
            <w:tcMar>
              <w:top w:type="dxa" w:w="80"/>
              <w:left w:type="dxa" w:w="100"/>
              <w:bottom w:type="dxa" w:w="80"/>
              <w:right w:type="dxa" w:w="100"/>
            </w:tcMar>
          </w:tcPr>
          <w:p>
            <w:pPr>
              <w:spacing w:after="0" w:line="276"/>
            </w:pPr>
            <w:r>
              <w:rPr>
                <w:sz w:val="20"/>
                <w:szCs w:val="20"/>
              </w:rPr>
              <w:t xml:space="preserve">Operativa</w:t>
            </w:r>
          </w:p>
        </w:tc>
        <w:tc>
          <w:tcPr>
            <w:tcW w:type="pct" w:w="75%"/>
            <w:tcMar>
              <w:top w:type="dxa" w:w="80"/>
              <w:left w:type="dxa" w:w="100"/>
              <w:bottom w:type="dxa" w:w="80"/>
              <w:right w:type="dxa" w:w="100"/>
            </w:tcMar>
          </w:tcPr>
          <w:p>
            <w:pPr>
              <w:spacing w:after="0" w:line="276"/>
            </w:pPr>
            <w:r>
              <w:rPr>
                <w:sz w:val="20"/>
                <w:szCs w:val="20"/>
              </w:rPr>
              <w:t xml:space="preserve">Mize, prostori, kuhinja, točilnica, priprava, dostava, telefonski naročniki in izmene.</w:t>
            </w:r>
          </w:p>
        </w:tc>
      </w:tr>
      <w:tr>
        <w:tc>
          <w:tcPr>
            <w:tcW w:type="pct" w:w="25%"/>
            <w:shd w:fill="F2F4F7"/>
            <w:tcMar>
              <w:top w:type="dxa" w:w="80"/>
              <w:left w:type="dxa" w:w="100"/>
              <w:bottom w:type="dxa" w:w="80"/>
              <w:right w:type="dxa" w:w="100"/>
            </w:tcMar>
          </w:tcPr>
          <w:p>
            <w:pPr>
              <w:spacing w:after="0" w:line="276"/>
            </w:pPr>
            <w:r>
              <w:rPr>
                <w:sz w:val="20"/>
                <w:szCs w:val="20"/>
              </w:rPr>
              <w:t xml:space="preserve">Materialno poslovanje</w:t>
            </w:r>
          </w:p>
        </w:tc>
        <w:tc>
          <w:tcPr>
            <w:tcW w:type="pct" w:w="75%"/>
            <w:shd w:fill="F2F4F7"/>
            <w:tcMar>
              <w:top w:type="dxa" w:w="80"/>
              <w:left w:type="dxa" w:w="100"/>
              <w:bottom w:type="dxa" w:w="80"/>
              <w:right w:type="dxa" w:w="100"/>
            </w:tcMar>
          </w:tcPr>
          <w:p>
            <w:pPr>
              <w:spacing w:after="0" w:line="276"/>
            </w:pPr>
            <w:r>
              <w:rPr>
                <w:sz w:val="20"/>
                <w:szCs w:val="20"/>
              </w:rPr>
              <w:t xml:space="preserve">Prejemnice, izdajnice, inventure, začetne zaloge, normativi, WAC in kartica artikla.</w:t>
            </w:r>
          </w:p>
        </w:tc>
      </w:tr>
      <w:tr>
        <w:tc>
          <w:tcPr>
            <w:tcW w:type="pct" w:w="25%"/>
            <w:tcMar>
              <w:top w:type="dxa" w:w="80"/>
              <w:left w:type="dxa" w:w="100"/>
              <w:bottom w:type="dxa" w:w="80"/>
              <w:right w:type="dxa" w:w="100"/>
            </w:tcMar>
          </w:tcPr>
          <w:p>
            <w:pPr>
              <w:spacing w:after="0" w:line="276"/>
            </w:pPr>
            <w:r>
              <w:rPr>
                <w:sz w:val="20"/>
                <w:szCs w:val="20"/>
              </w:rPr>
              <w:t xml:space="preserve">Poročila</w:t>
            </w:r>
          </w:p>
        </w:tc>
        <w:tc>
          <w:tcPr>
            <w:tcW w:type="pct" w:w="75%"/>
            <w:tcMar>
              <w:top w:type="dxa" w:w="80"/>
              <w:left w:type="dxa" w:w="100"/>
              <w:bottom w:type="dxa" w:w="80"/>
              <w:right w:type="dxa" w:w="100"/>
            </w:tcMar>
          </w:tcPr>
          <w:p>
            <w:pPr>
              <w:spacing w:after="0" w:line="276"/>
            </w:pPr>
            <w:r>
              <w:rPr>
                <w:sz w:val="20"/>
                <w:szCs w:val="20"/>
              </w:rPr>
              <w:t xml:space="preserve">Dnevni izkaz, statistike, realizacija, X- in Z-poročilo ter temeljnice za ERP.</w:t>
            </w:r>
          </w:p>
        </w:tc>
      </w:tr>
      <w:tr>
        <w:tc>
          <w:tcPr>
            <w:tcW w:type="pct" w:w="25%"/>
            <w:shd w:fill="F2F4F7"/>
            <w:tcMar>
              <w:top w:type="dxa" w:w="80"/>
              <w:left w:type="dxa" w:w="100"/>
              <w:bottom w:type="dxa" w:w="80"/>
              <w:right w:type="dxa" w:w="100"/>
            </w:tcMar>
          </w:tcPr>
          <w:p>
            <w:pPr>
              <w:spacing w:after="0" w:line="276"/>
            </w:pPr>
            <w:r>
              <w:rPr>
                <w:sz w:val="20"/>
                <w:szCs w:val="20"/>
              </w:rPr>
              <w:t xml:space="preserve">Posebne evidence</w:t>
            </w:r>
          </w:p>
        </w:tc>
        <w:tc>
          <w:tcPr>
            <w:tcW w:type="pct" w:w="75%"/>
            <w:shd w:fill="F2F4F7"/>
            <w:tcMar>
              <w:top w:type="dxa" w:w="80"/>
              <w:left w:type="dxa" w:w="100"/>
              <w:bottom w:type="dxa" w:w="80"/>
              <w:right w:type="dxa" w:w="100"/>
            </w:tcMar>
          </w:tcPr>
          <w:p>
            <w:pPr>
              <w:spacing w:after="0" w:line="276"/>
            </w:pPr>
            <w:r>
              <w:rPr>
                <w:sz w:val="20"/>
                <w:szCs w:val="20"/>
              </w:rPr>
              <w:t xml:space="preserve">Pripravljena hrana in kalo, zapisniki kala ter ločena evidenca odpadkov s krožnikov.</w:t>
            </w:r>
          </w:p>
        </w:tc>
      </w:tr>
    </w:tbl>
    <w:p>
      <w:pPr>
        <w:pStyle w:val="Heading2"/>
        <w:keepNext/>
        <w:spacing w:after="100" w:before="180"/>
      </w:pPr>
      <w:r>
        <w:rPr>
          <w:b/>
          <w:bCs/>
          <w:color w:val="1F4E79"/>
          <w:sz w:val="26"/>
          <w:szCs w:val="26"/>
        </w:rPr>
        <w:t xml:space="preserve">1.2 Tehnične zahteve</w:t>
      </w:r>
    </w:p>
    <w:p>
      <w:pPr>
        <w:pStyle w:val="ListParagraph"/>
        <w:numPr>
          <w:ilvl w:val="0"/>
          <w:numId w:val="1"/>
        </w:numPr>
        <w:spacing w:after="70" w:line="260"/>
      </w:pPr>
      <w:r>
        <w:rPr>
          <w:sz w:val="21"/>
          <w:szCs w:val="21"/>
        </w:rPr>
        <w:t xml:space="preserve">Podprta naprava: namizni računalnik, prenosnik ali tablica. Za delo na blagajni priporočamo zaslon najmanj 1280 × 800.</w:t>
      </w:r>
    </w:p>
    <w:p>
      <w:pPr>
        <w:pStyle w:val="ListParagraph"/>
        <w:numPr>
          <w:ilvl w:val="0"/>
          <w:numId w:val="1"/>
        </w:numPr>
        <w:spacing w:after="70" w:line="260"/>
      </w:pPr>
      <w:r>
        <w:rPr>
          <w:sz w:val="21"/>
          <w:szCs w:val="21"/>
        </w:rPr>
        <w:t xml:space="preserve">Uporabljajte posodobljen Chrome, Edge ali Safari. Brskalnik mora dovoliti piškotke/sejo, kamero ali mikrofon pa samo, če uporabljate ustrezno funkcijo.</w:t>
      </w:r>
    </w:p>
    <w:p>
      <w:pPr>
        <w:pStyle w:val="ListParagraph"/>
        <w:numPr>
          <w:ilvl w:val="0"/>
          <w:numId w:val="1"/>
        </w:numPr>
        <w:spacing w:after="70" w:line="260"/>
      </w:pPr>
      <w:r>
        <w:rPr>
          <w:sz w:val="21"/>
          <w:szCs w:val="21"/>
        </w:rPr>
        <w:t xml:space="preserve">Za spletno delo potrebujete stabilno povezavo. Tiskalniki in plačilni terminali potrebujejo še lokalno povezavo, Bluetooth, USB ali delujoč most/agent.</w:t>
      </w:r>
    </w:p>
    <w:p>
      <w:pPr>
        <w:pStyle w:val="ListParagraph"/>
        <w:numPr>
          <w:ilvl w:val="0"/>
          <w:numId w:val="1"/>
        </w:numPr>
        <w:spacing w:after="70" w:line="260"/>
      </w:pPr>
      <w:r>
        <w:rPr>
          <w:sz w:val="21"/>
          <w:szCs w:val="21"/>
        </w:rPr>
        <w:t xml:space="preserve">Pred začetkom izmene preverite papir, napajanje tiskalnika, povezavo terminala, izbrano blagajno in poslovno enoto.</w:t>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Varnost podatkov  </w:t>
            </w:r>
            <w:r>
              <w:rPr>
                <w:sz w:val="22"/>
                <w:szCs w:val="22"/>
              </w:rPr>
              <w:t xml:space="preserve">Uporabniškega imena, gesla, PIN-a, certifikata ali gesla certifikata ne vpisujte v opombe naročila in jih ne pošiljajte po klepetu. Uporabljajte svojo prijavo.</w:t>
            </w:r>
          </w:p>
        </w:tc>
      </w:tr>
    </w:tbl>
    <w:p>
      <w:pPr>
        <w:pStyle w:val="Heading1"/>
        <w:keepNext/>
        <w:spacing w:after="100" w:before="300"/>
      </w:pPr>
      <w:r>
        <w:rPr>
          <w:b/>
          <w:bCs/>
          <w:color w:val="1F4E79"/>
          <w:sz w:val="30"/>
          <w:szCs w:val="30"/>
        </w:rPr>
        <w:t xml:space="preserve">2. Prijava, podjetje, enota in pravice</w:t>
      </w:r>
    </w:p>
    <w:p>
      <w:pPr>
        <w:pStyle w:val="Heading2"/>
        <w:keepNext/>
        <w:spacing w:after="100" w:before="180"/>
      </w:pPr>
      <w:r>
        <w:rPr>
          <w:b/>
          <w:bCs/>
          <w:color w:val="1F4E79"/>
          <w:sz w:val="26"/>
          <w:szCs w:val="26"/>
        </w:rPr>
        <w:t xml:space="preserve">2.1 Prijava in odjava</w:t>
      </w:r>
    </w:p>
    <w:p>
      <w:pPr>
        <w:pStyle w:val="ListParagraph"/>
        <w:numPr>
          <w:ilvl w:val="0"/>
          <w:numId w:val="2"/>
        </w:numPr>
        <w:spacing w:after="80" w:line="270"/>
      </w:pPr>
      <w:r>
        <w:rPr>
          <w:sz w:val="21"/>
          <w:szCs w:val="21"/>
        </w:rPr>
        <w:t xml:space="preserve">Odprite naslov POS Gostinstvo in počakajte, da se prikaže prijavna stran.</w:t>
      </w:r>
    </w:p>
    <w:p>
      <w:pPr>
        <w:pStyle w:val="ListParagraph"/>
        <w:numPr>
          <w:ilvl w:val="0"/>
          <w:numId w:val="2"/>
        </w:numPr>
        <w:spacing w:after="80" w:line="270"/>
      </w:pPr>
      <w:r>
        <w:rPr>
          <w:sz w:val="21"/>
          <w:szCs w:val="21"/>
        </w:rPr>
        <w:t xml:space="preserve">Vnesite svoje uporabniško ime in geslo ter izberite »Prijava«.</w:t>
      </w:r>
    </w:p>
    <w:p>
      <w:pPr>
        <w:pStyle w:val="ListParagraph"/>
        <w:numPr>
          <w:ilvl w:val="0"/>
          <w:numId w:val="2"/>
        </w:numPr>
        <w:spacing w:after="80" w:line="270"/>
      </w:pPr>
      <w:r>
        <w:rPr>
          <w:sz w:val="21"/>
          <w:szCs w:val="21"/>
        </w:rPr>
        <w:t xml:space="preserve">Po delu izberite svoje ime v spodnjem delu stranske navigacije in kliknite »Odjava«.</w:t>
      </w:r>
    </w:p>
    <w:p>
      <w:pPr>
        <w:pStyle w:val="ListParagraph"/>
        <w:numPr>
          <w:ilvl w:val="0"/>
          <w:numId w:val="1"/>
        </w:numPr>
        <w:spacing w:after="70" w:line="260"/>
      </w:pPr>
      <w:r>
        <w:rPr>
          <w:sz w:val="21"/>
          <w:szCs w:val="21"/>
        </w:rPr>
        <w:t xml:space="preserve">Če je geslo označeno kot začasno ali je zahtevana zamenjava, dokončajte zamenjavo pred delom.</w:t>
      </w:r>
    </w:p>
    <w:p>
      <w:pPr>
        <w:pStyle w:val="ListParagraph"/>
        <w:numPr>
          <w:ilvl w:val="0"/>
          <w:numId w:val="1"/>
        </w:numPr>
        <w:spacing w:after="70" w:line="260"/>
      </w:pPr>
      <w:r>
        <w:rPr>
          <w:sz w:val="21"/>
          <w:szCs w:val="21"/>
        </w:rPr>
        <w:t xml:space="preserve">Če se stran vrti ali ostane prazna, ne ustvarjajte več uporabnikov. Preverite povezavo, nato se obrnite na skrbnika.</w:t>
      </w:r>
    </w:p>
    <w:p>
      <w:pPr>
        <w:pStyle w:val="Heading2"/>
        <w:keepNext/>
        <w:spacing w:after="100" w:before="180"/>
      </w:pPr>
      <w:r>
        <w:rPr>
          <w:b/>
          <w:bCs/>
          <w:color w:val="1F4E79"/>
          <w:sz w:val="26"/>
          <w:szCs w:val="26"/>
        </w:rPr>
        <w:t xml:space="preserve">2.2 Vloge</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2"/>
        <w:gridCol w:w="78"/>
      </w:tblGrid>
      <w:tr>
        <w:tc>
          <w:tcPr>
            <w:tcW w:type="pct" w:w="22%"/>
            <w:shd w:fill="1F4E79"/>
            <w:tcMar>
              <w:top w:type="dxa" w:w="90"/>
              <w:left w:type="dxa" w:w="100"/>
              <w:bottom w:type="dxa" w:w="90"/>
              <w:right w:type="dxa" w:w="100"/>
            </w:tcMar>
          </w:tcPr>
          <w:p>
            <w:pPr>
              <w:spacing w:after="0" w:line="276"/>
            </w:pPr>
            <w:r>
              <w:rPr>
                <w:b/>
                <w:bCs/>
                <w:color w:val="FFFFFF"/>
                <w:sz w:val="20"/>
                <w:szCs w:val="20"/>
              </w:rPr>
              <w:t xml:space="preserve">Vloga</w:t>
            </w:r>
          </w:p>
        </w:tc>
        <w:tc>
          <w:tcPr>
            <w:tcW w:type="pct" w:w="78%"/>
            <w:shd w:fill="1F4E79"/>
            <w:tcMar>
              <w:top w:type="dxa" w:w="90"/>
              <w:left w:type="dxa" w:w="100"/>
              <w:bottom w:type="dxa" w:w="90"/>
              <w:right w:type="dxa" w:w="100"/>
            </w:tcMar>
          </w:tcPr>
          <w:p>
            <w:pPr>
              <w:spacing w:after="0" w:line="276"/>
            </w:pPr>
            <w:r>
              <w:rPr>
                <w:b/>
                <w:bCs/>
                <w:color w:val="FFFFFF"/>
                <w:sz w:val="20"/>
                <w:szCs w:val="20"/>
              </w:rPr>
              <w:t xml:space="preserve">Obseg in tipično delo</w:t>
            </w:r>
          </w:p>
        </w:tc>
      </w:tr>
      <w:tr>
        <w:tc>
          <w:tcPr>
            <w:tcW w:type="pct" w:w="22%"/>
            <w:tcMar>
              <w:top w:type="dxa" w:w="80"/>
              <w:left w:type="dxa" w:w="100"/>
              <w:bottom w:type="dxa" w:w="80"/>
              <w:right w:type="dxa" w:w="100"/>
            </w:tcMar>
          </w:tcPr>
          <w:p>
            <w:pPr>
              <w:spacing w:after="0" w:line="276"/>
            </w:pPr>
            <w:r>
              <w:rPr>
                <w:sz w:val="20"/>
                <w:szCs w:val="20"/>
              </w:rPr>
              <w:t xml:space="preserve">Superadmin</w:t>
            </w:r>
          </w:p>
        </w:tc>
        <w:tc>
          <w:tcPr>
            <w:tcW w:type="pct" w:w="78%"/>
            <w:tcMar>
              <w:top w:type="dxa" w:w="80"/>
              <w:left w:type="dxa" w:w="100"/>
              <w:bottom w:type="dxa" w:w="80"/>
              <w:right w:type="dxa" w:w="100"/>
            </w:tcMar>
          </w:tcPr>
          <w:p>
            <w:pPr>
              <w:spacing w:after="0" w:line="276"/>
            </w:pPr>
            <w:r>
              <w:rPr>
                <w:sz w:val="20"/>
                <w:szCs w:val="20"/>
              </w:rPr>
              <w:t xml:space="preserve">Sistemski skrbnik. Dostop do vseh podjetij, nadzornih nastavitev, varnostnih kopij in skrbniških funkcij. Ni namenjen rednemu delu na blagajni.</w:t>
            </w:r>
          </w:p>
        </w:tc>
      </w:tr>
      <w:tr>
        <w:tc>
          <w:tcPr>
            <w:tcW w:type="pct" w:w="22%"/>
            <w:shd w:fill="F2F4F7"/>
            <w:tcMar>
              <w:top w:type="dxa" w:w="80"/>
              <w:left w:type="dxa" w:w="100"/>
              <w:bottom w:type="dxa" w:w="80"/>
              <w:right w:type="dxa" w:w="100"/>
            </w:tcMar>
          </w:tcPr>
          <w:p>
            <w:pPr>
              <w:spacing w:after="0" w:line="276"/>
            </w:pPr>
            <w:r>
              <w:rPr>
                <w:sz w:val="20"/>
                <w:szCs w:val="20"/>
              </w:rPr>
              <w:t xml:space="preserve">Admin</w:t>
            </w:r>
          </w:p>
        </w:tc>
        <w:tc>
          <w:tcPr>
            <w:tcW w:type="pct" w:w="78%"/>
            <w:shd w:fill="F2F4F7"/>
            <w:tcMar>
              <w:top w:type="dxa" w:w="80"/>
              <w:left w:type="dxa" w:w="100"/>
              <w:bottom w:type="dxa" w:w="80"/>
              <w:right w:type="dxa" w:w="100"/>
            </w:tcMar>
          </w:tcPr>
          <w:p>
            <w:pPr>
              <w:spacing w:after="0" w:line="276"/>
            </w:pPr>
            <w:r>
              <w:rPr>
                <w:sz w:val="20"/>
                <w:szCs w:val="20"/>
              </w:rPr>
              <w:t xml:space="preserve">Upravljanje podjetja in vseh njegovih enot, menija, uporabnikov, nastavitev, blagajn, poročil in operativnega dela.</w:t>
            </w:r>
          </w:p>
        </w:tc>
      </w:tr>
      <w:tr>
        <w:tc>
          <w:tcPr>
            <w:tcW w:type="pct" w:w="22%"/>
            <w:tcMar>
              <w:top w:type="dxa" w:w="80"/>
              <w:left w:type="dxa" w:w="100"/>
              <w:bottom w:type="dxa" w:w="80"/>
              <w:right w:type="dxa" w:w="100"/>
            </w:tcMar>
          </w:tcPr>
          <w:p>
            <w:pPr>
              <w:spacing w:after="0" w:line="276"/>
            </w:pPr>
            <w:r>
              <w:rPr>
                <w:sz w:val="20"/>
                <w:szCs w:val="20"/>
              </w:rPr>
              <w:t xml:space="preserve">Admin enote</w:t>
            </w:r>
          </w:p>
        </w:tc>
        <w:tc>
          <w:tcPr>
            <w:tcW w:type="pct" w:w="78%"/>
            <w:tcMar>
              <w:top w:type="dxa" w:w="80"/>
              <w:left w:type="dxa" w:w="100"/>
              <w:bottom w:type="dxa" w:w="80"/>
              <w:right w:type="dxa" w:w="100"/>
            </w:tcMar>
          </w:tcPr>
          <w:p>
            <w:pPr>
              <w:spacing w:after="0" w:line="276"/>
            </w:pPr>
            <w:r>
              <w:rPr>
                <w:sz w:val="20"/>
                <w:szCs w:val="20"/>
              </w:rPr>
              <w:t xml:space="preserve">Upravljanje in delo v dodeljeni poslovni enoti. Enote ne izbira prosto; blagajno lahko izbira med dovoljenimi.</w:t>
            </w:r>
          </w:p>
        </w:tc>
      </w:tr>
      <w:tr>
        <w:tc>
          <w:tcPr>
            <w:tcW w:type="pct" w:w="22%"/>
            <w:shd w:fill="F2F4F7"/>
            <w:tcMar>
              <w:top w:type="dxa" w:w="80"/>
              <w:left w:type="dxa" w:w="100"/>
              <w:bottom w:type="dxa" w:w="80"/>
              <w:right w:type="dxa" w:w="100"/>
            </w:tcMar>
          </w:tcPr>
          <w:p>
            <w:pPr>
              <w:spacing w:after="0" w:line="276"/>
            </w:pPr>
            <w:r>
              <w:rPr>
                <w:sz w:val="20"/>
                <w:szCs w:val="20"/>
              </w:rPr>
              <w:t xml:space="preserve">Uporabnik</w:t>
            </w:r>
          </w:p>
        </w:tc>
        <w:tc>
          <w:tcPr>
            <w:tcW w:type="pct" w:w="78%"/>
            <w:shd w:fill="F2F4F7"/>
            <w:tcMar>
              <w:top w:type="dxa" w:w="80"/>
              <w:left w:type="dxa" w:w="100"/>
              <w:bottom w:type="dxa" w:w="80"/>
              <w:right w:type="dxa" w:w="100"/>
            </w:tcMar>
          </w:tcPr>
          <w:p>
            <w:pPr>
              <w:spacing w:after="0" w:line="276"/>
            </w:pPr>
            <w:r>
              <w:rPr>
                <w:sz w:val="20"/>
                <w:szCs w:val="20"/>
              </w:rPr>
              <w:t xml:space="preserve">Vsakodnevno delo: mize, naročila, kuhinja/točilnica, plačilo, računi in lastna izmena. Dostop do občutljivih nastavitev je omejen.</w:t>
            </w:r>
          </w:p>
        </w:tc>
      </w:tr>
    </w:tbl>
    <w:p>
      <w:pPr>
        <w:pStyle w:val="Heading2"/>
        <w:keepNext/>
        <w:spacing w:after="100" w:before="180"/>
      </w:pPr>
      <w:r>
        <w:rPr>
          <w:b/>
          <w:bCs/>
          <w:color w:val="1F4E79"/>
          <w:sz w:val="26"/>
          <w:szCs w:val="26"/>
        </w:rPr>
        <w:t xml:space="preserve">2.3 Izbira enote in blagajne</w:t>
      </w:r>
    </w:p>
    <w:p>
      <w:pPr>
        <w:pStyle w:val="ListParagraph"/>
        <w:numPr>
          <w:ilvl w:val="0"/>
          <w:numId w:val="1"/>
        </w:numPr>
        <w:spacing w:after="70" w:line="260"/>
      </w:pPr>
      <w:r>
        <w:rPr>
          <w:sz w:val="21"/>
          <w:szCs w:val="21"/>
        </w:rPr>
        <w:t xml:space="preserve">Admin na dnu stranske vrstice izbere »Enota« in nato »Blagajna«. Pred izdajo računa preverite oboje.</w:t>
      </w:r>
    </w:p>
    <w:p>
      <w:pPr>
        <w:pStyle w:val="ListParagraph"/>
        <w:numPr>
          <w:ilvl w:val="0"/>
          <w:numId w:val="1"/>
        </w:numPr>
        <w:spacing w:after="70" w:line="260"/>
      </w:pPr>
      <w:r>
        <w:rPr>
          <w:sz w:val="21"/>
          <w:szCs w:val="21"/>
        </w:rPr>
        <w:t xml:space="preserve">Admin enote vidi svojo enoto, izbere pa dodeljeno blagajno. Uporabnik ima enoto in blagajno praviloma določeni.</w:t>
      </w:r>
    </w:p>
    <w:p>
      <w:pPr>
        <w:pStyle w:val="ListParagraph"/>
        <w:numPr>
          <w:ilvl w:val="0"/>
          <w:numId w:val="1"/>
        </w:numPr>
        <w:spacing w:after="70" w:line="260"/>
      </w:pPr>
      <w:r>
        <w:rPr>
          <w:sz w:val="21"/>
          <w:szCs w:val="21"/>
        </w:rPr>
        <w:t xml:space="preserve">Če imate več aktivnih POS vlog ali enot, mora biti enota določena izrecno. Ne zanašajte se na zadnjo izbiro brskalnika.</w:t>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Kontrola pred prodajo  </w:t>
            </w:r>
            <w:r>
              <w:rPr>
                <w:sz w:val="22"/>
                <w:szCs w:val="22"/>
              </w:rPr>
              <w:t xml:space="preserve">Na vrhu oziroma v stranski vrstici preverite naziv podjetja, enote in blagajne. Napačna enota pomeni napačno prodajno, davčno in poročevalsko sled.</w:t>
            </w:r>
          </w:p>
        </w:tc>
      </w:tr>
    </w:tbl>
    <w:p>
      <w:pPr>
        <w:pStyle w:val="Heading1"/>
        <w:keepNext/>
        <w:spacing w:after="100" w:before="300"/>
      </w:pPr>
      <w:r>
        <w:rPr>
          <w:b/>
          <w:bCs/>
          <w:color w:val="1F4E79"/>
          <w:sz w:val="30"/>
          <w:szCs w:val="30"/>
        </w:rPr>
        <w:t xml:space="preserve">3. Prva nastavitev poslovanja</w:t>
      </w:r>
    </w:p>
    <w:p>
      <w:pPr>
        <w:pStyle w:val="Heading2"/>
        <w:keepNext/>
        <w:spacing w:after="100" w:before="180"/>
      </w:pPr>
      <w:r>
        <w:rPr>
          <w:b/>
          <w:bCs/>
          <w:color w:val="1F4E79"/>
          <w:sz w:val="26"/>
          <w:szCs w:val="26"/>
        </w:rPr>
        <w:t xml:space="preserve">3.1 Priporočeni vrstni red</w:t>
      </w:r>
    </w:p>
    <w:p>
      <w:pPr>
        <w:pStyle w:val="ListParagraph"/>
        <w:numPr>
          <w:ilvl w:val="0"/>
          <w:numId w:val="2"/>
        </w:numPr>
        <w:spacing w:after="80" w:line="270"/>
      </w:pPr>
      <w:r>
        <w:rPr>
          <w:sz w:val="21"/>
          <w:szCs w:val="21"/>
        </w:rPr>
        <w:t xml:space="preserve">Podjetje in davčni podatki.</w:t>
      </w:r>
    </w:p>
    <w:p>
      <w:pPr>
        <w:pStyle w:val="ListParagraph"/>
        <w:numPr>
          <w:ilvl w:val="0"/>
          <w:numId w:val="2"/>
        </w:numPr>
        <w:spacing w:after="80" w:line="270"/>
      </w:pPr>
      <w:r>
        <w:rPr>
          <w:sz w:val="21"/>
          <w:szCs w:val="21"/>
        </w:rPr>
        <w:t xml:space="preserve">Poslovne enote, prostori, mize in QR-kode.</w:t>
      </w:r>
    </w:p>
    <w:p>
      <w:pPr>
        <w:pStyle w:val="ListParagraph"/>
        <w:numPr>
          <w:ilvl w:val="0"/>
          <w:numId w:val="2"/>
        </w:numPr>
        <w:spacing w:after="80" w:line="270"/>
      </w:pPr>
      <w:r>
        <w:rPr>
          <w:sz w:val="21"/>
          <w:szCs w:val="21"/>
        </w:rPr>
        <w:t xml:space="preserve">FURS poslovni prostor, blagajna in certifikat.</w:t>
      </w:r>
    </w:p>
    <w:p>
      <w:pPr>
        <w:pStyle w:val="ListParagraph"/>
        <w:numPr>
          <w:ilvl w:val="0"/>
          <w:numId w:val="2"/>
        </w:numPr>
        <w:spacing w:after="80" w:line="270"/>
      </w:pPr>
      <w:r>
        <w:rPr>
          <w:sz w:val="21"/>
          <w:szCs w:val="21"/>
        </w:rPr>
        <w:t xml:space="preserve">Uporabniki, natakarji, blagajne in naprave.</w:t>
      </w:r>
    </w:p>
    <w:p>
      <w:pPr>
        <w:pStyle w:val="ListParagraph"/>
        <w:numPr>
          <w:ilvl w:val="0"/>
          <w:numId w:val="2"/>
        </w:numPr>
        <w:spacing w:after="80" w:line="270"/>
      </w:pPr>
      <w:r>
        <w:rPr>
          <w:sz w:val="21"/>
          <w:szCs w:val="21"/>
        </w:rPr>
        <w:t xml:space="preserve">DDV, način za s seboj, tiskalnik in terminal.</w:t>
      </w:r>
    </w:p>
    <w:p>
      <w:pPr>
        <w:pStyle w:val="ListParagraph"/>
        <w:numPr>
          <w:ilvl w:val="0"/>
          <w:numId w:val="2"/>
        </w:numPr>
        <w:spacing w:after="80" w:line="270"/>
      </w:pPr>
      <w:r>
        <w:rPr>
          <w:sz w:val="21"/>
          <w:szCs w:val="21"/>
        </w:rPr>
        <w:t xml:space="preserve">Kategorije menija, artikli, normativi in modifikatorji.</w:t>
      </w:r>
    </w:p>
    <w:p>
      <w:pPr>
        <w:pStyle w:val="ListParagraph"/>
        <w:numPr>
          <w:ilvl w:val="0"/>
          <w:numId w:val="2"/>
        </w:numPr>
        <w:spacing w:after="80" w:line="270"/>
      </w:pPr>
      <w:r>
        <w:rPr>
          <w:sz w:val="21"/>
          <w:szCs w:val="21"/>
        </w:rPr>
        <w:t xml:space="preserve">Začetne zaloge, prejemnice in inventura.</w:t>
      </w:r>
    </w:p>
    <w:p>
      <w:pPr>
        <w:pStyle w:val="ListParagraph"/>
        <w:numPr>
          <w:ilvl w:val="0"/>
          <w:numId w:val="2"/>
        </w:numPr>
        <w:spacing w:after="80" w:line="270"/>
      </w:pPr>
      <w:r>
        <w:rPr>
          <w:sz w:val="21"/>
          <w:szCs w:val="21"/>
        </w:rPr>
        <w:t xml:space="preserve">Poskusno naročilo, tisk, testno plačilo in kontrolno poročilo.</w:t>
      </w:r>
    </w:p>
    <w:p>
      <w:pPr>
        <w:pStyle w:val="Heading2"/>
        <w:keepNext/>
        <w:spacing w:after="100" w:before="180"/>
      </w:pPr>
      <w:r>
        <w:rPr>
          <w:b/>
          <w:bCs/>
          <w:color w:val="1F4E79"/>
          <w:sz w:val="26"/>
          <w:szCs w:val="26"/>
        </w:rPr>
        <w:t xml:space="preserve">3.2 Podatki podjetja in račun</w:t>
      </w:r>
    </w:p>
    <w:p>
      <w:pPr>
        <w:spacing w:after="120" w:line="276"/>
      </w:pPr>
      <w:r>
        <w:rPr>
          <w:sz w:val="22"/>
          <w:szCs w:val="22"/>
        </w:rPr>
        <w:t xml:space="preserve">V razdelku »Nastavitve« vnesite uradni naziv, naslov, poštno številko, kraj, davčno številko in po potrebi ID za DDV. Davčna številka se vpisuje brez predpone SI; ID za DDV je ločeno polje in vsebuje SI, kadar je podjetje DDV-zavezanec.</w:t>
      </w:r>
    </w:p>
    <w:p>
      <w:pPr>
        <w:pStyle w:val="ListParagraph"/>
        <w:numPr>
          <w:ilvl w:val="0"/>
          <w:numId w:val="1"/>
        </w:numPr>
        <w:spacing w:after="70" w:line="260"/>
      </w:pPr>
      <w:r>
        <w:rPr>
          <w:sz w:val="21"/>
          <w:szCs w:val="21"/>
        </w:rPr>
        <w:t xml:space="preserve">Izpolnite podatke, ki se morajo pojaviti na računu: IBAN in BIC za negotovinska plačila, matična številka, sodišče in osnovni kapital, če so za pravno obliko relevantni.</w:t>
      </w:r>
    </w:p>
    <w:p>
      <w:pPr>
        <w:pStyle w:val="ListParagraph"/>
        <w:numPr>
          <w:ilvl w:val="0"/>
          <w:numId w:val="1"/>
        </w:numPr>
        <w:spacing w:after="70" w:line="260"/>
      </w:pPr>
      <w:r>
        <w:rPr>
          <w:sz w:val="21"/>
          <w:szCs w:val="21"/>
        </w:rPr>
        <w:t xml:space="preserve">Vnesite pozdravno besedilo in morebitno klavzulo za DDV oziroma pravno opombo. Besedilo preverite na testnem izpisu.</w:t>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Davčna identifikacija  </w:t>
            </w:r>
            <w:r>
              <w:rPr>
                <w:sz w:val="22"/>
                <w:szCs w:val="22"/>
              </w:rPr>
              <w:t xml:space="preserve">Davčna številka podjetja ni isto kot ID za DDV. Napačen vnos lahko povzroči napačen račun ali zavrnitev FURS.</w:t>
            </w:r>
          </w:p>
        </w:tc>
      </w:tr>
    </w:tbl>
    <w:p>
      <w:pPr>
        <w:pStyle w:val="Heading2"/>
        <w:keepNext/>
        <w:spacing w:after="100" w:before="180"/>
      </w:pPr>
      <w:r>
        <w:rPr>
          <w:b/>
          <w:bCs/>
          <w:color w:val="1F4E79"/>
          <w:sz w:val="26"/>
          <w:szCs w:val="26"/>
        </w:rPr>
        <w:t xml:space="preserve">3.3 Poslovne enote, prostori in mize</w:t>
      </w:r>
    </w:p>
    <w:p>
      <w:pPr>
        <w:pStyle w:val="ListParagraph"/>
        <w:numPr>
          <w:ilvl w:val="0"/>
          <w:numId w:val="1"/>
        </w:numPr>
        <w:spacing w:after="70" w:line="260"/>
      </w:pPr>
      <w:r>
        <w:rPr>
          <w:sz w:val="21"/>
          <w:szCs w:val="21"/>
        </w:rPr>
        <w:t xml:space="preserve">Enota je operativni obrat, na primer »Lokal Center« ali »Kuhinja 1«. Vsaka prodaja in zaloga morata pripadati pravilni enoti.</w:t>
      </w:r>
    </w:p>
    <w:p>
      <w:pPr>
        <w:pStyle w:val="ListParagraph"/>
        <w:numPr>
          <w:ilvl w:val="0"/>
          <w:numId w:val="1"/>
        </w:numPr>
        <w:spacing w:after="70" w:line="260"/>
      </w:pPr>
      <w:r>
        <w:rPr>
          <w:sz w:val="21"/>
          <w:szCs w:val="21"/>
        </w:rPr>
        <w:t xml:space="preserve">V »Prostori« ustvarite na primer notranjost, teraso, dostavo ali prevzem. V »Mize« dodajte številko/naziv mize, prostor in po potrebi pozicijo na tlorisu.</w:t>
      </w:r>
    </w:p>
    <w:p>
      <w:pPr>
        <w:pStyle w:val="ListParagraph"/>
        <w:numPr>
          <w:ilvl w:val="0"/>
          <w:numId w:val="1"/>
        </w:numPr>
        <w:spacing w:after="70" w:line="260"/>
      </w:pPr>
      <w:r>
        <w:rPr>
          <w:sz w:val="21"/>
          <w:szCs w:val="21"/>
        </w:rPr>
        <w:t xml:space="preserve">Za QR naročanje ustvarite QR-kodo prostora/mize, jo natisnite in fizično namestite na pravilno mesto. Preizkusite, da QR kaže pravo mizo in prostor.</w:t>
      </w:r>
    </w:p>
    <w:p>
      <w:pPr>
        <w:pStyle w:val="ListParagraph"/>
        <w:numPr>
          <w:ilvl w:val="0"/>
          <w:numId w:val="1"/>
        </w:numPr>
        <w:spacing w:after="70" w:line="260"/>
      </w:pPr>
      <w:r>
        <w:rPr>
          <w:sz w:val="21"/>
          <w:szCs w:val="21"/>
        </w:rPr>
        <w:t xml:space="preserve">Rezervacija mize je ločena od odprtega naročila. Pri prihodu gosta rezervacijo preverite, nato odprite naročilo.</w:t>
      </w:r>
    </w:p>
    <w:p>
      <w:pPr>
        <w:pStyle w:val="Heading2"/>
        <w:keepNext/>
        <w:spacing w:after="100" w:before="180"/>
      </w:pPr>
      <w:r>
        <w:rPr>
          <w:b/>
          <w:bCs/>
          <w:color w:val="1F4E79"/>
          <w:sz w:val="26"/>
          <w:szCs w:val="26"/>
        </w:rPr>
        <w:t xml:space="preserve">3.4 Uporabniki, natakarji in blagajne</w:t>
      </w:r>
    </w:p>
    <w:p>
      <w:pPr>
        <w:pStyle w:val="ListParagraph"/>
        <w:numPr>
          <w:ilvl w:val="0"/>
          <w:numId w:val="1"/>
        </w:numPr>
        <w:spacing w:after="70" w:line="260"/>
      </w:pPr>
      <w:r>
        <w:rPr>
          <w:sz w:val="21"/>
          <w:szCs w:val="21"/>
        </w:rPr>
        <w:t xml:space="preserve">Uporabniški račun določa prijavo in pravice. Natakar je operater, ki ga izberete pri zaračunavanju in na poročilih. Po potrebi ga povežite z uporabniškim računom in davčnimi podatki.</w:t>
      </w:r>
    </w:p>
    <w:p>
      <w:pPr>
        <w:pStyle w:val="ListParagraph"/>
        <w:numPr>
          <w:ilvl w:val="0"/>
          <w:numId w:val="1"/>
        </w:numPr>
        <w:spacing w:after="70" w:line="260"/>
      </w:pPr>
      <w:r>
        <w:rPr>
          <w:sz w:val="21"/>
          <w:szCs w:val="21"/>
        </w:rPr>
        <w:t xml:space="preserve">Blagajna ima naziv, enoto, ID poslovnega prostora (PP) in ID elektronske naprave (B). PP in B morata ustrezati registraciji pri FURS.</w:t>
      </w:r>
    </w:p>
    <w:p>
      <w:pPr>
        <w:pStyle w:val="ListParagraph"/>
        <w:numPr>
          <w:ilvl w:val="0"/>
          <w:numId w:val="1"/>
        </w:numPr>
        <w:spacing w:after="70" w:line="260"/>
      </w:pPr>
      <w:r>
        <w:rPr>
          <w:sz w:val="21"/>
          <w:szCs w:val="21"/>
        </w:rPr>
        <w:t xml:space="preserve">Naprava je lahko tiskalnik, terminal ali drug registriran POS pripomoček. Nastavitve naprave so lahko vezane na konkretno napravo, ne na celotno enoto.</w:t>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Ne spreminjajte zgodovine  </w:t>
            </w:r>
            <w:r>
              <w:rPr>
                <w:sz w:val="22"/>
                <w:szCs w:val="22"/>
              </w:rPr>
              <w:t xml:space="preserve">PP ID, B ID in blagajne, ki je že izdajala račune, ne preimenujte ali brišite brez usklajevanja s skrbnikom in računovodjo.</w:t>
            </w:r>
          </w:p>
        </w:tc>
      </w:tr>
    </w:tbl>
    <w:p>
      <w:pPr>
        <w:pStyle w:val="Heading2"/>
        <w:keepNext/>
        <w:spacing w:after="100" w:before="180"/>
      </w:pPr>
      <w:r>
        <w:rPr>
          <w:b/>
          <w:bCs/>
          <w:color w:val="1F4E79"/>
          <w:sz w:val="26"/>
          <w:szCs w:val="26"/>
        </w:rPr>
        <w:t xml:space="preserve">3.5 FURS in digitalni certifikat</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4"/>
        <w:gridCol w:w="76"/>
      </w:tblGrid>
      <w:tr>
        <w:tc>
          <w:tcPr>
            <w:tcW w:type="pct" w:w="24%"/>
            <w:shd w:fill="1F4E79"/>
            <w:tcMar>
              <w:top w:type="dxa" w:w="90"/>
              <w:left w:type="dxa" w:w="100"/>
              <w:bottom w:type="dxa" w:w="90"/>
              <w:right w:type="dxa" w:w="100"/>
            </w:tcMar>
          </w:tcPr>
          <w:p>
            <w:pPr>
              <w:spacing w:after="0" w:line="276"/>
            </w:pPr>
            <w:r>
              <w:rPr>
                <w:b/>
                <w:bCs/>
                <w:color w:val="FFFFFF"/>
                <w:sz w:val="20"/>
                <w:szCs w:val="20"/>
              </w:rPr>
              <w:t xml:space="preserve">Način</w:t>
            </w:r>
          </w:p>
        </w:tc>
        <w:tc>
          <w:tcPr>
            <w:tcW w:type="pct" w:w="76%"/>
            <w:shd w:fill="1F4E79"/>
            <w:tcMar>
              <w:top w:type="dxa" w:w="90"/>
              <w:left w:type="dxa" w:w="100"/>
              <w:bottom w:type="dxa" w:w="90"/>
              <w:right w:type="dxa" w:w="100"/>
            </w:tcMar>
          </w:tcPr>
          <w:p>
            <w:pPr>
              <w:spacing w:after="0" w:line="276"/>
            </w:pPr>
            <w:r>
              <w:rPr>
                <w:b/>
                <w:bCs/>
                <w:color w:val="FFFFFF"/>
                <w:sz w:val="20"/>
                <w:szCs w:val="20"/>
              </w:rPr>
              <w:t xml:space="preserve">Uporaba</w:t>
            </w:r>
          </w:p>
        </w:tc>
      </w:tr>
      <w:tr>
        <w:tc>
          <w:tcPr>
            <w:tcW w:type="pct" w:w="24%"/>
            <w:tcMar>
              <w:top w:type="dxa" w:w="80"/>
              <w:left w:type="dxa" w:w="100"/>
              <w:bottom w:type="dxa" w:w="80"/>
              <w:right w:type="dxa" w:w="100"/>
            </w:tcMar>
          </w:tcPr>
          <w:p>
            <w:pPr>
              <w:spacing w:after="0" w:line="276"/>
            </w:pPr>
            <w:r>
              <w:rPr>
                <w:sz w:val="20"/>
                <w:szCs w:val="20"/>
              </w:rPr>
              <w:t xml:space="preserve">Simulacija</w:t>
            </w:r>
          </w:p>
        </w:tc>
        <w:tc>
          <w:tcPr>
            <w:tcW w:type="pct" w:w="76%"/>
            <w:tcMar>
              <w:top w:type="dxa" w:w="80"/>
              <w:left w:type="dxa" w:w="100"/>
              <w:bottom w:type="dxa" w:w="80"/>
              <w:right w:type="dxa" w:w="100"/>
            </w:tcMar>
          </w:tcPr>
          <w:p>
            <w:pPr>
              <w:spacing w:after="0" w:line="276"/>
            </w:pPr>
            <w:r>
              <w:rPr>
                <w:sz w:val="20"/>
                <w:szCs w:val="20"/>
              </w:rPr>
              <w:t xml:space="preserve">Učenje in razvoj brez davčne veljavnosti.</w:t>
            </w:r>
          </w:p>
        </w:tc>
      </w:tr>
      <w:tr>
        <w:tc>
          <w:tcPr>
            <w:tcW w:type="pct" w:w="24%"/>
            <w:shd w:fill="F2F4F7"/>
            <w:tcMar>
              <w:top w:type="dxa" w:w="80"/>
              <w:left w:type="dxa" w:w="100"/>
              <w:bottom w:type="dxa" w:w="80"/>
              <w:right w:type="dxa" w:w="100"/>
            </w:tcMar>
          </w:tcPr>
          <w:p>
            <w:pPr>
              <w:spacing w:after="0" w:line="276"/>
            </w:pPr>
            <w:r>
              <w:rPr>
                <w:sz w:val="20"/>
                <w:szCs w:val="20"/>
              </w:rPr>
              <w:t xml:space="preserve">Testno</w:t>
            </w:r>
          </w:p>
        </w:tc>
        <w:tc>
          <w:tcPr>
            <w:tcW w:type="pct" w:w="76%"/>
            <w:shd w:fill="F2F4F7"/>
            <w:tcMar>
              <w:top w:type="dxa" w:w="80"/>
              <w:left w:type="dxa" w:w="100"/>
              <w:bottom w:type="dxa" w:w="80"/>
              <w:right w:type="dxa" w:w="100"/>
            </w:tcMar>
          </w:tcPr>
          <w:p>
            <w:pPr>
              <w:spacing w:after="0" w:line="276"/>
            </w:pPr>
            <w:r>
              <w:rPr>
                <w:sz w:val="20"/>
                <w:szCs w:val="20"/>
              </w:rPr>
              <w:t xml:space="preserve">Preverjanje povezave, certifikata in registracije na testnem okolju FURS.</w:t>
            </w:r>
          </w:p>
        </w:tc>
      </w:tr>
      <w:tr>
        <w:tc>
          <w:tcPr>
            <w:tcW w:type="pct" w:w="24%"/>
            <w:tcMar>
              <w:top w:type="dxa" w:w="80"/>
              <w:left w:type="dxa" w:w="100"/>
              <w:bottom w:type="dxa" w:w="80"/>
              <w:right w:type="dxa" w:w="100"/>
            </w:tcMar>
          </w:tcPr>
          <w:p>
            <w:pPr>
              <w:spacing w:after="0" w:line="276"/>
            </w:pPr>
            <w:r>
              <w:rPr>
                <w:sz w:val="20"/>
                <w:szCs w:val="20"/>
              </w:rPr>
              <w:t xml:space="preserve">Produkcija</w:t>
            </w:r>
          </w:p>
        </w:tc>
        <w:tc>
          <w:tcPr>
            <w:tcW w:type="pct" w:w="76%"/>
            <w:tcMar>
              <w:top w:type="dxa" w:w="80"/>
              <w:left w:type="dxa" w:w="100"/>
              <w:bottom w:type="dxa" w:w="80"/>
              <w:right w:type="dxa" w:w="100"/>
            </w:tcMar>
          </w:tcPr>
          <w:p>
            <w:pPr>
              <w:spacing w:after="0" w:line="276"/>
            </w:pPr>
            <w:r>
              <w:rPr>
                <w:sz w:val="20"/>
                <w:szCs w:val="20"/>
              </w:rPr>
              <w:t xml:space="preserve">Redno poslovanje. Računi so davčno veljavni in sledljivi.</w:t>
            </w:r>
          </w:p>
        </w:tc>
      </w:tr>
    </w:tbl>
    <w:p>
      <w:pPr>
        <w:pStyle w:val="ListParagraph"/>
        <w:numPr>
          <w:ilvl w:val="0"/>
          <w:numId w:val="2"/>
        </w:numPr>
        <w:spacing w:after="80" w:line="270"/>
      </w:pPr>
      <w:r>
        <w:rPr>
          <w:sz w:val="21"/>
          <w:szCs w:val="21"/>
        </w:rPr>
        <w:t xml:space="preserve">V nastavitvah izberite pravilen način FURS.</w:t>
      </w:r>
    </w:p>
    <w:p>
      <w:pPr>
        <w:pStyle w:val="ListParagraph"/>
        <w:numPr>
          <w:ilvl w:val="0"/>
          <w:numId w:val="2"/>
        </w:numPr>
        <w:spacing w:after="80" w:line="270"/>
      </w:pPr>
      <w:r>
        <w:rPr>
          <w:sz w:val="21"/>
          <w:szCs w:val="21"/>
        </w:rPr>
        <w:t xml:space="preserve">Naložite ustrezen certifikat .p12 ali .pfx in vnesite njegovo geslo.</w:t>
      </w:r>
    </w:p>
    <w:p>
      <w:pPr>
        <w:pStyle w:val="ListParagraph"/>
        <w:numPr>
          <w:ilvl w:val="0"/>
          <w:numId w:val="2"/>
        </w:numPr>
        <w:spacing w:after="80" w:line="270"/>
      </w:pPr>
      <w:r>
        <w:rPr>
          <w:sz w:val="21"/>
          <w:szCs w:val="21"/>
        </w:rPr>
        <w:t xml:space="preserve">Ustvarite oziroma preverite poslovni prostor in blagajno. Pri stalnem prostoru vnesite popoln naslov; pri premičnem pravilne identifikacijske podatke.</w:t>
      </w:r>
    </w:p>
    <w:p>
      <w:pPr>
        <w:pStyle w:val="ListParagraph"/>
        <w:numPr>
          <w:ilvl w:val="0"/>
          <w:numId w:val="2"/>
        </w:numPr>
        <w:spacing w:after="80" w:line="270"/>
      </w:pPr>
      <w:r>
        <w:rPr>
          <w:sz w:val="21"/>
          <w:szCs w:val="21"/>
        </w:rPr>
        <w:t xml:space="preserve">Registracijo poslovnega prostora izvedite šele po preverjanju certifikata, davčne številke in PP/B oznak.</w:t>
      </w:r>
    </w:p>
    <w:p>
      <w:pPr>
        <w:pStyle w:val="ListParagraph"/>
        <w:numPr>
          <w:ilvl w:val="0"/>
          <w:numId w:val="1"/>
        </w:numPr>
        <w:spacing w:after="70" w:line="260"/>
      </w:pPr>
      <w:r>
        <w:rPr>
          <w:sz w:val="21"/>
          <w:szCs w:val="21"/>
        </w:rPr>
        <w:t xml:space="preserve">Certifikat velja za ustrezno okolje. Testnega certifikata ne uporabljajte v produkciji in obratno.</w:t>
      </w:r>
    </w:p>
    <w:p>
      <w:pPr>
        <w:pStyle w:val="ListParagraph"/>
        <w:numPr>
          <w:ilvl w:val="0"/>
          <w:numId w:val="1"/>
        </w:numPr>
        <w:spacing w:after="70" w:line="260"/>
      </w:pPr>
      <w:r>
        <w:rPr>
          <w:sz w:val="21"/>
          <w:szCs w:val="21"/>
        </w:rPr>
        <w:t xml:space="preserve">Obvestilo o bližnjem izteku certifikata rešite pravočasno. Po izteku fiskalizacija ne bo zanesljiva.</w:t>
      </w:r>
    </w:p>
    <w:p>
      <w:pPr>
        <w:pStyle w:val="Heading2"/>
        <w:keepNext/>
        <w:spacing w:after="100" w:before="180"/>
      </w:pPr>
      <w:r>
        <w:rPr>
          <w:b/>
          <w:bCs/>
          <w:color w:val="1F4E79"/>
          <w:sz w:val="26"/>
          <w:szCs w:val="26"/>
        </w:rPr>
        <w:t xml:space="preserve">3.6 DDV in prodaja za s seboj</w:t>
      </w:r>
    </w:p>
    <w:p>
      <w:pPr>
        <w:spacing w:after="120" w:line="276"/>
      </w:pPr>
      <w:r>
        <w:rPr>
          <w:sz w:val="22"/>
          <w:szCs w:val="22"/>
        </w:rPr>
        <w:t xml:space="preserve">DDV se določa iz kombinacije artikla, davčne kategorije, načina strežbe in nastavitve za s seboj. Pri artiklih s sladkorjem preverite posebno oznako, saj lahko spremeni davčno stopnjo.</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7"/>
        <w:gridCol w:w="20"/>
        <w:gridCol w:w="27"/>
        <w:gridCol w:w="26"/>
      </w:tblGrid>
      <w:tr>
        <w:tc>
          <w:tcPr>
            <w:tcW w:type="pct" w:w="27%"/>
            <w:shd w:fill="1F4E79"/>
            <w:tcMar>
              <w:top w:type="dxa" w:w="90"/>
              <w:left w:type="dxa" w:w="100"/>
              <w:bottom w:type="dxa" w:w="90"/>
              <w:right w:type="dxa" w:w="100"/>
            </w:tcMar>
          </w:tcPr>
          <w:p>
            <w:pPr>
              <w:spacing w:after="0" w:line="276"/>
            </w:pPr>
            <w:r>
              <w:rPr>
                <w:b/>
                <w:bCs/>
                <w:color w:val="FFFFFF"/>
                <w:sz w:val="20"/>
                <w:szCs w:val="20"/>
              </w:rPr>
              <w:t xml:space="preserve">Primer kategorije</w:t>
            </w:r>
          </w:p>
        </w:tc>
        <w:tc>
          <w:tcPr>
            <w:tcW w:type="pct" w:w="20%"/>
            <w:shd w:fill="1F4E79"/>
            <w:tcMar>
              <w:top w:type="dxa" w:w="90"/>
              <w:left w:type="dxa" w:w="100"/>
              <w:bottom w:type="dxa" w:w="90"/>
              <w:right w:type="dxa" w:w="100"/>
            </w:tcMar>
          </w:tcPr>
          <w:p>
            <w:pPr>
              <w:spacing w:after="0" w:line="276"/>
            </w:pPr>
            <w:r>
              <w:rPr>
                <w:b/>
                <w:bCs/>
                <w:color w:val="FFFFFF"/>
                <w:sz w:val="20"/>
                <w:szCs w:val="20"/>
              </w:rPr>
              <w:t xml:space="preserve">Pri mizi</w:t>
            </w:r>
          </w:p>
        </w:tc>
        <w:tc>
          <w:tcPr>
            <w:tcW w:type="pct" w:w="27%"/>
            <w:shd w:fill="1F4E79"/>
            <w:tcMar>
              <w:top w:type="dxa" w:w="90"/>
              <w:left w:type="dxa" w:w="100"/>
              <w:bottom w:type="dxa" w:w="90"/>
              <w:right w:type="dxa" w:w="100"/>
            </w:tcMar>
          </w:tcPr>
          <w:p>
            <w:pPr>
              <w:spacing w:after="0" w:line="276"/>
            </w:pPr>
            <w:r>
              <w:rPr>
                <w:b/>
                <w:bCs/>
                <w:color w:val="FFFFFF"/>
                <w:sz w:val="20"/>
                <w:szCs w:val="20"/>
              </w:rPr>
              <w:t xml:space="preserve">Za s seboj – konzervativno</w:t>
            </w:r>
          </w:p>
        </w:tc>
        <w:tc>
          <w:tcPr>
            <w:tcW w:type="pct" w:w="26%"/>
            <w:shd w:fill="1F4E79"/>
            <w:tcMar>
              <w:top w:type="dxa" w:w="90"/>
              <w:left w:type="dxa" w:w="100"/>
              <w:bottom w:type="dxa" w:w="90"/>
              <w:right w:type="dxa" w:w="100"/>
            </w:tcMar>
          </w:tcPr>
          <w:p>
            <w:pPr>
              <w:spacing w:after="0" w:line="276"/>
            </w:pPr>
            <w:r>
              <w:rPr>
                <w:b/>
                <w:bCs/>
                <w:color w:val="FFFFFF"/>
                <w:sz w:val="20"/>
                <w:szCs w:val="20"/>
              </w:rPr>
              <w:t xml:space="preserve">Za s seboj – liberalno</w:t>
            </w:r>
          </w:p>
        </w:tc>
      </w:tr>
      <w:tr>
        <w:tc>
          <w:tcPr>
            <w:tcW w:type="pct" w:w="27%"/>
            <w:tcMar>
              <w:top w:type="dxa" w:w="80"/>
              <w:left w:type="dxa" w:w="100"/>
              <w:bottom w:type="dxa" w:w="80"/>
              <w:right w:type="dxa" w:w="100"/>
            </w:tcMar>
          </w:tcPr>
          <w:p>
            <w:pPr>
              <w:spacing w:after="0" w:line="276"/>
            </w:pPr>
            <w:r>
              <w:rPr>
                <w:sz w:val="20"/>
                <w:szCs w:val="20"/>
              </w:rPr>
              <w:t xml:space="preserve">Hrana</w:t>
            </w:r>
          </w:p>
        </w:tc>
        <w:tc>
          <w:tcPr>
            <w:tcW w:type="pct" w:w="20%"/>
            <w:tcMar>
              <w:top w:type="dxa" w:w="80"/>
              <w:left w:type="dxa" w:w="100"/>
              <w:bottom w:type="dxa" w:w="80"/>
              <w:right w:type="dxa" w:w="100"/>
            </w:tcMar>
          </w:tcPr>
          <w:p>
            <w:pPr>
              <w:spacing w:after="0" w:line="276"/>
            </w:pPr>
            <w:r>
              <w:rPr>
                <w:sz w:val="20"/>
                <w:szCs w:val="20"/>
              </w:rPr>
              <w:t xml:space="preserve">9,5 %</w:t>
            </w:r>
          </w:p>
        </w:tc>
        <w:tc>
          <w:tcPr>
            <w:tcW w:type="pct" w:w="27%"/>
            <w:tcMar>
              <w:top w:type="dxa" w:w="80"/>
              <w:left w:type="dxa" w:w="100"/>
              <w:bottom w:type="dxa" w:w="80"/>
              <w:right w:type="dxa" w:w="100"/>
            </w:tcMar>
          </w:tcPr>
          <w:p>
            <w:pPr>
              <w:spacing w:after="0" w:line="276"/>
            </w:pPr>
            <w:r>
              <w:rPr>
                <w:sz w:val="20"/>
                <w:szCs w:val="20"/>
              </w:rPr>
              <w:t xml:space="preserve">9,5 %</w:t>
            </w:r>
          </w:p>
        </w:tc>
        <w:tc>
          <w:tcPr>
            <w:tcW w:type="pct" w:w="26%"/>
            <w:tcMar>
              <w:top w:type="dxa" w:w="80"/>
              <w:left w:type="dxa" w:w="100"/>
              <w:bottom w:type="dxa" w:w="80"/>
              <w:right w:type="dxa" w:w="100"/>
            </w:tcMar>
          </w:tcPr>
          <w:p>
            <w:pPr>
              <w:spacing w:after="0" w:line="276"/>
            </w:pPr>
            <w:r>
              <w:rPr>
                <w:sz w:val="20"/>
                <w:szCs w:val="20"/>
              </w:rPr>
              <w:t xml:space="preserve">9,5 %</w:t>
            </w:r>
          </w:p>
        </w:tc>
      </w:tr>
      <w:tr>
        <w:tc>
          <w:tcPr>
            <w:tcW w:type="pct" w:w="27%"/>
            <w:shd w:fill="F2F4F7"/>
            <w:tcMar>
              <w:top w:type="dxa" w:w="80"/>
              <w:left w:type="dxa" w:w="100"/>
              <w:bottom w:type="dxa" w:w="80"/>
              <w:right w:type="dxa" w:w="100"/>
            </w:tcMar>
          </w:tcPr>
          <w:p>
            <w:pPr>
              <w:spacing w:after="0" w:line="276"/>
            </w:pPr>
            <w:r>
              <w:rPr>
                <w:sz w:val="20"/>
                <w:szCs w:val="20"/>
              </w:rPr>
              <w:t xml:space="preserve">Topla pijača</w:t>
            </w:r>
          </w:p>
        </w:tc>
        <w:tc>
          <w:tcPr>
            <w:tcW w:type="pct" w:w="20%"/>
            <w:shd w:fill="F2F4F7"/>
            <w:tcMar>
              <w:top w:type="dxa" w:w="80"/>
              <w:left w:type="dxa" w:w="100"/>
              <w:bottom w:type="dxa" w:w="80"/>
              <w:right w:type="dxa" w:w="100"/>
            </w:tcMar>
          </w:tcPr>
          <w:p>
            <w:pPr>
              <w:spacing w:after="0" w:line="276"/>
            </w:pPr>
            <w:r>
              <w:rPr>
                <w:sz w:val="20"/>
                <w:szCs w:val="20"/>
              </w:rPr>
              <w:t xml:space="preserve">22 %</w:t>
            </w:r>
          </w:p>
        </w:tc>
        <w:tc>
          <w:tcPr>
            <w:tcW w:type="pct" w:w="27%"/>
            <w:shd w:fill="F2F4F7"/>
            <w:tcMar>
              <w:top w:type="dxa" w:w="80"/>
              <w:left w:type="dxa" w:w="100"/>
              <w:bottom w:type="dxa" w:w="80"/>
              <w:right w:type="dxa" w:w="100"/>
            </w:tcMar>
          </w:tcPr>
          <w:p>
            <w:pPr>
              <w:spacing w:after="0" w:line="276"/>
            </w:pPr>
            <w:r>
              <w:rPr>
                <w:sz w:val="20"/>
                <w:szCs w:val="20"/>
              </w:rPr>
              <w:t xml:space="preserve">22 %</w:t>
            </w:r>
          </w:p>
        </w:tc>
        <w:tc>
          <w:tcPr>
            <w:tcW w:type="pct" w:w="26%"/>
            <w:shd w:fill="F2F4F7"/>
            <w:tcMar>
              <w:top w:type="dxa" w:w="80"/>
              <w:left w:type="dxa" w:w="100"/>
              <w:bottom w:type="dxa" w:w="80"/>
              <w:right w:type="dxa" w:w="100"/>
            </w:tcMar>
          </w:tcPr>
          <w:p>
            <w:pPr>
              <w:spacing w:after="0" w:line="276"/>
            </w:pPr>
            <w:r>
              <w:rPr>
                <w:sz w:val="20"/>
                <w:szCs w:val="20"/>
              </w:rPr>
              <w:t xml:space="preserve">9,5 %</w:t>
            </w:r>
          </w:p>
        </w:tc>
      </w:tr>
      <w:tr>
        <w:tc>
          <w:tcPr>
            <w:tcW w:type="pct" w:w="27%"/>
            <w:tcMar>
              <w:top w:type="dxa" w:w="80"/>
              <w:left w:type="dxa" w:w="100"/>
              <w:bottom w:type="dxa" w:w="80"/>
              <w:right w:type="dxa" w:w="100"/>
            </w:tcMar>
          </w:tcPr>
          <w:p>
            <w:pPr>
              <w:spacing w:after="0" w:line="276"/>
            </w:pPr>
            <w:r>
              <w:rPr>
                <w:sz w:val="20"/>
                <w:szCs w:val="20"/>
              </w:rPr>
              <w:t xml:space="preserve">Hladna pijača</w:t>
            </w:r>
          </w:p>
        </w:tc>
        <w:tc>
          <w:tcPr>
            <w:tcW w:type="pct" w:w="20%"/>
            <w:tcMar>
              <w:top w:type="dxa" w:w="80"/>
              <w:left w:type="dxa" w:w="100"/>
              <w:bottom w:type="dxa" w:w="80"/>
              <w:right w:type="dxa" w:w="100"/>
            </w:tcMar>
          </w:tcPr>
          <w:p>
            <w:pPr>
              <w:spacing w:after="0" w:line="276"/>
            </w:pPr>
            <w:r>
              <w:rPr>
                <w:sz w:val="20"/>
                <w:szCs w:val="20"/>
              </w:rPr>
              <w:t xml:space="preserve">22 %</w:t>
            </w:r>
          </w:p>
        </w:tc>
        <w:tc>
          <w:tcPr>
            <w:tcW w:type="pct" w:w="27%"/>
            <w:tcMar>
              <w:top w:type="dxa" w:w="80"/>
              <w:left w:type="dxa" w:w="100"/>
              <w:bottom w:type="dxa" w:w="80"/>
              <w:right w:type="dxa" w:w="100"/>
            </w:tcMar>
          </w:tcPr>
          <w:p>
            <w:pPr>
              <w:spacing w:after="0" w:line="276"/>
            </w:pPr>
            <w:r>
              <w:rPr>
                <w:sz w:val="20"/>
                <w:szCs w:val="20"/>
              </w:rPr>
              <w:t xml:space="preserve">9,5 %</w:t>
            </w:r>
          </w:p>
        </w:tc>
        <w:tc>
          <w:tcPr>
            <w:tcW w:type="pct" w:w="26%"/>
            <w:tcMar>
              <w:top w:type="dxa" w:w="80"/>
              <w:left w:type="dxa" w:w="100"/>
              <w:bottom w:type="dxa" w:w="80"/>
              <w:right w:type="dxa" w:w="100"/>
            </w:tcMar>
          </w:tcPr>
          <w:p>
            <w:pPr>
              <w:spacing w:after="0" w:line="276"/>
            </w:pPr>
            <w:r>
              <w:rPr>
                <w:sz w:val="20"/>
                <w:szCs w:val="20"/>
              </w:rPr>
              <w:t xml:space="preserve">9,5 %</w:t>
            </w:r>
          </w:p>
        </w:tc>
      </w:tr>
      <w:tr>
        <w:tc>
          <w:tcPr>
            <w:tcW w:type="pct" w:w="27%"/>
            <w:shd w:fill="F2F4F7"/>
            <w:tcMar>
              <w:top w:type="dxa" w:w="80"/>
              <w:left w:type="dxa" w:w="100"/>
              <w:bottom w:type="dxa" w:w="80"/>
              <w:right w:type="dxa" w:w="100"/>
            </w:tcMar>
          </w:tcPr>
          <w:p>
            <w:pPr>
              <w:spacing w:after="0" w:line="276"/>
            </w:pPr>
            <w:r>
              <w:rPr>
                <w:sz w:val="20"/>
                <w:szCs w:val="20"/>
              </w:rPr>
              <w:t xml:space="preserve">Alkohol</w:t>
            </w:r>
          </w:p>
        </w:tc>
        <w:tc>
          <w:tcPr>
            <w:tcW w:type="pct" w:w="20%"/>
            <w:shd w:fill="F2F4F7"/>
            <w:tcMar>
              <w:top w:type="dxa" w:w="80"/>
              <w:left w:type="dxa" w:w="100"/>
              <w:bottom w:type="dxa" w:w="80"/>
              <w:right w:type="dxa" w:w="100"/>
            </w:tcMar>
          </w:tcPr>
          <w:p>
            <w:pPr>
              <w:spacing w:after="0" w:line="276"/>
            </w:pPr>
            <w:r>
              <w:rPr>
                <w:sz w:val="20"/>
                <w:szCs w:val="20"/>
              </w:rPr>
              <w:t xml:space="preserve">22 %</w:t>
            </w:r>
          </w:p>
        </w:tc>
        <w:tc>
          <w:tcPr>
            <w:tcW w:type="pct" w:w="27%"/>
            <w:shd w:fill="F2F4F7"/>
            <w:tcMar>
              <w:top w:type="dxa" w:w="80"/>
              <w:left w:type="dxa" w:w="100"/>
              <w:bottom w:type="dxa" w:w="80"/>
              <w:right w:type="dxa" w:w="100"/>
            </w:tcMar>
          </w:tcPr>
          <w:p>
            <w:pPr>
              <w:spacing w:after="0" w:line="276"/>
            </w:pPr>
            <w:r>
              <w:rPr>
                <w:sz w:val="20"/>
                <w:szCs w:val="20"/>
              </w:rPr>
              <w:t xml:space="preserve">22 %</w:t>
            </w:r>
          </w:p>
        </w:tc>
        <w:tc>
          <w:tcPr>
            <w:tcW w:type="pct" w:w="26%"/>
            <w:shd w:fill="F2F4F7"/>
            <w:tcMar>
              <w:top w:type="dxa" w:w="80"/>
              <w:left w:type="dxa" w:w="100"/>
              <w:bottom w:type="dxa" w:w="80"/>
              <w:right w:type="dxa" w:w="100"/>
            </w:tcMar>
          </w:tcPr>
          <w:p>
            <w:pPr>
              <w:spacing w:after="0" w:line="276"/>
            </w:pPr>
            <w:r>
              <w:rPr>
                <w:sz w:val="20"/>
                <w:szCs w:val="20"/>
              </w:rPr>
              <w:t xml:space="preserve">22 %</w:t>
            </w:r>
          </w:p>
        </w:tc>
      </w:tr>
      <w:tr>
        <w:tc>
          <w:tcPr>
            <w:tcW w:type="pct" w:w="27%"/>
            <w:tcMar>
              <w:top w:type="dxa" w:w="80"/>
              <w:left w:type="dxa" w:w="100"/>
              <w:bottom w:type="dxa" w:w="80"/>
              <w:right w:type="dxa" w:w="100"/>
            </w:tcMar>
          </w:tcPr>
          <w:p>
            <w:pPr>
              <w:spacing w:after="0" w:line="276"/>
            </w:pPr>
            <w:r>
              <w:rPr>
                <w:sz w:val="20"/>
                <w:szCs w:val="20"/>
              </w:rPr>
              <w:t xml:space="preserve">Pijača-jed</w:t>
            </w:r>
          </w:p>
        </w:tc>
        <w:tc>
          <w:tcPr>
            <w:tcW w:type="pct" w:w="20%"/>
            <w:tcMar>
              <w:top w:type="dxa" w:w="80"/>
              <w:left w:type="dxa" w:w="100"/>
              <w:bottom w:type="dxa" w:w="80"/>
              <w:right w:type="dxa" w:w="100"/>
            </w:tcMar>
          </w:tcPr>
          <w:p>
            <w:pPr>
              <w:spacing w:after="0" w:line="276"/>
            </w:pPr>
            <w:r>
              <w:rPr>
                <w:sz w:val="20"/>
                <w:szCs w:val="20"/>
              </w:rPr>
              <w:t xml:space="preserve">9,5 %</w:t>
            </w:r>
          </w:p>
        </w:tc>
        <w:tc>
          <w:tcPr>
            <w:tcW w:type="pct" w:w="27%"/>
            <w:tcMar>
              <w:top w:type="dxa" w:w="80"/>
              <w:left w:type="dxa" w:w="100"/>
              <w:bottom w:type="dxa" w:w="80"/>
              <w:right w:type="dxa" w:w="100"/>
            </w:tcMar>
          </w:tcPr>
          <w:p>
            <w:pPr>
              <w:spacing w:after="0" w:line="276"/>
            </w:pPr>
            <w:r>
              <w:rPr>
                <w:sz w:val="20"/>
                <w:szCs w:val="20"/>
              </w:rPr>
              <w:t xml:space="preserve">9,5 %</w:t>
            </w:r>
          </w:p>
        </w:tc>
        <w:tc>
          <w:tcPr>
            <w:tcW w:type="pct" w:w="26%"/>
            <w:tcMar>
              <w:top w:type="dxa" w:w="80"/>
              <w:left w:type="dxa" w:w="100"/>
              <w:bottom w:type="dxa" w:w="80"/>
              <w:right w:type="dxa" w:w="100"/>
            </w:tcMar>
          </w:tcPr>
          <w:p>
            <w:pPr>
              <w:spacing w:after="0" w:line="276"/>
            </w:pPr>
            <w:r>
              <w:rPr>
                <w:sz w:val="20"/>
                <w:szCs w:val="20"/>
              </w:rPr>
              <w:t xml:space="preserve">9,5 %</w:t>
            </w:r>
          </w:p>
        </w:tc>
      </w:tr>
    </w:tbl>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Preverite pri računovodji  </w:t>
            </w:r>
            <w:r>
              <w:rPr>
                <w:sz w:val="22"/>
                <w:szCs w:val="22"/>
              </w:rPr>
              <w:t xml:space="preserve">Izbira konservativnega ali liberalnega načina za s seboj je davčna nastavitev poslovanja. Program ne nadomešča davčne presoje.</w:t>
            </w:r>
          </w:p>
        </w:tc>
      </w:tr>
    </w:tbl>
    <w:p>
      <w:pPr>
        <w:pStyle w:val="Heading2"/>
        <w:keepNext/>
        <w:spacing w:after="100" w:before="180"/>
      </w:pPr>
      <w:r>
        <w:rPr>
          <w:b/>
          <w:bCs/>
          <w:color w:val="1F4E79"/>
          <w:sz w:val="26"/>
          <w:szCs w:val="26"/>
        </w:rPr>
        <w:t xml:space="preserve">3.7 Meni, artikli, normativi in modifikatorji</w:t>
      </w:r>
    </w:p>
    <w:p>
      <w:pPr>
        <w:pStyle w:val="ListParagraph"/>
        <w:numPr>
          <w:ilvl w:val="0"/>
          <w:numId w:val="1"/>
        </w:numPr>
        <w:spacing w:after="70" w:line="260"/>
      </w:pPr>
      <w:r>
        <w:rPr>
          <w:sz w:val="21"/>
          <w:szCs w:val="21"/>
        </w:rPr>
        <w:t xml:space="preserve">Kategorije določajo razvrstitev, vrstni red, barvo in tip (hrana/pijača).</w:t>
      </w:r>
    </w:p>
    <w:p>
      <w:pPr>
        <w:pStyle w:val="ListParagraph"/>
        <w:numPr>
          <w:ilvl w:val="0"/>
          <w:numId w:val="1"/>
        </w:numPr>
        <w:spacing w:after="70" w:line="260"/>
      </w:pPr>
      <w:r>
        <w:rPr>
          <w:sz w:val="21"/>
          <w:szCs w:val="21"/>
        </w:rPr>
        <w:t xml:space="preserve">Artikel vsebuje najmanj ime, prodajno ceno, enoto mere, DDV/davčno kategorijo in način prikaza. Dodate lahko sliko, opis, barvo, čas priprave, Happy Hour, možnost To Go in druge lastnosti.</w:t>
      </w:r>
    </w:p>
    <w:p>
      <w:pPr>
        <w:pStyle w:val="ListParagraph"/>
        <w:numPr>
          <w:ilvl w:val="0"/>
          <w:numId w:val="1"/>
        </w:numPr>
        <w:spacing w:after="70" w:line="260"/>
      </w:pPr>
      <w:r>
        <w:rPr>
          <w:sz w:val="21"/>
          <w:szCs w:val="21"/>
        </w:rPr>
        <w:t xml:space="preserve">Nabavni artikel je surovina za zalogo; prodajni artikel je namenjen prodaji; nabavno-prodajni artikel je oboje. Izbira tipa vpliva na meni in zalogo.</w:t>
      </w:r>
    </w:p>
    <w:p>
      <w:pPr>
        <w:pStyle w:val="ListParagraph"/>
        <w:numPr>
          <w:ilvl w:val="0"/>
          <w:numId w:val="1"/>
        </w:numPr>
        <w:spacing w:after="70" w:line="260"/>
      </w:pPr>
      <w:r>
        <w:rPr>
          <w:sz w:val="21"/>
          <w:szCs w:val="21"/>
        </w:rPr>
        <w:t xml:space="preserve">Normativ poveže prodajno ali pripravljeno jed z vhodnimi artikli in količinami. Pri spremembi normativa preverite tudi prihodnje porabe in ceno jedi.</w:t>
      </w:r>
    </w:p>
    <w:p>
      <w:pPr>
        <w:pStyle w:val="ListParagraph"/>
        <w:numPr>
          <w:ilvl w:val="0"/>
          <w:numId w:val="1"/>
        </w:numPr>
        <w:spacing w:after="70" w:line="260"/>
      </w:pPr>
      <w:r>
        <w:rPr>
          <w:sz w:val="21"/>
          <w:szCs w:val="21"/>
        </w:rPr>
        <w:t xml:space="preserve">Modifikatorji lahko porabljajo zalogo ali pripravljeno hrano. Pri pici preverite velikost, dodatke, faktor porabe in plačljive dodatke.</w:t>
      </w:r>
    </w:p>
    <w:p>
      <w:pPr>
        <w:pStyle w:val="ListParagraph"/>
        <w:numPr>
          <w:ilvl w:val="0"/>
          <w:numId w:val="1"/>
        </w:numPr>
        <w:spacing w:after="70" w:line="260"/>
      </w:pPr>
      <w:r>
        <w:rPr>
          <w:sz w:val="21"/>
          <w:szCs w:val="21"/>
        </w:rPr>
        <w:t xml:space="preserve">Meni je mogoče izvoziti/uvoziti v Excel. Po uvozu preverite DDV, cene, tip artikla in normative; prazne ali napačne vrstice ne smejo ostati neopažene.</w:t>
      </w:r>
    </w:p>
    <w:p>
      <w:pPr>
        <w:pStyle w:val="Heading2"/>
        <w:keepNext/>
        <w:spacing w:after="100" w:before="180"/>
      </w:pPr>
      <w:r>
        <w:rPr>
          <w:b/>
          <w:bCs/>
          <w:color w:val="1F4E79"/>
          <w:sz w:val="26"/>
          <w:szCs w:val="26"/>
        </w:rPr>
        <w:t xml:space="preserve">3.8 Tiskanje in plačilni terminali</w:t>
      </w:r>
    </w:p>
    <w:p>
      <w:pPr>
        <w:pStyle w:val="ListParagraph"/>
        <w:numPr>
          <w:ilvl w:val="0"/>
          <w:numId w:val="1"/>
        </w:numPr>
        <w:spacing w:after="70" w:line="260"/>
      </w:pPr>
      <w:r>
        <w:rPr>
          <w:sz w:val="21"/>
          <w:szCs w:val="21"/>
        </w:rPr>
        <w:t xml:space="preserve">Tiskalnik je lahko USB/COM, omrežni, Bluetooth, prek Windows agenta, Sunmi, ZCS, NB80 ali NYX mostu. Izbiro modela in papirja preverite pred prvo izmeno.</w:t>
      </w:r>
    </w:p>
    <w:p>
      <w:pPr>
        <w:pStyle w:val="ListParagraph"/>
        <w:numPr>
          <w:ilvl w:val="0"/>
          <w:numId w:val="1"/>
        </w:numPr>
        <w:spacing w:after="70" w:line="260"/>
      </w:pPr>
      <w:r>
        <w:rPr>
          <w:sz w:val="21"/>
          <w:szCs w:val="21"/>
        </w:rPr>
        <w:t xml:space="preserve">Pri Bluetooth tiskalnikih je kodna stran nastavitev konkretne naprave. Pri firmware-u, ki ne podpira slovenskih znakov, uporabite dogovorjeno ASCII-transliteracijo.</w:t>
      </w:r>
    </w:p>
    <w:p>
      <w:pPr>
        <w:pStyle w:val="ListParagraph"/>
        <w:numPr>
          <w:ilvl w:val="0"/>
          <w:numId w:val="1"/>
        </w:numPr>
        <w:spacing w:after="70" w:line="260"/>
      </w:pPr>
      <w:r>
        <w:rPr>
          <w:sz w:val="21"/>
          <w:szCs w:val="21"/>
        </w:rPr>
        <w:t xml:space="preserve">Payten, SumUp in Viva so lahko lokalni terminal, Android aplikacija, oblak ali Tap to Pay. Pred produkcijo izvedite testni znesek in preverite, da se referenca plačila shrani.</w:t>
      </w:r>
    </w:p>
    <w:p>
      <w:pPr>
        <w:pStyle w:val="Heading1"/>
        <w:keepNext/>
        <w:spacing w:after="100" w:before="300"/>
      </w:pPr>
      <w:r>
        <w:rPr>
          <w:b/>
          <w:bCs/>
          <w:color w:val="1F4E79"/>
          <w:sz w:val="30"/>
          <w:szCs w:val="30"/>
        </w:rPr>
        <w:t xml:space="preserve">4. Delo z mizami in naročili</w:t>
      </w:r>
    </w:p>
    <w:p>
      <w:pPr>
        <w:pStyle w:val="Heading2"/>
        <w:keepNext/>
        <w:spacing w:after="100" w:before="180"/>
      </w:pPr>
      <w:r>
        <w:rPr>
          <w:b/>
          <w:bCs/>
          <w:color w:val="1F4E79"/>
          <w:sz w:val="26"/>
          <w:szCs w:val="26"/>
        </w:rPr>
        <w:t xml:space="preserve">4.1 Odpiranje naročila</w:t>
      </w:r>
    </w:p>
    <w:p>
      <w:pPr>
        <w:pStyle w:val="ListParagraph"/>
        <w:numPr>
          <w:ilvl w:val="0"/>
          <w:numId w:val="2"/>
        </w:numPr>
        <w:spacing w:after="80" w:line="270"/>
      </w:pPr>
      <w:r>
        <w:rPr>
          <w:sz w:val="21"/>
          <w:szCs w:val="21"/>
        </w:rPr>
        <w:t xml:space="preserve">Na zaslonu »Mize« izberite prost prostor in mizo.</w:t>
      </w:r>
    </w:p>
    <w:p>
      <w:pPr>
        <w:pStyle w:val="ListParagraph"/>
        <w:numPr>
          <w:ilvl w:val="0"/>
          <w:numId w:val="2"/>
        </w:numPr>
        <w:spacing w:after="80" w:line="270"/>
      </w:pPr>
      <w:r>
        <w:rPr>
          <w:sz w:val="21"/>
          <w:szCs w:val="21"/>
        </w:rPr>
        <w:t xml:space="preserve">Kliknite mizo oziroma »Novo naročilo«. Pri telefonu ali dostavi izberite ustrezen način naročila.</w:t>
      </w:r>
    </w:p>
    <w:p>
      <w:pPr>
        <w:pStyle w:val="ListParagraph"/>
        <w:numPr>
          <w:ilvl w:val="0"/>
          <w:numId w:val="2"/>
        </w:numPr>
        <w:spacing w:after="80" w:line="270"/>
      </w:pPr>
      <w:r>
        <w:rPr>
          <w:sz w:val="21"/>
          <w:szCs w:val="21"/>
        </w:rPr>
        <w:t xml:space="preserve">Preverite, ali je na mizi že več odprtih naročil. Odprite pravo naročilo; ne ustvarjajte dvojnika.</w:t>
      </w:r>
    </w:p>
    <w:p>
      <w:pPr>
        <w:pStyle w:val="ListParagraph"/>
        <w:numPr>
          <w:ilvl w:val="0"/>
          <w:numId w:val="1"/>
        </w:numPr>
        <w:spacing w:after="70" w:line="260"/>
      </w:pPr>
      <w:r>
        <w:rPr>
          <w:sz w:val="21"/>
          <w:szCs w:val="21"/>
        </w:rPr>
        <w:t xml:space="preserve">Barve in značke označujejo prosto, zasedeno, rezervirano, delno zaračunano, v celoti zaračunano in QR naročilo.</w:t>
      </w:r>
    </w:p>
    <w:p>
      <w:pPr>
        <w:pStyle w:val="ListParagraph"/>
        <w:numPr>
          <w:ilvl w:val="0"/>
          <w:numId w:val="1"/>
        </w:numPr>
        <w:spacing w:after="70" w:line="260"/>
      </w:pPr>
      <w:r>
        <w:rPr>
          <w:sz w:val="21"/>
          <w:szCs w:val="21"/>
        </w:rPr>
        <w:t xml:space="preserve">Če je na isti mizi več QR naprav, naročil ne združujte samodejno. POS prikaže vsako ločeno naročilo, da ne pride do napačnega obračuna.</w:t>
      </w:r>
    </w:p>
    <w:p>
      <w:pPr>
        <w:pStyle w:val="Heading2"/>
        <w:keepNext/>
        <w:spacing w:after="100" w:before="180"/>
      </w:pPr>
      <w:r>
        <w:rPr>
          <w:b/>
          <w:bCs/>
          <w:color w:val="1F4E79"/>
          <w:sz w:val="26"/>
          <w:szCs w:val="26"/>
        </w:rPr>
        <w:t xml:space="preserve">4.2 Dodajanje artiklov</w:t>
      </w:r>
    </w:p>
    <w:p>
      <w:pPr>
        <w:pStyle w:val="ListParagraph"/>
        <w:numPr>
          <w:ilvl w:val="0"/>
          <w:numId w:val="1"/>
        </w:numPr>
        <w:spacing w:after="70" w:line="260"/>
      </w:pPr>
      <w:r>
        <w:rPr>
          <w:sz w:val="21"/>
          <w:szCs w:val="21"/>
        </w:rPr>
        <w:t xml:space="preserve">Artikel poiščite po kategoriji, zavihku »Vse« ali iskanju. Klik na artikel ga doda v naročilo. Količino spremenite s kontrolami količine.</w:t>
      </w:r>
    </w:p>
    <w:p>
      <w:pPr>
        <w:pStyle w:val="ListParagraph"/>
        <w:numPr>
          <w:ilvl w:val="0"/>
          <w:numId w:val="1"/>
        </w:numPr>
        <w:spacing w:after="70" w:line="260"/>
      </w:pPr>
      <w:r>
        <w:rPr>
          <w:sz w:val="21"/>
          <w:szCs w:val="21"/>
        </w:rPr>
        <w:t xml:space="preserve">Pri artiklu izberite velikost, dodatke, modifikatorje, odstranitev sestavine in opombo za kuhinjo. Pred pošiljanjem preverite povzetek.</w:t>
      </w:r>
    </w:p>
    <w:p>
      <w:pPr>
        <w:pStyle w:val="ListParagraph"/>
        <w:numPr>
          <w:ilvl w:val="0"/>
          <w:numId w:val="1"/>
        </w:numPr>
        <w:spacing w:after="70" w:line="260"/>
      </w:pPr>
      <w:r>
        <w:rPr>
          <w:sz w:val="21"/>
          <w:szCs w:val="21"/>
        </w:rPr>
        <w:t xml:space="preserve">Opomba naročila je za osebje in ni nadomestilo za pravilno izbiro artikla, modifikatorja ali alergenskega postopka.</w:t>
      </w:r>
    </w:p>
    <w:p>
      <w:pPr>
        <w:pStyle w:val="ListParagraph"/>
        <w:numPr>
          <w:ilvl w:val="0"/>
          <w:numId w:val="1"/>
        </w:numPr>
        <w:spacing w:after="70" w:line="260"/>
      </w:pPr>
      <w:r>
        <w:rPr>
          <w:sz w:val="21"/>
          <w:szCs w:val="21"/>
        </w:rPr>
        <w:t xml:space="preserve">Za pice preverite premer/velikost. Cena sledi velikosti; plačljiv dodatek porabe uporablja celotni normativ dodatka in faktor 1.</w:t>
      </w:r>
    </w:p>
    <w:p>
      <w:pPr>
        <w:pStyle w:val="Heading2"/>
        <w:keepNext/>
        <w:spacing w:after="100" w:before="180"/>
      </w:pPr>
      <w:r>
        <w:rPr>
          <w:b/>
          <w:bCs/>
          <w:color w:val="1F4E79"/>
          <w:sz w:val="26"/>
          <w:szCs w:val="26"/>
        </w:rPr>
        <w:t xml:space="preserve">4.3 Kuhinja in točilnica</w:t>
      </w:r>
    </w:p>
    <w:p>
      <w:pPr>
        <w:pStyle w:val="ListParagraph"/>
        <w:numPr>
          <w:ilvl w:val="0"/>
          <w:numId w:val="1"/>
        </w:numPr>
        <w:spacing w:after="70" w:line="260"/>
      </w:pPr>
      <w:r>
        <w:rPr>
          <w:sz w:val="21"/>
          <w:szCs w:val="21"/>
        </w:rPr>
        <w:t xml:space="preserve">Pošljite naročilo v kuhinjo oziroma točilnico, ko je vsebina potrjena. KDS prikazuje samo postavke, ki pripadajo konkretnemu zaslonu.</w:t>
      </w:r>
    </w:p>
    <w:p>
      <w:pPr>
        <w:pStyle w:val="ListParagraph"/>
        <w:numPr>
          <w:ilvl w:val="0"/>
          <w:numId w:val="1"/>
        </w:numPr>
        <w:spacing w:after="70" w:line="260"/>
      </w:pPr>
      <w:r>
        <w:rPr>
          <w:sz w:val="21"/>
          <w:szCs w:val="21"/>
        </w:rPr>
        <w:t xml:space="preserve">Čas priprave je ciljni čas za kuhinjo. Čas prihoda dostavljavca je ločen podatek in ne prestavlja cilja priprave.</w:t>
      </w:r>
    </w:p>
    <w:p>
      <w:pPr>
        <w:pStyle w:val="ListParagraph"/>
        <w:numPr>
          <w:ilvl w:val="0"/>
          <w:numId w:val="1"/>
        </w:numPr>
        <w:spacing w:after="70" w:line="260"/>
      </w:pPr>
      <w:r>
        <w:rPr>
          <w:sz w:val="21"/>
          <w:szCs w:val="21"/>
        </w:rPr>
        <w:t xml:space="preserve">Ko so vse postavke za določen KDS pripravljene, se ta del umakne kot aktiven, tudi če je naročilo kot celota še odprto.</w:t>
      </w:r>
    </w:p>
    <w:p>
      <w:pPr>
        <w:pStyle w:val="ListParagraph"/>
        <w:numPr>
          <w:ilvl w:val="0"/>
          <w:numId w:val="1"/>
        </w:numPr>
        <w:spacing w:after="70" w:line="260"/>
      </w:pPr>
      <w:r>
        <w:rPr>
          <w:sz w:val="21"/>
          <w:szCs w:val="21"/>
        </w:rPr>
        <w:t xml:space="preserve">Alkohol iz QR naročila ne blokirajte v KDS. Osebje preveri starost in opitost pri postrežbi pri mizi.</w:t>
      </w:r>
    </w:p>
    <w:p>
      <w:pPr>
        <w:pStyle w:val="Heading2"/>
        <w:keepNext/>
        <w:spacing w:after="100" w:before="180"/>
      </w:pPr>
      <w:r>
        <w:rPr>
          <w:b/>
          <w:bCs/>
          <w:color w:val="1F4E79"/>
          <w:sz w:val="26"/>
          <w:szCs w:val="26"/>
        </w:rPr>
        <w:t xml:space="preserve">4.4 Prestavljanje, združevanje in prazna miza</w:t>
      </w:r>
    </w:p>
    <w:p>
      <w:pPr>
        <w:pStyle w:val="ListParagraph"/>
        <w:numPr>
          <w:ilvl w:val="0"/>
          <w:numId w:val="1"/>
        </w:numPr>
        <w:spacing w:after="70" w:line="260"/>
      </w:pPr>
      <w:r>
        <w:rPr>
          <w:sz w:val="21"/>
          <w:szCs w:val="21"/>
        </w:rPr>
        <w:t xml:space="preserve">»Prestavi« uporabite, kadar se gostje fizično presedejo. Preverite ciljno mizo in odprta naročila.</w:t>
      </w:r>
    </w:p>
    <w:p>
      <w:pPr>
        <w:pStyle w:val="ListParagraph"/>
        <w:numPr>
          <w:ilvl w:val="0"/>
          <w:numId w:val="1"/>
        </w:numPr>
        <w:spacing w:after="70" w:line="260"/>
      </w:pPr>
      <w:r>
        <w:rPr>
          <w:sz w:val="21"/>
          <w:szCs w:val="21"/>
        </w:rPr>
        <w:t xml:space="preserve">»Spoji« uporabite samo, kadar želite združiti naročila istega gosta. Pred potrditvijo preverite vse postavke in opombe.</w:t>
      </w:r>
    </w:p>
    <w:p>
      <w:pPr>
        <w:pStyle w:val="ListParagraph"/>
        <w:numPr>
          <w:ilvl w:val="0"/>
          <w:numId w:val="1"/>
        </w:numPr>
        <w:spacing w:after="70" w:line="260"/>
      </w:pPr>
      <w:r>
        <w:rPr>
          <w:sz w:val="21"/>
          <w:szCs w:val="21"/>
        </w:rPr>
        <w:t xml:space="preserve">»Zapri prazno mizo« je dovoljeno le, ko na njej ni več obračunljivih postavk ali odprtih postopkov.</w:t>
      </w:r>
    </w:p>
    <w:p>
      <w:pPr>
        <w:pStyle w:val="Heading2"/>
        <w:keepNext/>
        <w:spacing w:after="100" w:before="180"/>
      </w:pPr>
      <w:r>
        <w:rPr>
          <w:b/>
          <w:bCs/>
          <w:color w:val="1F4E79"/>
          <w:sz w:val="26"/>
          <w:szCs w:val="26"/>
        </w:rPr>
        <w:t xml:space="preserve">4.5 QR, To Go, telefon in dostava</w:t>
      </w:r>
    </w:p>
    <w:p>
      <w:pPr>
        <w:pStyle w:val="ListParagraph"/>
        <w:numPr>
          <w:ilvl w:val="0"/>
          <w:numId w:val="1"/>
        </w:numPr>
        <w:spacing w:after="70" w:line="260"/>
      </w:pPr>
      <w:r>
        <w:rPr>
          <w:sz w:val="21"/>
          <w:szCs w:val="21"/>
        </w:rPr>
        <w:t xml:space="preserve">QR gost artikel doda v košarico, naročilo pa se odda šele s potrditvijo košarice. Glava QR menija kaže mizo in prostor.</w:t>
      </w:r>
    </w:p>
    <w:p>
      <w:pPr>
        <w:pStyle w:val="ListParagraph"/>
        <w:numPr>
          <w:ilvl w:val="0"/>
          <w:numId w:val="1"/>
        </w:numPr>
        <w:spacing w:after="70" w:line="260"/>
      </w:pPr>
      <w:r>
        <w:rPr>
          <w:sz w:val="21"/>
          <w:szCs w:val="21"/>
        </w:rPr>
        <w:t xml:space="preserve">Možnost »To Go« se prikaže samo pri artiklu, ki jo ima omogočeno. Embalaža in cena se po potrebi dodata na konkretno postavko. Strežnik izbiro ponovno preveri.</w:t>
      </w:r>
    </w:p>
    <w:p>
      <w:pPr>
        <w:pStyle w:val="ListParagraph"/>
        <w:numPr>
          <w:ilvl w:val="0"/>
          <w:numId w:val="1"/>
        </w:numPr>
        <w:spacing w:after="70" w:line="260"/>
      </w:pPr>
      <w:r>
        <w:rPr>
          <w:sz w:val="21"/>
          <w:szCs w:val="21"/>
        </w:rPr>
        <w:t xml:space="preserve">Telefonski prevzem in dostava naročnika razrešita po normalizirani telefonski številki znotraj iste enote. Pred potrditvijo preverite ime, naslov in opombo.</w:t>
      </w:r>
    </w:p>
    <w:p>
      <w:pPr>
        <w:pStyle w:val="ListParagraph"/>
        <w:numPr>
          <w:ilvl w:val="0"/>
          <w:numId w:val="1"/>
        </w:numPr>
        <w:spacing w:after="70" w:line="260"/>
      </w:pPr>
      <w:r>
        <w:rPr>
          <w:sz w:val="21"/>
          <w:szCs w:val="21"/>
        </w:rPr>
        <w:t xml:space="preserve">Pri dohodnem klicu CTI mora biti izbrana prava enota; klicni žeton je vezan na enoto in ni namenjen ročnemu kopiranju.</w:t>
      </w:r>
    </w:p>
    <w:p>
      <w:pPr>
        <w:pStyle w:val="Heading1"/>
        <w:keepNext/>
        <w:spacing w:after="100" w:before="300"/>
      </w:pPr>
      <w:r>
        <w:rPr>
          <w:b/>
          <w:bCs/>
          <w:color w:val="1F4E79"/>
          <w:sz w:val="30"/>
          <w:szCs w:val="30"/>
        </w:rPr>
        <w:t xml:space="preserve">5. Plačilo in izdaja računa</w:t>
      </w:r>
    </w:p>
    <w:p>
      <w:pPr>
        <w:pStyle w:val="Heading2"/>
        <w:keepNext/>
        <w:spacing w:after="100" w:before="180"/>
      </w:pPr>
      <w:r>
        <w:rPr>
          <w:b/>
          <w:bCs/>
          <w:color w:val="1F4E79"/>
          <w:sz w:val="26"/>
          <w:szCs w:val="26"/>
        </w:rPr>
        <w:t xml:space="preserve">5.1 Priprava računa</w:t>
      </w:r>
    </w:p>
    <w:p>
      <w:pPr>
        <w:pStyle w:val="ListParagraph"/>
        <w:numPr>
          <w:ilvl w:val="0"/>
          <w:numId w:val="2"/>
        </w:numPr>
        <w:spacing w:after="80" w:line="270"/>
      </w:pPr>
      <w:r>
        <w:rPr>
          <w:sz w:val="21"/>
          <w:szCs w:val="21"/>
        </w:rPr>
        <w:t xml:space="preserve">Odprite »Blagajna« in izberite aktivno odprto naročilo.</w:t>
      </w:r>
    </w:p>
    <w:p>
      <w:pPr>
        <w:pStyle w:val="ListParagraph"/>
        <w:numPr>
          <w:ilvl w:val="0"/>
          <w:numId w:val="2"/>
        </w:numPr>
        <w:spacing w:after="80" w:line="270"/>
      </w:pPr>
      <w:r>
        <w:rPr>
          <w:sz w:val="21"/>
          <w:szCs w:val="21"/>
        </w:rPr>
        <w:t xml:space="preserve">Preverite mizo/prostor, natakarja, postavke, količine, modifikatorje, To Go in DDV.</w:t>
      </w:r>
    </w:p>
    <w:p>
      <w:pPr>
        <w:pStyle w:val="ListParagraph"/>
        <w:numPr>
          <w:ilvl w:val="0"/>
          <w:numId w:val="2"/>
        </w:numPr>
        <w:spacing w:after="80" w:line="270"/>
      </w:pPr>
      <w:r>
        <w:rPr>
          <w:sz w:val="21"/>
          <w:szCs w:val="21"/>
        </w:rPr>
        <w:t xml:space="preserve">Če je potrebno, izberite samo del postavk za delni račun.</w:t>
      </w:r>
    </w:p>
    <w:p>
      <w:pPr>
        <w:pStyle w:val="ListParagraph"/>
        <w:numPr>
          <w:ilvl w:val="0"/>
          <w:numId w:val="2"/>
        </w:numPr>
        <w:spacing w:after="80" w:line="270"/>
      </w:pPr>
      <w:r>
        <w:rPr>
          <w:sz w:val="21"/>
          <w:szCs w:val="21"/>
        </w:rPr>
        <w:t xml:space="preserve">Izberite način plačila in preverite znesek, nato izvedite plačilo.</w:t>
      </w:r>
    </w:p>
    <w:p>
      <w:pPr>
        <w:pStyle w:val="ListParagraph"/>
        <w:numPr>
          <w:ilvl w:val="0"/>
          <w:numId w:val="2"/>
        </w:numPr>
        <w:spacing w:after="80" w:line="270"/>
      </w:pPr>
      <w:r>
        <w:rPr>
          <w:sz w:val="21"/>
          <w:szCs w:val="21"/>
        </w:rPr>
        <w:t xml:space="preserve">Po uspešni fiskalizaciji natisnite račun oziroma ga pošljite po e-pošti.</w:t>
      </w:r>
    </w:p>
    <w:p>
      <w:pPr>
        <w:pStyle w:val="Heading2"/>
        <w:keepNext/>
        <w:spacing w:after="100" w:before="180"/>
      </w:pPr>
      <w:r>
        <w:rPr>
          <w:b/>
          <w:bCs/>
          <w:color w:val="1F4E79"/>
          <w:sz w:val="26"/>
          <w:szCs w:val="26"/>
        </w:rPr>
        <w:t xml:space="preserve">5.2 Načini plačila</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5"/>
        <w:gridCol w:w="75"/>
      </w:tblGrid>
      <w:tr>
        <w:tc>
          <w:tcPr>
            <w:tcW w:type="pct" w:w="25%"/>
            <w:shd w:fill="1F4E79"/>
            <w:tcMar>
              <w:top w:type="dxa" w:w="90"/>
              <w:left w:type="dxa" w:w="100"/>
              <w:bottom w:type="dxa" w:w="90"/>
              <w:right w:type="dxa" w:w="100"/>
            </w:tcMar>
          </w:tcPr>
          <w:p>
            <w:pPr>
              <w:spacing w:after="0" w:line="276"/>
            </w:pPr>
            <w:r>
              <w:rPr>
                <w:b/>
                <w:bCs/>
                <w:color w:val="FFFFFF"/>
                <w:sz w:val="20"/>
                <w:szCs w:val="20"/>
              </w:rPr>
              <w:t xml:space="preserve">Način</w:t>
            </w:r>
          </w:p>
        </w:tc>
        <w:tc>
          <w:tcPr>
            <w:tcW w:type="pct" w:w="75%"/>
            <w:shd w:fill="1F4E79"/>
            <w:tcMar>
              <w:top w:type="dxa" w:w="90"/>
              <w:left w:type="dxa" w:w="100"/>
              <w:bottom w:type="dxa" w:w="90"/>
              <w:right w:type="dxa" w:w="100"/>
            </w:tcMar>
          </w:tcPr>
          <w:p>
            <w:pPr>
              <w:spacing w:after="0" w:line="276"/>
            </w:pPr>
            <w:r>
              <w:rPr>
                <w:b/>
                <w:bCs/>
                <w:color w:val="FFFFFF"/>
                <w:sz w:val="20"/>
                <w:szCs w:val="20"/>
              </w:rPr>
              <w:t xml:space="preserve">Navodilo</w:t>
            </w:r>
          </w:p>
        </w:tc>
      </w:tr>
      <w:tr>
        <w:tc>
          <w:tcPr>
            <w:tcW w:type="pct" w:w="25%"/>
            <w:tcMar>
              <w:top w:type="dxa" w:w="80"/>
              <w:left w:type="dxa" w:w="100"/>
              <w:bottom w:type="dxa" w:w="80"/>
              <w:right w:type="dxa" w:w="100"/>
            </w:tcMar>
          </w:tcPr>
          <w:p>
            <w:pPr>
              <w:spacing w:after="0" w:line="276"/>
            </w:pPr>
            <w:r>
              <w:rPr>
                <w:sz w:val="20"/>
                <w:szCs w:val="20"/>
              </w:rPr>
              <w:t xml:space="preserve">Gotovina</w:t>
            </w:r>
          </w:p>
        </w:tc>
        <w:tc>
          <w:tcPr>
            <w:tcW w:type="pct" w:w="75%"/>
            <w:tcMar>
              <w:top w:type="dxa" w:w="80"/>
              <w:left w:type="dxa" w:w="100"/>
              <w:bottom w:type="dxa" w:w="80"/>
              <w:right w:type="dxa" w:w="100"/>
            </w:tcMar>
          </w:tcPr>
          <w:p>
            <w:pPr>
              <w:spacing w:after="0" w:line="276"/>
            </w:pPr>
            <w:r>
              <w:rPr>
                <w:sz w:val="20"/>
                <w:szCs w:val="20"/>
              </w:rPr>
              <w:t xml:space="preserve">Vnesite prejeti znesek; program izračuna vračilo. Denar preštejte pred potrditvijo.</w:t>
            </w:r>
          </w:p>
        </w:tc>
      </w:tr>
      <w:tr>
        <w:tc>
          <w:tcPr>
            <w:tcW w:type="pct" w:w="25%"/>
            <w:shd w:fill="F2F4F7"/>
            <w:tcMar>
              <w:top w:type="dxa" w:w="80"/>
              <w:left w:type="dxa" w:w="100"/>
              <w:bottom w:type="dxa" w:w="80"/>
              <w:right w:type="dxa" w:w="100"/>
            </w:tcMar>
          </w:tcPr>
          <w:p>
            <w:pPr>
              <w:spacing w:after="0" w:line="276"/>
            </w:pPr>
            <w:r>
              <w:rPr>
                <w:sz w:val="20"/>
                <w:szCs w:val="20"/>
              </w:rPr>
              <w:t xml:space="preserve">Kartica</w:t>
            </w:r>
          </w:p>
        </w:tc>
        <w:tc>
          <w:tcPr>
            <w:tcW w:type="pct" w:w="75%"/>
            <w:shd w:fill="F2F4F7"/>
            <w:tcMar>
              <w:top w:type="dxa" w:w="80"/>
              <w:left w:type="dxa" w:w="100"/>
              <w:bottom w:type="dxa" w:w="80"/>
              <w:right w:type="dxa" w:w="100"/>
            </w:tcMar>
          </w:tcPr>
          <w:p>
            <w:pPr>
              <w:spacing w:after="0" w:line="276"/>
            </w:pPr>
            <w:r>
              <w:rPr>
                <w:sz w:val="20"/>
                <w:szCs w:val="20"/>
              </w:rPr>
              <w:t xml:space="preserve">Ročno evidentiranje ali potrjen terminalski tok. Pri terminalu počakajte na uspeh in varno referenco.</w:t>
            </w:r>
          </w:p>
        </w:tc>
      </w:tr>
      <w:tr>
        <w:tc>
          <w:tcPr>
            <w:tcW w:type="pct" w:w="25%"/>
            <w:tcMar>
              <w:top w:type="dxa" w:w="80"/>
              <w:left w:type="dxa" w:w="100"/>
              <w:bottom w:type="dxa" w:w="80"/>
              <w:right w:type="dxa" w:w="100"/>
            </w:tcMar>
          </w:tcPr>
          <w:p>
            <w:pPr>
              <w:spacing w:after="0" w:line="276"/>
            </w:pPr>
            <w:r>
              <w:rPr>
                <w:sz w:val="20"/>
                <w:szCs w:val="20"/>
              </w:rPr>
              <w:t xml:space="preserve">Payten / SumUp / Viva</w:t>
            </w:r>
          </w:p>
        </w:tc>
        <w:tc>
          <w:tcPr>
            <w:tcW w:type="pct" w:w="75%"/>
            <w:tcMar>
              <w:top w:type="dxa" w:w="80"/>
              <w:left w:type="dxa" w:w="100"/>
              <w:bottom w:type="dxa" w:w="80"/>
              <w:right w:type="dxa" w:w="100"/>
            </w:tcMar>
          </w:tcPr>
          <w:p>
            <w:pPr>
              <w:spacing w:after="0" w:line="276"/>
            </w:pPr>
            <w:r>
              <w:rPr>
                <w:sz w:val="20"/>
                <w:szCs w:val="20"/>
              </w:rPr>
              <w:t xml:space="preserve">Izberite ustrezen terminal, pošljite znesek, počakajte na potrditev in šele nato zaključite račun.</w:t>
            </w:r>
          </w:p>
        </w:tc>
      </w:tr>
      <w:tr>
        <w:tc>
          <w:tcPr>
            <w:tcW w:type="pct" w:w="25%"/>
            <w:shd w:fill="F2F4F7"/>
            <w:tcMar>
              <w:top w:type="dxa" w:w="80"/>
              <w:left w:type="dxa" w:w="100"/>
              <w:bottom w:type="dxa" w:w="80"/>
              <w:right w:type="dxa" w:w="100"/>
            </w:tcMar>
          </w:tcPr>
          <w:p>
            <w:pPr>
              <w:spacing w:after="0" w:line="276"/>
            </w:pPr>
            <w:r>
              <w:rPr>
                <w:sz w:val="20"/>
                <w:szCs w:val="20"/>
              </w:rPr>
              <w:t xml:space="preserve">Bon</w:t>
            </w:r>
          </w:p>
        </w:tc>
        <w:tc>
          <w:tcPr>
            <w:tcW w:type="pct" w:w="75%"/>
            <w:shd w:fill="F2F4F7"/>
            <w:tcMar>
              <w:top w:type="dxa" w:w="80"/>
              <w:left w:type="dxa" w:w="100"/>
              <w:bottom w:type="dxa" w:w="80"/>
              <w:right w:type="dxa" w:w="100"/>
            </w:tcMar>
          </w:tcPr>
          <w:p>
            <w:pPr>
              <w:spacing w:after="0" w:line="276"/>
            </w:pPr>
            <w:r>
              <w:rPr>
                <w:sz w:val="20"/>
                <w:szCs w:val="20"/>
              </w:rPr>
              <w:t xml:space="preserve">Vnesite oziroma izberite uporabljeni znesek bona; preverite preostanek za doplačilo.</w:t>
            </w:r>
          </w:p>
        </w:tc>
      </w:tr>
      <w:tr>
        <w:tc>
          <w:tcPr>
            <w:tcW w:type="pct" w:w="25%"/>
            <w:tcMar>
              <w:top w:type="dxa" w:w="80"/>
              <w:left w:type="dxa" w:w="100"/>
              <w:bottom w:type="dxa" w:w="80"/>
              <w:right w:type="dxa" w:w="100"/>
            </w:tcMar>
          </w:tcPr>
          <w:p>
            <w:pPr>
              <w:spacing w:after="0" w:line="276"/>
            </w:pPr>
            <w:r>
              <w:rPr>
                <w:sz w:val="20"/>
                <w:szCs w:val="20"/>
              </w:rPr>
              <w:t xml:space="preserve">Študentski bon</w:t>
            </w:r>
          </w:p>
        </w:tc>
        <w:tc>
          <w:tcPr>
            <w:tcW w:type="pct" w:w="75%"/>
            <w:tcMar>
              <w:top w:type="dxa" w:w="80"/>
              <w:left w:type="dxa" w:w="100"/>
              <w:bottom w:type="dxa" w:w="80"/>
              <w:right w:type="dxa" w:w="100"/>
            </w:tcMar>
          </w:tcPr>
          <w:p>
            <w:pPr>
              <w:spacing w:after="0" w:line="276"/>
            </w:pPr>
            <w:r>
              <w:rPr>
                <w:sz w:val="20"/>
                <w:szCs w:val="20"/>
              </w:rPr>
              <w:t xml:space="preserve">Subvencija je terjatev, ne popust. Uporabite predviden tok, da se ne zmanjša prodajna cena.</w:t>
            </w:r>
          </w:p>
        </w:tc>
      </w:tr>
      <w:tr>
        <w:tc>
          <w:tcPr>
            <w:tcW w:type="pct" w:w="25%"/>
            <w:shd w:fill="F2F4F7"/>
            <w:tcMar>
              <w:top w:type="dxa" w:w="80"/>
              <w:left w:type="dxa" w:w="100"/>
              <w:bottom w:type="dxa" w:w="80"/>
              <w:right w:type="dxa" w:w="100"/>
            </w:tcMar>
          </w:tcPr>
          <w:p>
            <w:pPr>
              <w:spacing w:after="0" w:line="276"/>
            </w:pPr>
            <w:r>
              <w:rPr>
                <w:sz w:val="20"/>
                <w:szCs w:val="20"/>
              </w:rPr>
              <w:t xml:space="preserve">Bon za pico</w:t>
            </w:r>
          </w:p>
        </w:tc>
        <w:tc>
          <w:tcPr>
            <w:tcW w:type="pct" w:w="75%"/>
            <w:shd w:fill="F2F4F7"/>
            <w:tcMar>
              <w:top w:type="dxa" w:w="80"/>
              <w:left w:type="dxa" w:w="100"/>
              <w:bottom w:type="dxa" w:w="80"/>
              <w:right w:type="dxa" w:w="100"/>
            </w:tcMar>
          </w:tcPr>
          <w:p>
            <w:pPr>
              <w:spacing w:after="0" w:line="276"/>
            </w:pPr>
            <w:r>
              <w:rPr>
                <w:sz w:val="20"/>
                <w:szCs w:val="20"/>
              </w:rPr>
              <w:t xml:space="preserve">Bon je informativno/promocijsko pokritje pice; preostanek računa se plača z drugim načinom.</w:t>
            </w:r>
          </w:p>
        </w:tc>
      </w:tr>
      <w:tr>
        <w:tc>
          <w:tcPr>
            <w:tcW w:type="pct" w:w="25%"/>
            <w:tcMar>
              <w:top w:type="dxa" w:w="80"/>
              <w:left w:type="dxa" w:w="100"/>
              <w:bottom w:type="dxa" w:w="80"/>
              <w:right w:type="dxa" w:w="100"/>
            </w:tcMar>
          </w:tcPr>
          <w:p>
            <w:pPr>
              <w:spacing w:after="0" w:line="276"/>
            </w:pPr>
            <w:r>
              <w:rPr>
                <w:sz w:val="20"/>
                <w:szCs w:val="20"/>
              </w:rPr>
              <w:t xml:space="preserve">Darilni bon</w:t>
            </w:r>
          </w:p>
        </w:tc>
        <w:tc>
          <w:tcPr>
            <w:tcW w:type="pct" w:w="75%"/>
            <w:tcMar>
              <w:top w:type="dxa" w:w="80"/>
              <w:left w:type="dxa" w:w="100"/>
              <w:bottom w:type="dxa" w:w="80"/>
              <w:right w:type="dxa" w:w="100"/>
            </w:tcMar>
          </w:tcPr>
          <w:p>
            <w:pPr>
              <w:spacing w:after="0" w:line="276"/>
            </w:pPr>
            <w:r>
              <w:rPr>
                <w:sz w:val="20"/>
                <w:szCs w:val="20"/>
              </w:rPr>
              <w:t xml:space="preserve">Pri unovčitvi preverite stanje. Pri izdaji bona določite vrednost in način prejema plačila.</w:t>
            </w:r>
          </w:p>
        </w:tc>
      </w:tr>
      <w:tr>
        <w:tc>
          <w:tcPr>
            <w:tcW w:type="pct" w:w="25%"/>
            <w:shd w:fill="F2F4F7"/>
            <w:tcMar>
              <w:top w:type="dxa" w:w="80"/>
              <w:left w:type="dxa" w:w="100"/>
              <w:bottom w:type="dxa" w:w="80"/>
              <w:right w:type="dxa" w:w="100"/>
            </w:tcMar>
          </w:tcPr>
          <w:p>
            <w:pPr>
              <w:spacing w:after="0" w:line="276"/>
            </w:pPr>
            <w:r>
              <w:rPr>
                <w:sz w:val="20"/>
                <w:szCs w:val="20"/>
              </w:rPr>
              <w:t xml:space="preserve">Nakazilo / negotovinsko</w:t>
            </w:r>
          </w:p>
        </w:tc>
        <w:tc>
          <w:tcPr>
            <w:tcW w:type="pct" w:w="75%"/>
            <w:shd w:fill="F2F4F7"/>
            <w:tcMar>
              <w:top w:type="dxa" w:w="80"/>
              <w:left w:type="dxa" w:w="100"/>
              <w:bottom w:type="dxa" w:w="80"/>
              <w:right w:type="dxa" w:w="100"/>
            </w:tcMar>
          </w:tcPr>
          <w:p>
            <w:pPr>
              <w:spacing w:after="0" w:line="276"/>
            </w:pPr>
            <w:r>
              <w:rPr>
                <w:sz w:val="20"/>
                <w:szCs w:val="20"/>
              </w:rPr>
              <w:t xml:space="preserve">Izberite partnerja, preverite IBAN in rok plačila. Uporabite samo, če je dovoljeno za konkretnega kupca.</w:t>
            </w:r>
          </w:p>
        </w:tc>
      </w:tr>
      <w:tr>
        <w:tc>
          <w:tcPr>
            <w:tcW w:type="pct" w:w="25%"/>
            <w:tcMar>
              <w:top w:type="dxa" w:w="80"/>
              <w:left w:type="dxa" w:w="100"/>
              <w:bottom w:type="dxa" w:w="80"/>
              <w:right w:type="dxa" w:w="100"/>
            </w:tcMar>
          </w:tcPr>
          <w:p>
            <w:pPr>
              <w:spacing w:after="0" w:line="276"/>
            </w:pPr>
            <w:r>
              <w:rPr>
                <w:sz w:val="20"/>
                <w:szCs w:val="20"/>
              </w:rPr>
              <w:t xml:space="preserve">Reprezentanca / lastna poraba</w:t>
            </w:r>
          </w:p>
        </w:tc>
        <w:tc>
          <w:tcPr>
            <w:tcW w:type="pct" w:w="75%"/>
            <w:tcMar>
              <w:top w:type="dxa" w:w="80"/>
              <w:left w:type="dxa" w:w="100"/>
              <w:bottom w:type="dxa" w:w="80"/>
              <w:right w:type="dxa" w:w="100"/>
            </w:tcMar>
          </w:tcPr>
          <w:p>
            <w:pPr>
              <w:spacing w:after="0" w:line="276"/>
            </w:pPr>
            <w:r>
              <w:rPr>
                <w:sz w:val="20"/>
                <w:szCs w:val="20"/>
              </w:rPr>
              <w:t xml:space="preserve">Brezplačna postrežba z ločeno poslovno razlago. Ne uporabljajte kot nadomestilo za popust.</w:t>
            </w:r>
          </w:p>
        </w:tc>
      </w:tr>
    </w:tbl>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Terminal  </w:t>
            </w:r>
            <w:r>
              <w:rPr>
                <w:sz w:val="22"/>
                <w:szCs w:val="22"/>
              </w:rPr>
              <w:t xml:space="preserve">Če terminal potrdi plačilo, ne klikajte večkrat in ne začenjajte nove transakcije. Najprej preverite status/reference. Tako preprečite dvojno bremenitev.</w:t>
            </w:r>
          </w:p>
        </w:tc>
      </w:tr>
    </w:tbl>
    <w:p>
      <w:pPr>
        <w:pStyle w:val="Heading2"/>
        <w:keepNext/>
        <w:spacing w:after="100" w:before="180"/>
      </w:pPr>
      <w:r>
        <w:rPr>
          <w:b/>
          <w:bCs/>
          <w:color w:val="1F4E79"/>
          <w:sz w:val="26"/>
          <w:szCs w:val="26"/>
        </w:rPr>
        <w:t xml:space="preserve">5.3 Delni in mešani račun</w:t>
      </w:r>
    </w:p>
    <w:p>
      <w:pPr>
        <w:pStyle w:val="ListParagraph"/>
        <w:numPr>
          <w:ilvl w:val="0"/>
          <w:numId w:val="1"/>
        </w:numPr>
        <w:spacing w:after="70" w:line="260"/>
      </w:pPr>
      <w:r>
        <w:rPr>
          <w:sz w:val="21"/>
          <w:szCs w:val="21"/>
        </w:rPr>
        <w:t xml:space="preserve">Pri delnem računu označite postavke, ki jih plača prvi gost. Izdani del dobi lastno davčno sled; preostanek ostane odprt.</w:t>
      </w:r>
    </w:p>
    <w:p>
      <w:pPr>
        <w:pStyle w:val="ListParagraph"/>
        <w:numPr>
          <w:ilvl w:val="0"/>
          <w:numId w:val="1"/>
        </w:numPr>
        <w:spacing w:after="70" w:line="260"/>
      </w:pPr>
      <w:r>
        <w:rPr>
          <w:sz w:val="21"/>
          <w:szCs w:val="21"/>
        </w:rPr>
        <w:t xml:space="preserve">Pri mešanem plačilu najprej določite bon/subvencijo, nato način doplačila. Preverite, da vsota plačil ustreza računu.</w:t>
      </w:r>
    </w:p>
    <w:p>
      <w:pPr>
        <w:pStyle w:val="ListParagraph"/>
        <w:numPr>
          <w:ilvl w:val="0"/>
          <w:numId w:val="1"/>
        </w:numPr>
        <w:spacing w:after="70" w:line="260"/>
      </w:pPr>
      <w:r>
        <w:rPr>
          <w:sz w:val="21"/>
          <w:szCs w:val="21"/>
        </w:rPr>
        <w:t xml:space="preserve">Pri razdelitvi računa ne spreminjajte postavk po tem, ko je del že izdan. Za napako uporabite storno/korekcijski postopek.</w:t>
      </w:r>
    </w:p>
    <w:p>
      <w:pPr>
        <w:pStyle w:val="Heading2"/>
        <w:keepNext/>
        <w:spacing w:after="100" w:before="180"/>
      </w:pPr>
      <w:r>
        <w:rPr>
          <w:b/>
          <w:bCs/>
          <w:color w:val="1F4E79"/>
          <w:sz w:val="26"/>
          <w:szCs w:val="26"/>
        </w:rPr>
        <w:t xml:space="preserve">5.4 Fiskalizacija, tisk in e-pošta</w:t>
      </w:r>
    </w:p>
    <w:p>
      <w:pPr>
        <w:spacing w:after="120" w:line="276"/>
      </w:pPr>
      <w:r>
        <w:rPr>
          <w:sz w:val="22"/>
          <w:szCs w:val="22"/>
        </w:rPr>
        <w:t xml:space="preserve">Pri produkcijskem računu sistem pripravi zaščitno oznako izdajatelja (ZOI), pošlje podatke FURS-u in prejme edinstveno oznako računa (EOR). Račun vsebuje tudi podatke o DDV in QR-kodo, kjer je predvideno.</w:t>
      </w:r>
    </w:p>
    <w:p>
      <w:pPr>
        <w:pStyle w:val="ListParagraph"/>
        <w:numPr>
          <w:ilvl w:val="0"/>
          <w:numId w:val="1"/>
        </w:numPr>
        <w:spacing w:after="70" w:line="260"/>
      </w:pPr>
      <w:r>
        <w:rPr>
          <w:sz w:val="21"/>
          <w:szCs w:val="21"/>
        </w:rPr>
        <w:t xml:space="preserve">Med izdajo ne zapirajte brskalnika in ne pritiskajte »Nazaj«.</w:t>
      </w:r>
    </w:p>
    <w:p>
      <w:pPr>
        <w:pStyle w:val="ListParagraph"/>
        <w:numPr>
          <w:ilvl w:val="0"/>
          <w:numId w:val="1"/>
        </w:numPr>
        <w:spacing w:after="70" w:line="260"/>
      </w:pPr>
      <w:r>
        <w:rPr>
          <w:sz w:val="21"/>
          <w:szCs w:val="21"/>
        </w:rPr>
        <w:t xml:space="preserve">Po izdaji uporabite »Ponovni tisk« za kopijo oziroma »Pošlji po e-pošti«, če je ta možnost omogočena. Kopija mora biti označena kot kopija.</w:t>
      </w:r>
    </w:p>
    <w:p>
      <w:pPr>
        <w:pStyle w:val="ListParagraph"/>
        <w:numPr>
          <w:ilvl w:val="0"/>
          <w:numId w:val="1"/>
        </w:numPr>
        <w:spacing w:after="70" w:line="260"/>
      </w:pPr>
      <w:r>
        <w:rPr>
          <w:sz w:val="21"/>
          <w:szCs w:val="21"/>
        </w:rPr>
        <w:t xml:space="preserve">Če pošiljanje e-pošte ne uspe, račun ostane izdan; rešujte samo kanal pošiljanja, ne izdajajte drugega računa.</w:t>
      </w:r>
    </w:p>
    <w:p>
      <w:pPr>
        <w:pStyle w:val="Heading2"/>
        <w:keepNext/>
        <w:spacing w:after="100" w:before="180"/>
      </w:pPr>
      <w:r>
        <w:rPr>
          <w:b/>
          <w:bCs/>
          <w:color w:val="1F4E79"/>
          <w:sz w:val="26"/>
          <w:szCs w:val="26"/>
        </w:rPr>
        <w:t xml:space="preserve">5.5 Storno in vračilo</w:t>
      </w:r>
    </w:p>
    <w:p>
      <w:pPr>
        <w:pStyle w:val="ListParagraph"/>
        <w:numPr>
          <w:ilvl w:val="0"/>
          <w:numId w:val="1"/>
        </w:numPr>
        <w:spacing w:after="70" w:line="260"/>
      </w:pPr>
      <w:r>
        <w:rPr>
          <w:sz w:val="21"/>
          <w:szCs w:val="21"/>
        </w:rPr>
        <w:t xml:space="preserve">Storno računa je davčno sledljivo in praviloma nepreklicno. Pred potrditvijo vnesite razumljiv razlog.</w:t>
      </w:r>
    </w:p>
    <w:p>
      <w:pPr>
        <w:pStyle w:val="ListParagraph"/>
        <w:numPr>
          <w:ilvl w:val="0"/>
          <w:numId w:val="1"/>
        </w:numPr>
        <w:spacing w:after="70" w:line="260"/>
      </w:pPr>
      <w:r>
        <w:rPr>
          <w:sz w:val="21"/>
          <w:szCs w:val="21"/>
        </w:rPr>
        <w:t xml:space="preserve">Pri kartičnih plačilih uporabite vračilo na kartico samo, ko je podprto za konkretnega ponudnika in je transakcija identificirana.</w:t>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Prepoved  </w:t>
            </w:r>
            <w:r>
              <w:rPr>
                <w:sz w:val="22"/>
                <w:szCs w:val="22"/>
              </w:rPr>
              <w:t xml:space="preserve">Izdani račun se ne popravi z brisanjem postavke ali z novim »negativnim« ročnim računom. Uporabite uradni storno oziroma popravek.</w:t>
            </w:r>
          </w:p>
        </w:tc>
      </w:tr>
    </w:tbl>
    <w:p>
      <w:pPr>
        <w:pStyle w:val="Heading1"/>
        <w:keepNext/>
        <w:spacing w:after="100" w:before="300"/>
      </w:pPr>
      <w:r>
        <w:rPr>
          <w:b/>
          <w:bCs/>
          <w:color w:val="1F4E79"/>
          <w:sz w:val="30"/>
          <w:szCs w:val="30"/>
        </w:rPr>
        <w:t xml:space="preserve">6. Računi, X-poročilo in Z-poročilo</w:t>
      </w:r>
    </w:p>
    <w:p>
      <w:pPr>
        <w:pStyle w:val="Heading2"/>
        <w:keepNext/>
        <w:spacing w:after="100" w:before="180"/>
      </w:pPr>
      <w:r>
        <w:rPr>
          <w:b/>
          <w:bCs/>
          <w:color w:val="1F4E79"/>
          <w:sz w:val="26"/>
          <w:szCs w:val="26"/>
        </w:rPr>
        <w:t xml:space="preserve">6.1 Arhiv računov</w:t>
      </w:r>
    </w:p>
    <w:p>
      <w:pPr>
        <w:pStyle w:val="ListParagraph"/>
        <w:numPr>
          <w:ilvl w:val="0"/>
          <w:numId w:val="1"/>
        </w:numPr>
        <w:spacing w:after="70" w:line="260"/>
      </w:pPr>
      <w:r>
        <w:rPr>
          <w:sz w:val="21"/>
          <w:szCs w:val="21"/>
        </w:rPr>
        <w:t xml:space="preserve">V »Računi« iščite po datumu, številki, naročilu, statusu, natakarju ali načinu plačila, odvisno od prikaza.</w:t>
      </w:r>
    </w:p>
    <w:p>
      <w:pPr>
        <w:pStyle w:val="ListParagraph"/>
        <w:numPr>
          <w:ilvl w:val="0"/>
          <w:numId w:val="1"/>
        </w:numPr>
        <w:spacing w:after="70" w:line="260"/>
      </w:pPr>
      <w:r>
        <w:rPr>
          <w:sz w:val="21"/>
          <w:szCs w:val="21"/>
        </w:rPr>
        <w:t xml:space="preserve">Odprite račun za podrobnosti, ponovni tisk, e-pošto, storno ali ponovni poskus FURS, kadar je to dovoljeno.</w:t>
      </w:r>
    </w:p>
    <w:p>
      <w:pPr>
        <w:pStyle w:val="ListParagraph"/>
        <w:numPr>
          <w:ilvl w:val="0"/>
          <w:numId w:val="1"/>
        </w:numPr>
        <w:spacing w:after="70" w:line="260"/>
      </w:pPr>
      <w:r>
        <w:rPr>
          <w:sz w:val="21"/>
          <w:szCs w:val="21"/>
        </w:rPr>
        <w:t xml:space="preserve">Račun z opozorilom o neregistraciji rešite z gumbom za ponovni poskus, ko so certifikat, omrežje in poslovni prostor pravilni.</w:t>
      </w:r>
    </w:p>
    <w:p>
      <w:pPr>
        <w:pStyle w:val="Heading2"/>
        <w:keepNext/>
        <w:spacing w:after="100" w:before="180"/>
      </w:pPr>
      <w:r>
        <w:rPr>
          <w:b/>
          <w:bCs/>
          <w:color w:val="1F4E79"/>
          <w:sz w:val="26"/>
          <w:szCs w:val="26"/>
        </w:rPr>
        <w:t xml:space="preserve">6.2 X-poročilo</w:t>
      </w:r>
    </w:p>
    <w:p>
      <w:pPr>
        <w:spacing w:after="120" w:line="276"/>
      </w:pPr>
      <w:r>
        <w:rPr>
          <w:sz w:val="22"/>
          <w:szCs w:val="22"/>
        </w:rPr>
        <w:t xml:space="preserve">X-poročilo je pregled enega poslovnega dne za izbrano blagajno in ne zapira dneva. Prikazuje promet, plačila, DDV, premike in stanje, odvisno od nastavitev.</w:t>
      </w:r>
    </w:p>
    <w:p>
      <w:pPr>
        <w:pStyle w:val="ListParagraph"/>
        <w:numPr>
          <w:ilvl w:val="0"/>
          <w:numId w:val="2"/>
        </w:numPr>
        <w:spacing w:after="80" w:line="270"/>
      </w:pPr>
      <w:r>
        <w:rPr>
          <w:sz w:val="21"/>
          <w:szCs w:val="21"/>
        </w:rPr>
        <w:t xml:space="preserve">Izberite pravilno blagajno.</w:t>
      </w:r>
    </w:p>
    <w:p>
      <w:pPr>
        <w:pStyle w:val="ListParagraph"/>
        <w:numPr>
          <w:ilvl w:val="0"/>
          <w:numId w:val="2"/>
        </w:numPr>
        <w:spacing w:after="80" w:line="270"/>
      </w:pPr>
      <w:r>
        <w:rPr>
          <w:sz w:val="21"/>
          <w:szCs w:val="21"/>
        </w:rPr>
        <w:t xml:space="preserve">Izberite en poslovni datum. POS uporablja poslovni dan, ne nujno koledarskega dne.</w:t>
      </w:r>
    </w:p>
    <w:p>
      <w:pPr>
        <w:pStyle w:val="ListParagraph"/>
        <w:numPr>
          <w:ilvl w:val="0"/>
          <w:numId w:val="2"/>
        </w:numPr>
        <w:spacing w:after="80" w:line="270"/>
      </w:pPr>
      <w:r>
        <w:rPr>
          <w:sz w:val="21"/>
          <w:szCs w:val="21"/>
        </w:rPr>
        <w:t xml:space="preserve">Preglejte podatke in po potrebi natisnite izpis.</w:t>
      </w:r>
    </w:p>
    <w:p>
      <w:pPr>
        <w:pStyle w:val="Heading2"/>
        <w:keepNext/>
        <w:spacing w:after="100" w:before="180"/>
      </w:pPr>
      <w:r>
        <w:rPr>
          <w:b/>
          <w:bCs/>
          <w:color w:val="1F4E79"/>
          <w:sz w:val="26"/>
          <w:szCs w:val="26"/>
        </w:rPr>
        <w:t xml:space="preserve">6.3 Z-poročilo</w:t>
      </w:r>
    </w:p>
    <w:p>
      <w:pPr>
        <w:spacing w:after="120" w:line="276"/>
      </w:pPr>
      <w:r>
        <w:rPr>
          <w:sz w:val="22"/>
          <w:szCs w:val="22"/>
        </w:rPr>
        <w:t xml:space="preserve">Z-poročilo je zaključni dnevni posnetek za blagajno. Zaporedna Z-številka je naslednja številka po največji obstoječi številki, ne številka naključno izbranega računa. Pred zaključkom preverite gotovino, terminale in odprte postopke.</w:t>
      </w:r>
    </w:p>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Zaključek dneva  </w:t>
            </w:r>
            <w:r>
              <w:rPr>
                <w:sz w:val="22"/>
                <w:szCs w:val="22"/>
              </w:rPr>
              <w:t xml:space="preserve">Z-poročilo izvedite šele, ko je poslovanje zaključeno. Po potrebi uporabi postopka za odklep ali stornacijo ne izvajajte brez razloga in sledljivosti.</w:t>
            </w:r>
          </w:p>
        </w:tc>
      </w:tr>
    </w:tbl>
    <w:p>
      <w:pPr>
        <w:pStyle w:val="Heading1"/>
        <w:keepNext/>
        <w:spacing w:after="100" w:before="300"/>
      </w:pPr>
      <w:r>
        <w:rPr>
          <w:b/>
          <w:bCs/>
          <w:color w:val="1F4E79"/>
          <w:sz w:val="30"/>
          <w:szCs w:val="30"/>
        </w:rPr>
        <w:t xml:space="preserve">7. Izmene in blagajniški premiki</w:t>
      </w:r>
    </w:p>
    <w:p>
      <w:pPr>
        <w:pStyle w:val="Heading2"/>
        <w:keepNext/>
        <w:spacing w:after="100" w:before="180"/>
      </w:pPr>
      <w:r>
        <w:rPr>
          <w:b/>
          <w:bCs/>
          <w:color w:val="1F4E79"/>
          <w:sz w:val="26"/>
          <w:szCs w:val="26"/>
        </w:rPr>
        <w:t xml:space="preserve">7.1 Odpiranje izmene</w:t>
      </w:r>
    </w:p>
    <w:p>
      <w:pPr>
        <w:pStyle w:val="ListParagraph"/>
        <w:numPr>
          <w:ilvl w:val="0"/>
          <w:numId w:val="2"/>
        </w:numPr>
        <w:spacing w:after="80" w:line="270"/>
      </w:pPr>
      <w:r>
        <w:rPr>
          <w:sz w:val="21"/>
          <w:szCs w:val="21"/>
        </w:rPr>
        <w:t xml:space="preserve">Odprite »Izmene« in izberite »Odpri izmeno«.</w:t>
      </w:r>
    </w:p>
    <w:p>
      <w:pPr>
        <w:pStyle w:val="ListParagraph"/>
        <w:numPr>
          <w:ilvl w:val="0"/>
          <w:numId w:val="2"/>
        </w:numPr>
        <w:spacing w:after="80" w:line="270"/>
      </w:pPr>
      <w:r>
        <w:rPr>
          <w:sz w:val="21"/>
          <w:szCs w:val="21"/>
        </w:rPr>
        <w:t xml:space="preserve">Preverite blagajno in vnesite začetni znesek gotovine.</w:t>
      </w:r>
    </w:p>
    <w:p>
      <w:pPr>
        <w:pStyle w:val="ListParagraph"/>
        <w:numPr>
          <w:ilvl w:val="0"/>
          <w:numId w:val="2"/>
        </w:numPr>
        <w:spacing w:after="80" w:line="270"/>
      </w:pPr>
      <w:r>
        <w:rPr>
          <w:sz w:val="21"/>
          <w:szCs w:val="21"/>
        </w:rPr>
        <w:t xml:space="preserve">Potrdite in preverite, da je izmena označena kot aktivna.</w:t>
      </w:r>
    </w:p>
    <w:p>
      <w:pPr>
        <w:pStyle w:val="Heading2"/>
        <w:keepNext/>
        <w:spacing w:after="100" w:before="180"/>
      </w:pPr>
      <w:r>
        <w:rPr>
          <w:b/>
          <w:bCs/>
          <w:color w:val="1F4E79"/>
          <w:sz w:val="26"/>
          <w:szCs w:val="26"/>
        </w:rPr>
        <w:t xml:space="preserve">7.2 Delo med izmeno</w:t>
      </w:r>
    </w:p>
    <w:p>
      <w:pPr>
        <w:pStyle w:val="ListParagraph"/>
        <w:numPr>
          <w:ilvl w:val="0"/>
          <w:numId w:val="1"/>
        </w:numPr>
        <w:spacing w:after="70" w:line="260"/>
      </w:pPr>
      <w:r>
        <w:rPr>
          <w:sz w:val="21"/>
          <w:szCs w:val="21"/>
        </w:rPr>
        <w:t xml:space="preserve">Vsi računi morajo biti vezani na pravilno izmeno in natakarja.</w:t>
      </w:r>
    </w:p>
    <w:p>
      <w:pPr>
        <w:pStyle w:val="ListParagraph"/>
        <w:numPr>
          <w:ilvl w:val="0"/>
          <w:numId w:val="1"/>
        </w:numPr>
        <w:spacing w:after="70" w:line="260"/>
      </w:pPr>
      <w:r>
        <w:rPr>
          <w:sz w:val="21"/>
          <w:szCs w:val="21"/>
        </w:rPr>
        <w:t xml:space="preserve">Gotovinske pologe, dvige, manke, viške in druge premike vnesite v »Blagajniški premiki« z razlogom in zneskom.</w:t>
      </w:r>
    </w:p>
    <w:p>
      <w:pPr>
        <w:pStyle w:val="ListParagraph"/>
        <w:numPr>
          <w:ilvl w:val="0"/>
          <w:numId w:val="1"/>
        </w:numPr>
        <w:spacing w:after="70" w:line="260"/>
      </w:pPr>
      <w:r>
        <w:rPr>
          <w:sz w:val="21"/>
          <w:szCs w:val="21"/>
        </w:rPr>
        <w:t xml:space="preserve">Ne uporabljajte blagajniškega premika za prikrivanje napačnega plačila na računu. Plačilna napaka se rešuje na računu.</w:t>
      </w:r>
    </w:p>
    <w:p>
      <w:pPr>
        <w:pStyle w:val="Heading2"/>
        <w:keepNext/>
        <w:spacing w:after="100" w:before="180"/>
      </w:pPr>
      <w:r>
        <w:rPr>
          <w:b/>
          <w:bCs/>
          <w:color w:val="1F4E79"/>
          <w:sz w:val="26"/>
          <w:szCs w:val="26"/>
        </w:rPr>
        <w:t xml:space="preserve">7.3 Zaključek izmene</w:t>
      </w:r>
    </w:p>
    <w:p>
      <w:pPr>
        <w:pStyle w:val="ListParagraph"/>
        <w:numPr>
          <w:ilvl w:val="0"/>
          <w:numId w:val="2"/>
        </w:numPr>
        <w:spacing w:after="80" w:line="270"/>
      </w:pPr>
      <w:r>
        <w:rPr>
          <w:sz w:val="21"/>
          <w:szCs w:val="21"/>
        </w:rPr>
        <w:t xml:space="preserve">Izberite »Zaključi izmeno«.</w:t>
      </w:r>
    </w:p>
    <w:p>
      <w:pPr>
        <w:pStyle w:val="ListParagraph"/>
        <w:numPr>
          <w:ilvl w:val="0"/>
          <w:numId w:val="2"/>
        </w:numPr>
        <w:spacing w:after="80" w:line="270"/>
      </w:pPr>
      <w:r>
        <w:rPr>
          <w:sz w:val="21"/>
          <w:szCs w:val="21"/>
        </w:rPr>
        <w:t xml:space="preserve">Preglejte promet po načinih plačila, DDV in natakarjih.</w:t>
      </w:r>
    </w:p>
    <w:p>
      <w:pPr>
        <w:pStyle w:val="ListParagraph"/>
        <w:numPr>
          <w:ilvl w:val="0"/>
          <w:numId w:val="2"/>
        </w:numPr>
        <w:spacing w:after="80" w:line="270"/>
      </w:pPr>
      <w:r>
        <w:rPr>
          <w:sz w:val="21"/>
          <w:szCs w:val="21"/>
        </w:rPr>
        <w:t xml:space="preserve">Preštejte dejansko gotovino in vnesite dejansko stanje.</w:t>
      </w:r>
    </w:p>
    <w:p>
      <w:pPr>
        <w:pStyle w:val="ListParagraph"/>
        <w:numPr>
          <w:ilvl w:val="0"/>
          <w:numId w:val="2"/>
        </w:numPr>
        <w:spacing w:after="80" w:line="270"/>
      </w:pPr>
      <w:r>
        <w:rPr>
          <w:sz w:val="21"/>
          <w:szCs w:val="21"/>
        </w:rPr>
        <w:t xml:space="preserve">Potrdite zaključek in shranite/natisnite povzetek.</w:t>
      </w:r>
    </w:p>
    <w:p>
      <w:pPr>
        <w:pStyle w:val="ListParagraph"/>
        <w:numPr>
          <w:ilvl w:val="0"/>
          <w:numId w:val="1"/>
        </w:numPr>
        <w:spacing w:after="70" w:line="260"/>
      </w:pPr>
      <w:r>
        <w:rPr>
          <w:sz w:val="21"/>
          <w:szCs w:val="21"/>
        </w:rPr>
        <w:t xml:space="preserve">Po zaključku preverite razliko med pričakovanim in dejanskim stanjem. Vsako razliko obrazložite.</w:t>
      </w:r>
    </w:p>
    <w:p>
      <w:pPr>
        <w:pStyle w:val="Heading1"/>
        <w:keepNext/>
        <w:spacing w:after="100" w:before="300"/>
      </w:pPr>
      <w:r>
        <w:rPr>
          <w:b/>
          <w:bCs/>
          <w:color w:val="1F4E79"/>
          <w:sz w:val="30"/>
          <w:szCs w:val="30"/>
        </w:rPr>
        <w:t xml:space="preserve">8. Kuhinja, točilnica in dnevni meni</w:t>
      </w:r>
    </w:p>
    <w:p>
      <w:pPr>
        <w:pStyle w:val="Heading2"/>
        <w:keepNext/>
        <w:spacing w:after="100" w:before="180"/>
      </w:pPr>
      <w:r>
        <w:rPr>
          <w:b/>
          <w:bCs/>
          <w:color w:val="1F4E79"/>
          <w:sz w:val="26"/>
          <w:szCs w:val="26"/>
        </w:rPr>
        <w:t xml:space="preserve">8.1 Kuhinja</w:t>
      </w:r>
    </w:p>
    <w:p>
      <w:pPr>
        <w:pStyle w:val="ListParagraph"/>
        <w:numPr>
          <w:ilvl w:val="0"/>
          <w:numId w:val="1"/>
        </w:numPr>
        <w:spacing w:after="70" w:line="260"/>
      </w:pPr>
      <w:r>
        <w:rPr>
          <w:sz w:val="21"/>
          <w:szCs w:val="21"/>
        </w:rPr>
        <w:t xml:space="preserve">Na zaslonu »Kuhinja« se naročila razporedijo po ciljnem času priprave in ciljnem KDS-u.</w:t>
      </w:r>
    </w:p>
    <w:p>
      <w:pPr>
        <w:pStyle w:val="ListParagraph"/>
        <w:numPr>
          <w:ilvl w:val="0"/>
          <w:numId w:val="1"/>
        </w:numPr>
        <w:spacing w:after="70" w:line="260"/>
      </w:pPr>
      <w:r>
        <w:rPr>
          <w:sz w:val="21"/>
          <w:szCs w:val="21"/>
        </w:rPr>
        <w:t xml:space="preserve">S klikom označite pripravo oziroma dokončanje samo, ko je postavka dejansko pripravljena.</w:t>
      </w:r>
    </w:p>
    <w:p>
      <w:pPr>
        <w:pStyle w:val="ListParagraph"/>
        <w:numPr>
          <w:ilvl w:val="0"/>
          <w:numId w:val="1"/>
        </w:numPr>
        <w:spacing w:after="70" w:line="260"/>
      </w:pPr>
      <w:r>
        <w:rPr>
          <w:sz w:val="21"/>
          <w:szCs w:val="21"/>
        </w:rPr>
        <w:t xml:space="preserve">Če je naročilo sestavljeno iz kuhinjskih in barskih postavk, vsaka enota sledi svojemu stanju.</w:t>
      </w:r>
    </w:p>
    <w:p>
      <w:pPr>
        <w:pStyle w:val="Heading2"/>
        <w:keepNext/>
        <w:spacing w:after="100" w:before="180"/>
      </w:pPr>
      <w:r>
        <w:rPr>
          <w:b/>
          <w:bCs/>
          <w:color w:val="1F4E79"/>
          <w:sz w:val="26"/>
          <w:szCs w:val="26"/>
        </w:rPr>
        <w:t xml:space="preserve">8.2 Točilnica</w:t>
      </w:r>
    </w:p>
    <w:p>
      <w:pPr>
        <w:pStyle w:val="ListParagraph"/>
        <w:numPr>
          <w:ilvl w:val="0"/>
          <w:numId w:val="1"/>
        </w:numPr>
        <w:spacing w:after="70" w:line="260"/>
      </w:pPr>
      <w:r>
        <w:rPr>
          <w:sz w:val="21"/>
          <w:szCs w:val="21"/>
        </w:rPr>
        <w:t xml:space="preserve">»Točilnica« je ločen pogled za pijače in druge barske postavke. Preverite opombe, velikost pijače in vrstni red.</w:t>
      </w:r>
    </w:p>
    <w:p>
      <w:pPr>
        <w:pStyle w:val="ListParagraph"/>
        <w:numPr>
          <w:ilvl w:val="0"/>
          <w:numId w:val="1"/>
        </w:numPr>
        <w:spacing w:after="70" w:line="260"/>
      </w:pPr>
      <w:r>
        <w:rPr>
          <w:sz w:val="21"/>
          <w:szCs w:val="21"/>
        </w:rPr>
        <w:t xml:space="preserve">Čista naročila pijač se lahko usmerijo na ločeno barsko vrsto; to ne sme spremeniti prodaje ali računa.</w:t>
      </w:r>
    </w:p>
    <w:p>
      <w:pPr>
        <w:pStyle w:val="Heading2"/>
        <w:keepNext/>
        <w:spacing w:after="100" w:before="180"/>
      </w:pPr>
      <w:r>
        <w:rPr>
          <w:b/>
          <w:bCs/>
          <w:color w:val="1F4E79"/>
          <w:sz w:val="26"/>
          <w:szCs w:val="26"/>
        </w:rPr>
        <w:t xml:space="preserve">8.3 Dnevni meni</w:t>
      </w:r>
    </w:p>
    <w:p>
      <w:pPr>
        <w:pStyle w:val="ListParagraph"/>
        <w:numPr>
          <w:ilvl w:val="0"/>
          <w:numId w:val="1"/>
        </w:numPr>
        <w:spacing w:after="70" w:line="260"/>
      </w:pPr>
      <w:r>
        <w:rPr>
          <w:sz w:val="21"/>
          <w:szCs w:val="21"/>
        </w:rPr>
        <w:t xml:space="preserve">Admin ali admin enote v »Dnevni meni« določita artikel, dan in morebitno ceno oziroma razpoložljivost.</w:t>
      </w:r>
    </w:p>
    <w:p>
      <w:pPr>
        <w:pStyle w:val="ListParagraph"/>
        <w:numPr>
          <w:ilvl w:val="0"/>
          <w:numId w:val="1"/>
        </w:numPr>
        <w:spacing w:after="70" w:line="260"/>
      </w:pPr>
      <w:r>
        <w:rPr>
          <w:sz w:val="21"/>
          <w:szCs w:val="21"/>
        </w:rPr>
        <w:t xml:space="preserve">Po kopiranju menija preverite datum, ceno, DDV in prikaz v naročilu.</w:t>
      </w:r>
    </w:p>
    <w:p>
      <w:pPr>
        <w:pStyle w:val="Heading1"/>
        <w:keepNext/>
        <w:spacing w:after="100" w:before="300"/>
      </w:pPr>
      <w:r>
        <w:rPr>
          <w:b/>
          <w:bCs/>
          <w:color w:val="1F4E79"/>
          <w:sz w:val="30"/>
          <w:szCs w:val="30"/>
        </w:rPr>
        <w:t xml:space="preserve">9. Meni in prodajna pravila</w:t>
      </w:r>
    </w:p>
    <w:p>
      <w:pPr>
        <w:pStyle w:val="Heading2"/>
        <w:keepNext/>
        <w:spacing w:after="100" w:before="180"/>
      </w:pPr>
      <w:r>
        <w:rPr>
          <w:b/>
          <w:bCs/>
          <w:color w:val="1F4E79"/>
          <w:sz w:val="26"/>
          <w:szCs w:val="26"/>
        </w:rPr>
        <w:t xml:space="preserve">9.1 Happy Hour</w:t>
      </w:r>
    </w:p>
    <w:p>
      <w:pPr>
        <w:pStyle w:val="ListParagraph"/>
        <w:numPr>
          <w:ilvl w:val="0"/>
          <w:numId w:val="1"/>
        </w:numPr>
        <w:spacing w:after="70" w:line="260"/>
      </w:pPr>
      <w:r>
        <w:rPr>
          <w:sz w:val="21"/>
          <w:szCs w:val="21"/>
        </w:rPr>
        <w:t xml:space="preserve">Happy Hour se vključi z gumbom oziroma nastavitvijo, kjer je funkcija omogočena. Pred izdajo računa preverite, ali je cena akcijska in ali velja za pravilno obdobje.</w:t>
      </w:r>
    </w:p>
    <w:p>
      <w:pPr>
        <w:pStyle w:val="ListParagraph"/>
        <w:numPr>
          <w:ilvl w:val="0"/>
          <w:numId w:val="1"/>
        </w:numPr>
        <w:spacing w:after="70" w:line="260"/>
      </w:pPr>
      <w:r>
        <w:rPr>
          <w:sz w:val="21"/>
          <w:szCs w:val="21"/>
        </w:rPr>
        <w:t xml:space="preserve">Akcijske cene ne smejo spremeniti nabavne cene ali WAC-a v zalogi.</w:t>
      </w:r>
    </w:p>
    <w:p>
      <w:pPr>
        <w:pStyle w:val="Heading2"/>
        <w:keepNext/>
        <w:spacing w:after="100" w:before="180"/>
      </w:pPr>
      <w:r>
        <w:rPr>
          <w:b/>
          <w:bCs/>
          <w:color w:val="1F4E79"/>
          <w:sz w:val="26"/>
          <w:szCs w:val="26"/>
        </w:rPr>
        <w:t xml:space="preserve">9.2 Artikli, pijače in sladkor</w:t>
      </w:r>
    </w:p>
    <w:p>
      <w:pPr>
        <w:pStyle w:val="ListParagraph"/>
        <w:numPr>
          <w:ilvl w:val="0"/>
          <w:numId w:val="1"/>
        </w:numPr>
        <w:spacing w:after="70" w:line="260"/>
      </w:pPr>
      <w:r>
        <w:rPr>
          <w:sz w:val="21"/>
          <w:szCs w:val="21"/>
        </w:rPr>
        <w:t xml:space="preserve">Pri pijačah preverite vrsto artikla, velikost (na primer 0,3/0,33/0,5), DDV in možnost za s seboj.</w:t>
      </w:r>
    </w:p>
    <w:p>
      <w:pPr>
        <w:pStyle w:val="ListParagraph"/>
        <w:numPr>
          <w:ilvl w:val="0"/>
          <w:numId w:val="1"/>
        </w:numPr>
        <w:spacing w:after="70" w:line="260"/>
      </w:pPr>
      <w:r>
        <w:rPr>
          <w:sz w:val="21"/>
          <w:szCs w:val="21"/>
        </w:rPr>
        <w:t xml:space="preserve">Kategorija »Pijača-jed« ni isto kot nabavna/prodajna vrsta. Prodajna DDV kategorija in nabavni DDV sta ločena podatka.</w:t>
      </w:r>
    </w:p>
    <w:p>
      <w:pPr>
        <w:pStyle w:val="ListParagraph"/>
        <w:numPr>
          <w:ilvl w:val="0"/>
          <w:numId w:val="1"/>
        </w:numPr>
        <w:spacing w:after="70" w:line="260"/>
      </w:pPr>
      <w:r>
        <w:rPr>
          <w:sz w:val="21"/>
          <w:szCs w:val="21"/>
        </w:rPr>
        <w:t xml:space="preserve">Pri artiklu z dodanim sladkorjem aktivirajte to lastnost le, če dejansko velja. Sistem lahko zaradi nje uporabi 22 %.</w:t>
      </w:r>
    </w:p>
    <w:p>
      <w:pPr>
        <w:pStyle w:val="Heading2"/>
        <w:keepNext/>
        <w:spacing w:after="100" w:before="180"/>
      </w:pPr>
      <w:r>
        <w:rPr>
          <w:b/>
          <w:bCs/>
          <w:color w:val="1F4E79"/>
          <w:sz w:val="26"/>
          <w:szCs w:val="26"/>
        </w:rPr>
        <w:t xml:space="preserve">9.3 Glasovno iskanje</w:t>
      </w:r>
    </w:p>
    <w:p>
      <w:pPr>
        <w:pStyle w:val="ListParagraph"/>
        <w:numPr>
          <w:ilvl w:val="0"/>
          <w:numId w:val="1"/>
        </w:numPr>
        <w:spacing w:after="70" w:line="260"/>
      </w:pPr>
      <w:r>
        <w:rPr>
          <w:sz w:val="21"/>
          <w:szCs w:val="21"/>
        </w:rPr>
        <w:t xml:space="preserve">V nastavitvah lahko dodate sinonim: beseda, ki jo izgovorite, in alias, ki se ujema z imenom artikla. Primer: »kafa« → »coffee«.</w:t>
      </w:r>
    </w:p>
    <w:p>
      <w:pPr>
        <w:pStyle w:val="ListParagraph"/>
        <w:numPr>
          <w:ilvl w:val="0"/>
          <w:numId w:val="1"/>
        </w:numPr>
        <w:spacing w:after="70" w:line="260"/>
      </w:pPr>
      <w:r>
        <w:rPr>
          <w:sz w:val="21"/>
          <w:szCs w:val="21"/>
        </w:rPr>
        <w:t xml:space="preserve">Sinonimi so skupni napravam v istem okolju. Po dodajanju preizkusite ujemanje in odstranite dvoumne pare.</w:t>
      </w:r>
    </w:p>
    <w:p>
      <w:pPr>
        <w:pStyle w:val="Heading1"/>
        <w:keepNext/>
        <w:spacing w:after="100" w:before="300"/>
      </w:pPr>
      <w:r>
        <w:rPr>
          <w:b/>
          <w:bCs/>
          <w:color w:val="1F4E79"/>
          <w:sz w:val="30"/>
          <w:szCs w:val="30"/>
        </w:rPr>
        <w:t xml:space="preserve">10. Zaloge in materialno poslovanje</w:t>
      </w:r>
    </w:p>
    <w:p>
      <w:pPr>
        <w:pStyle w:val="Heading2"/>
        <w:keepNext/>
        <w:spacing w:after="100" w:before="180"/>
      </w:pPr>
      <w:r>
        <w:rPr>
          <w:b/>
          <w:bCs/>
          <w:color w:val="1F4E79"/>
          <w:sz w:val="26"/>
          <w:szCs w:val="26"/>
        </w:rPr>
        <w:t xml:space="preserve">10.1 Osnovno pravilo</w:t>
      </w:r>
    </w:p>
    <w:p>
      <w:pPr>
        <w:spacing w:after="120" w:line="276"/>
      </w:pPr>
      <w:r>
        <w:rPr>
          <w:sz w:val="22"/>
          <w:szCs w:val="22"/>
        </w:rPr>
        <w:t xml:space="preserve">Zaloga se spreminja s prejemnicami, izdajnicami, inventurami, začetnimi zalogami in avtomatsko porabo po normativih. Prodajna cena artikla ni nabavna cena. Za materialne stroške se uporablja drseča tehtana povprečna cena (WAC), kjer je na voljo veljavna nabavna osnova.</w:t>
      </w:r>
    </w:p>
    <w:p>
      <w:pPr>
        <w:pStyle w:val="Heading2"/>
        <w:keepNext/>
        <w:spacing w:after="100" w:before="180"/>
      </w:pPr>
      <w:r>
        <w:rPr>
          <w:b/>
          <w:bCs/>
          <w:color w:val="1F4E79"/>
          <w:sz w:val="26"/>
          <w:szCs w:val="26"/>
        </w:rPr>
        <w:t xml:space="preserve">10.2 Prejemnica</w:t>
      </w:r>
    </w:p>
    <w:p>
      <w:pPr>
        <w:pStyle w:val="ListParagraph"/>
        <w:numPr>
          <w:ilvl w:val="0"/>
          <w:numId w:val="2"/>
        </w:numPr>
        <w:spacing w:after="80" w:line="270"/>
      </w:pPr>
      <w:r>
        <w:rPr>
          <w:sz w:val="21"/>
          <w:szCs w:val="21"/>
        </w:rPr>
        <w:t xml:space="preserve">Odprite »Zaloge« → »Prejemnice« → »Nova prejemnica«.</w:t>
      </w:r>
    </w:p>
    <w:p>
      <w:pPr>
        <w:pStyle w:val="ListParagraph"/>
        <w:numPr>
          <w:ilvl w:val="0"/>
          <w:numId w:val="2"/>
        </w:numPr>
        <w:spacing w:after="80" w:line="270"/>
      </w:pPr>
      <w:r>
        <w:rPr>
          <w:sz w:val="21"/>
          <w:szCs w:val="21"/>
        </w:rPr>
        <w:t xml:space="preserve">Vnesite datum prejema in dobavitelja. Pri ujemanju z računom preverite tudi datum prejema, ne samo datum računa.</w:t>
      </w:r>
    </w:p>
    <w:p>
      <w:pPr>
        <w:pStyle w:val="ListParagraph"/>
        <w:numPr>
          <w:ilvl w:val="0"/>
          <w:numId w:val="2"/>
        </w:numPr>
        <w:spacing w:after="80" w:line="270"/>
      </w:pPr>
      <w:r>
        <w:rPr>
          <w:sz w:val="21"/>
          <w:szCs w:val="21"/>
        </w:rPr>
        <w:t xml:space="preserve">Izberite artikel, količino, paketne enote, ceno in DDV. Cena je lahko neto ali bruto; preverite izbrani način.</w:t>
      </w:r>
    </w:p>
    <w:p>
      <w:pPr>
        <w:pStyle w:val="ListParagraph"/>
        <w:numPr>
          <w:ilvl w:val="0"/>
          <w:numId w:val="2"/>
        </w:numPr>
        <w:spacing w:after="80" w:line="270"/>
      </w:pPr>
      <w:r>
        <w:rPr>
          <w:sz w:val="21"/>
          <w:szCs w:val="21"/>
        </w:rPr>
        <w:t xml:space="preserve">Dodajte odvisne stroške, kot so prevoz ali zavarovanje, in označite, ali povečajo vrednost zaloge ali so ločen strošek.</w:t>
      </w:r>
    </w:p>
    <w:p>
      <w:pPr>
        <w:pStyle w:val="ListParagraph"/>
        <w:numPr>
          <w:ilvl w:val="0"/>
          <w:numId w:val="2"/>
        </w:numPr>
        <w:spacing w:after="80" w:line="270"/>
      </w:pPr>
      <w:r>
        <w:rPr>
          <w:sz w:val="21"/>
          <w:szCs w:val="21"/>
        </w:rPr>
        <w:t xml:space="preserve">Primerjajte skupni bruto znesek z dobaviteljevim računom. Shranite s klikom »Shrani« ali tipko F2.</w:t>
      </w:r>
    </w:p>
    <w:p>
      <w:pPr>
        <w:pStyle w:val="ListParagraph"/>
        <w:numPr>
          <w:ilvl w:val="0"/>
          <w:numId w:val="1"/>
        </w:numPr>
        <w:spacing w:after="70" w:line="260"/>
      </w:pPr>
      <w:r>
        <w:rPr>
          <w:sz w:val="21"/>
          <w:szCs w:val="21"/>
        </w:rPr>
        <w:t xml:space="preserve">Paketni vnos uporabite samo, če je število paketov in enot v paketu pravilno. Primer: 5 kartonov × 6 kosov pomeni 30 kosov.</w:t>
      </w:r>
    </w:p>
    <w:p>
      <w:pPr>
        <w:pStyle w:val="ListParagraph"/>
        <w:numPr>
          <w:ilvl w:val="0"/>
          <w:numId w:val="1"/>
        </w:numPr>
        <w:spacing w:after="70" w:line="260"/>
      </w:pPr>
      <w:r>
        <w:rPr>
          <w:sz w:val="21"/>
          <w:szCs w:val="21"/>
        </w:rPr>
        <w:t xml:space="preserve">Če manjka dobavitelj, ga dodajte oziroma uporabite samodejno iskanje in nato preverite najdene podatke.</w:t>
      </w:r>
    </w:p>
    <w:p>
      <w:pPr>
        <w:pStyle w:val="Heading2"/>
        <w:keepNext/>
        <w:spacing w:after="100" w:before="180"/>
      </w:pPr>
      <w:r>
        <w:rPr>
          <w:b/>
          <w:bCs/>
          <w:color w:val="1F4E79"/>
          <w:sz w:val="26"/>
          <w:szCs w:val="26"/>
        </w:rPr>
        <w:t xml:space="preserve">10.3 Izdajnica</w:t>
      </w:r>
    </w:p>
    <w:p>
      <w:pPr>
        <w:spacing w:after="120" w:line="276"/>
      </w:pPr>
      <w:r>
        <w:rPr>
          <w:sz w:val="22"/>
          <w:szCs w:val="22"/>
        </w:rPr>
        <w:t xml:space="preserve">Izdajnica zmanjša zalogo za kalo, lom, notranjo postrežbo, reklamacijo, odpis ali drug utemeljen razlog. Vnesite razlog, artikel in količino.</w:t>
      </w:r>
    </w:p>
    <w:tbl>
      <w:tblPr>
        <w:tblW w:type="pct" w:w="100%"/>
        <w:tblBorders>
          <w:top w:val="single" w:color="1F4E79" w:sz="6"/>
          <w:left w:val="single" w:color="1F4E79" w:sz="6"/>
          <w:bottom w:val="single" w:color="1F4E79" w:sz="6"/>
          <w:right w:val="single" w:color="1F4E79" w:sz="6"/>
          <w:insideH w:val="none" w:color="1F4E79" w:sz="0"/>
          <w:insideV w:val="none" w:color="1F4E79" w:sz="0"/>
        </w:tblBorders>
      </w:tblPr>
      <w:tblGrid>
        <w:gridCol w:w="100"/>
      </w:tblGrid>
      <w:tr>
        <w:tc>
          <w:tcPr>
            <w:shd w:fill="EAF3F8"/>
            <w:tcMar>
              <w:top w:type="dxa" w:w="100"/>
              <w:left w:type="dxa" w:w="140"/>
              <w:bottom w:type="dxa" w:w="100"/>
              <w:right w:type="dxa" w:w="140"/>
            </w:tcMar>
          </w:tcPr>
          <w:p>
            <w:pPr>
              <w:spacing w:after="0" w:line="276"/>
            </w:pPr>
            <w:r>
              <w:rPr>
                <w:b/>
                <w:bCs/>
                <w:color w:val="1F4E79"/>
                <w:sz w:val="22"/>
                <w:szCs w:val="22"/>
              </w:rPr>
              <w:t xml:space="preserve">Količina in razlog  </w:t>
            </w:r>
            <w:r>
              <w:rPr>
                <w:sz w:val="22"/>
                <w:szCs w:val="22"/>
              </w:rPr>
              <w:t xml:space="preserve">Izdajnice ne uporabljajte za popravek prodaje ali inventurnega stanja brez obrazložitve. Za vsako izdajnice mora biti mogoče razložiti, kam je blago odšlo.</w:t>
            </w:r>
          </w:p>
        </w:tc>
      </w:tr>
    </w:tbl>
    <w:p>
      <w:pPr>
        <w:pStyle w:val="Heading2"/>
        <w:keepNext/>
        <w:spacing w:after="100" w:before="180"/>
      </w:pPr>
      <w:r>
        <w:rPr>
          <w:b/>
          <w:bCs/>
          <w:color w:val="1F4E79"/>
          <w:sz w:val="26"/>
          <w:szCs w:val="26"/>
        </w:rPr>
        <w:t xml:space="preserve">10.4 Inventura</w:t>
      </w:r>
    </w:p>
    <w:p>
      <w:pPr>
        <w:pStyle w:val="ListParagraph"/>
        <w:numPr>
          <w:ilvl w:val="0"/>
          <w:numId w:val="2"/>
        </w:numPr>
        <w:spacing w:after="80" w:line="270"/>
      </w:pPr>
      <w:r>
        <w:rPr>
          <w:sz w:val="21"/>
          <w:szCs w:val="21"/>
        </w:rPr>
        <w:t xml:space="preserve">Ustvarite inventuro in vnesite dejansko najdeno količino.</w:t>
      </w:r>
    </w:p>
    <w:p>
      <w:pPr>
        <w:pStyle w:val="ListParagraph"/>
        <w:numPr>
          <w:ilvl w:val="0"/>
          <w:numId w:val="2"/>
        </w:numPr>
        <w:spacing w:after="80" w:line="270"/>
      </w:pPr>
      <w:r>
        <w:rPr>
          <w:sz w:val="21"/>
          <w:szCs w:val="21"/>
        </w:rPr>
        <w:t xml:space="preserve">Preglejte razliko med knjižnim in dejanskim stanjem ter ceno inventure.</w:t>
      </w:r>
    </w:p>
    <w:p>
      <w:pPr>
        <w:pStyle w:val="ListParagraph"/>
        <w:numPr>
          <w:ilvl w:val="0"/>
          <w:numId w:val="2"/>
        </w:numPr>
        <w:spacing w:after="80" w:line="270"/>
      </w:pPr>
      <w:r>
        <w:rPr>
          <w:sz w:val="21"/>
          <w:szCs w:val="21"/>
        </w:rPr>
        <w:t xml:space="preserve">Potrdite šele, ko so prešteti vsi relevantni artikli.</w:t>
      </w:r>
    </w:p>
    <w:p>
      <w:pPr>
        <w:pStyle w:val="ListParagraph"/>
        <w:numPr>
          <w:ilvl w:val="0"/>
          <w:numId w:val="1"/>
        </w:numPr>
        <w:spacing w:after="70" w:line="260"/>
      </w:pPr>
      <w:r>
        <w:rPr>
          <w:sz w:val="21"/>
          <w:szCs w:val="21"/>
        </w:rPr>
        <w:t xml:space="preserve">Brisanje inventure lahko povrne zalogo na stanje pred inventuro in ni nadomestilo za novo inventuro.</w:t>
      </w:r>
    </w:p>
    <w:p>
      <w:pPr>
        <w:pStyle w:val="Heading2"/>
        <w:keepNext/>
        <w:spacing w:after="100" w:before="180"/>
      </w:pPr>
      <w:r>
        <w:rPr>
          <w:b/>
          <w:bCs/>
          <w:color w:val="1F4E79"/>
          <w:sz w:val="26"/>
          <w:szCs w:val="26"/>
        </w:rPr>
        <w:t xml:space="preserve">10.5 Začetne zaloge</w:t>
      </w:r>
    </w:p>
    <w:p>
      <w:pPr>
        <w:pStyle w:val="ListParagraph"/>
        <w:numPr>
          <w:ilvl w:val="0"/>
          <w:numId w:val="1"/>
        </w:numPr>
        <w:spacing w:after="70" w:line="260"/>
      </w:pPr>
      <w:r>
        <w:rPr>
          <w:sz w:val="21"/>
          <w:szCs w:val="21"/>
        </w:rPr>
        <w:t xml:space="preserve">Za vsako enoto in leto vnesite eno začetno zalogo. Vnesite artikle, količine in nabavno ceno na enoto.</w:t>
      </w:r>
    </w:p>
    <w:p>
      <w:pPr>
        <w:pStyle w:val="ListParagraph"/>
        <w:numPr>
          <w:ilvl w:val="0"/>
          <w:numId w:val="1"/>
        </w:numPr>
        <w:spacing w:after="70" w:line="260"/>
      </w:pPr>
      <w:r>
        <w:rPr>
          <w:sz w:val="21"/>
          <w:szCs w:val="21"/>
        </w:rPr>
        <w:t xml:space="preserve">Začetna zaloga se ne vnaša ponovno, če je že shranjena. Ob spremembi uredite obstoječi dokument, da ne podvojite gibanja.</w:t>
      </w:r>
    </w:p>
    <w:p>
      <w:pPr>
        <w:pStyle w:val="ListParagraph"/>
        <w:numPr>
          <w:ilvl w:val="0"/>
          <w:numId w:val="1"/>
        </w:numPr>
        <w:spacing w:after="70" w:line="260"/>
      </w:pPr>
      <w:r>
        <w:rPr>
          <w:sz w:val="21"/>
          <w:szCs w:val="21"/>
        </w:rPr>
        <w:t xml:space="preserve">Po spremembi začetne zaloge izvedite preračun zalog in preverite kartico artikla. Če je začetna količina prenizka, lahko WAC po izčrpanju postane neznan.</w:t>
      </w:r>
    </w:p>
    <w:p>
      <w:pPr>
        <w:pStyle w:val="Heading2"/>
        <w:keepNext/>
        <w:spacing w:after="100" w:before="180"/>
      </w:pPr>
      <w:r>
        <w:rPr>
          <w:b/>
          <w:bCs/>
          <w:color w:val="1F4E79"/>
          <w:sz w:val="26"/>
          <w:szCs w:val="26"/>
        </w:rPr>
        <w:t xml:space="preserve">10.6 WAC in preračun</w:t>
      </w:r>
    </w:p>
    <w:p>
      <w:pPr>
        <w:pStyle w:val="ListParagraph"/>
        <w:numPr>
          <w:ilvl w:val="0"/>
          <w:numId w:val="1"/>
        </w:numPr>
        <w:spacing w:after="70" w:line="260"/>
      </w:pPr>
      <w:r>
        <w:rPr>
          <w:sz w:val="21"/>
          <w:szCs w:val="21"/>
        </w:rPr>
        <w:t xml:space="preserve">Po spremembi prejemnice, izdajnice, inventure ali začetne zaloge preverite »Kartico artikla« in sprožite preračun, kadar je ponujen.</w:t>
      </w:r>
    </w:p>
    <w:p>
      <w:pPr>
        <w:pStyle w:val="ListParagraph"/>
        <w:numPr>
          <w:ilvl w:val="0"/>
          <w:numId w:val="1"/>
        </w:numPr>
        <w:spacing w:after="70" w:line="260"/>
      </w:pPr>
      <w:r>
        <w:rPr>
          <w:sz w:val="21"/>
          <w:szCs w:val="21"/>
        </w:rPr>
        <w:t xml:space="preserve">Pri porabi po normativu se surovine zmanjšajo za pripravljeno količino, ne za odtajanje pripravljene hrane.</w:t>
      </w:r>
    </w:p>
    <w:p>
      <w:pPr>
        <w:pStyle w:val="ListParagraph"/>
        <w:numPr>
          <w:ilvl w:val="0"/>
          <w:numId w:val="1"/>
        </w:numPr>
        <w:spacing w:after="70" w:line="260"/>
      </w:pPr>
      <w:r>
        <w:rPr>
          <w:sz w:val="21"/>
          <w:szCs w:val="21"/>
        </w:rPr>
        <w:t xml:space="preserve">Če je nabavna osnova manjkajoča ali je zaloga negativna, ne uporabljajte ničelne cene kot tihega popravka. Najprej uredite začetno zalogo, prejemnico ali normativ.</w:t>
      </w:r>
    </w:p>
    <w:p>
      <w:pPr>
        <w:pStyle w:val="Heading1"/>
        <w:keepNext/>
        <w:spacing w:after="100" w:before="300"/>
      </w:pPr>
      <w:r>
        <w:rPr>
          <w:b/>
          <w:bCs/>
          <w:color w:val="1F4E79"/>
          <w:sz w:val="30"/>
          <w:szCs w:val="30"/>
        </w:rPr>
        <w:t xml:space="preserve">11. Pripravljena in sestavljena hrana</w:t>
      </w:r>
    </w:p>
    <w:p>
      <w:pPr>
        <w:pStyle w:val="Heading2"/>
        <w:keepNext/>
        <w:spacing w:after="100" w:before="180"/>
      </w:pPr>
      <w:r>
        <w:rPr>
          <w:b/>
          <w:bCs/>
          <w:color w:val="1F4E79"/>
          <w:sz w:val="26"/>
          <w:szCs w:val="26"/>
        </w:rPr>
        <w:t xml:space="preserve">11.1 Namen modula</w:t>
      </w:r>
    </w:p>
    <w:p>
      <w:pPr>
        <w:spacing w:after="120" w:line="276"/>
      </w:pPr>
      <w:r>
        <w:rPr>
          <w:sz w:val="22"/>
          <w:szCs w:val="22"/>
        </w:rPr>
        <w:t xml:space="preserve">Modul »Pripravljena hrana« vodi operativno zamrznjeno zalogo pripravljenih jedi, dnevno pripravo, odtajanje, prodajo, fizični kalo in zapisnike kala. Sestavljena jed lahko porablja pripravljeno jed ali à la carte komponente; pripravljene komponente povečajo prodajo pripravljene hrane, ne ustvarijo dodatne porabe surovin.</w:t>
      </w:r>
    </w:p>
    <w:p>
      <w:pPr>
        <w:pStyle w:val="Heading2"/>
        <w:keepNext/>
        <w:spacing w:after="100" w:before="180"/>
      </w:pPr>
      <w:r>
        <w:rPr>
          <w:b/>
          <w:bCs/>
          <w:color w:val="1F4E79"/>
          <w:sz w:val="26"/>
          <w:szCs w:val="26"/>
        </w:rPr>
        <w:t xml:space="preserve">11.2 Začetna zaloga pripravljene hrane</w:t>
      </w:r>
    </w:p>
    <w:p>
      <w:pPr>
        <w:pStyle w:val="ListParagraph"/>
        <w:numPr>
          <w:ilvl w:val="0"/>
          <w:numId w:val="1"/>
        </w:numPr>
        <w:spacing w:after="70" w:line="260"/>
      </w:pPr>
      <w:r>
        <w:rPr>
          <w:sz w:val="21"/>
          <w:szCs w:val="21"/>
        </w:rPr>
        <w:t xml:space="preserve">Letna začetna zaloga pripravljene hrane je operativni prenos zamrznjenih porcij iz prejšnjega obdobja.</w:t>
      </w:r>
    </w:p>
    <w:p>
      <w:pPr>
        <w:pStyle w:val="ListParagraph"/>
        <w:numPr>
          <w:ilvl w:val="0"/>
          <w:numId w:val="1"/>
        </w:numPr>
        <w:spacing w:after="70" w:line="260"/>
      </w:pPr>
      <w:r>
        <w:rPr>
          <w:sz w:val="21"/>
          <w:szCs w:val="21"/>
        </w:rPr>
        <w:t xml:space="preserve">Vnesite količino in strošek na porcijo, če je potreben za vrednotenje odtajanih starih porcij. Otvoritev sama ne ustvarja nove porabe surovin.</w:t>
      </w:r>
    </w:p>
    <w:p>
      <w:pPr>
        <w:pStyle w:val="Heading2"/>
        <w:keepNext/>
        <w:spacing w:after="100" w:before="180"/>
      </w:pPr>
      <w:r>
        <w:rPr>
          <w:b/>
          <w:bCs/>
          <w:color w:val="1F4E79"/>
          <w:sz w:val="26"/>
          <w:szCs w:val="26"/>
        </w:rPr>
        <w:t xml:space="preserve">11.3 Dnevna evidenca</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4"/>
        <w:gridCol w:w="76"/>
      </w:tblGrid>
      <w:tr>
        <w:tc>
          <w:tcPr>
            <w:tcW w:type="pct" w:w="24%"/>
            <w:shd w:fill="1F4E79"/>
            <w:tcMar>
              <w:top w:type="dxa" w:w="90"/>
              <w:left w:type="dxa" w:w="100"/>
              <w:bottom w:type="dxa" w:w="90"/>
              <w:right w:type="dxa" w:w="100"/>
            </w:tcMar>
          </w:tcPr>
          <w:p>
            <w:pPr>
              <w:spacing w:after="0" w:line="276"/>
            </w:pPr>
            <w:r>
              <w:rPr>
                <w:b/>
                <w:bCs/>
                <w:color w:val="FFFFFF"/>
                <w:sz w:val="20"/>
                <w:szCs w:val="20"/>
              </w:rPr>
              <w:t xml:space="preserve">Polje</w:t>
            </w:r>
          </w:p>
        </w:tc>
        <w:tc>
          <w:tcPr>
            <w:tcW w:type="pct" w:w="76%"/>
            <w:shd w:fill="1F4E79"/>
            <w:tcMar>
              <w:top w:type="dxa" w:w="90"/>
              <w:left w:type="dxa" w:w="100"/>
              <w:bottom w:type="dxa" w:w="90"/>
              <w:right w:type="dxa" w:w="100"/>
            </w:tcMar>
          </w:tcPr>
          <w:p>
            <w:pPr>
              <w:spacing w:after="0" w:line="276"/>
            </w:pPr>
            <w:r>
              <w:rPr>
                <w:b/>
                <w:bCs/>
                <w:color w:val="FFFFFF"/>
                <w:sz w:val="20"/>
                <w:szCs w:val="20"/>
              </w:rPr>
              <w:t xml:space="preserve">Pomen</w:t>
            </w:r>
          </w:p>
        </w:tc>
      </w:tr>
      <w:tr>
        <w:tc>
          <w:tcPr>
            <w:tcW w:type="pct" w:w="24%"/>
            <w:tcMar>
              <w:top w:type="dxa" w:w="80"/>
              <w:left w:type="dxa" w:w="100"/>
              <w:bottom w:type="dxa" w:w="80"/>
              <w:right w:type="dxa" w:w="100"/>
            </w:tcMar>
          </w:tcPr>
          <w:p>
            <w:pPr>
              <w:spacing w:after="0" w:line="276"/>
            </w:pPr>
            <w:r>
              <w:rPr>
                <w:sz w:val="20"/>
                <w:szCs w:val="20"/>
              </w:rPr>
              <w:t xml:space="preserve">Odtajano</w:t>
            </w:r>
          </w:p>
        </w:tc>
        <w:tc>
          <w:tcPr>
            <w:tcW w:type="pct" w:w="76%"/>
            <w:tcMar>
              <w:top w:type="dxa" w:w="80"/>
              <w:left w:type="dxa" w:w="100"/>
              <w:bottom w:type="dxa" w:w="80"/>
              <w:right w:type="dxa" w:w="100"/>
            </w:tcMar>
          </w:tcPr>
          <w:p>
            <w:pPr>
              <w:spacing w:after="0" w:line="276"/>
            </w:pPr>
            <w:r>
              <w:rPr>
                <w:sz w:val="20"/>
                <w:szCs w:val="20"/>
              </w:rPr>
              <w:t xml:space="preserve">Količina odvzeta iz zamrznjene operativne zaloge. Odtajanje samo po sebi ne porabi surovin.</w:t>
            </w:r>
          </w:p>
        </w:tc>
      </w:tr>
      <w:tr>
        <w:tc>
          <w:tcPr>
            <w:tcW w:type="pct" w:w="24%"/>
            <w:shd w:fill="F2F4F7"/>
            <w:tcMar>
              <w:top w:type="dxa" w:w="80"/>
              <w:left w:type="dxa" w:w="100"/>
              <w:bottom w:type="dxa" w:w="80"/>
              <w:right w:type="dxa" w:w="100"/>
            </w:tcMar>
          </w:tcPr>
          <w:p>
            <w:pPr>
              <w:spacing w:after="0" w:line="276"/>
            </w:pPr>
            <w:r>
              <w:rPr>
                <w:sz w:val="20"/>
                <w:szCs w:val="20"/>
              </w:rPr>
              <w:t xml:space="preserve">Pripravljeno</w:t>
            </w:r>
          </w:p>
        </w:tc>
        <w:tc>
          <w:tcPr>
            <w:tcW w:type="pct" w:w="76%"/>
            <w:shd w:fill="F2F4F7"/>
            <w:tcMar>
              <w:top w:type="dxa" w:w="80"/>
              <w:left w:type="dxa" w:w="100"/>
              <w:bottom w:type="dxa" w:w="80"/>
              <w:right w:type="dxa" w:w="100"/>
            </w:tcMar>
          </w:tcPr>
          <w:p>
            <w:pPr>
              <w:spacing w:after="0" w:line="276"/>
            </w:pPr>
            <w:r>
              <w:rPr>
                <w:sz w:val="20"/>
                <w:szCs w:val="20"/>
              </w:rPr>
              <w:t xml:space="preserve">Nova količina, pripravljena danes. Ta količina porabi surovine po normativu ob zaključku.</w:t>
            </w:r>
          </w:p>
        </w:tc>
      </w:tr>
      <w:tr>
        <w:tc>
          <w:tcPr>
            <w:tcW w:type="pct" w:w="24%"/>
            <w:tcMar>
              <w:top w:type="dxa" w:w="80"/>
              <w:left w:type="dxa" w:w="100"/>
              <w:bottom w:type="dxa" w:w="80"/>
              <w:right w:type="dxa" w:w="100"/>
            </w:tcMar>
          </w:tcPr>
          <w:p>
            <w:pPr>
              <w:spacing w:after="0" w:line="276"/>
            </w:pPr>
            <w:r>
              <w:rPr>
                <w:sz w:val="20"/>
                <w:szCs w:val="20"/>
              </w:rPr>
              <w:t xml:space="preserve">Popravek (+/-)</w:t>
            </w:r>
          </w:p>
        </w:tc>
        <w:tc>
          <w:tcPr>
            <w:tcW w:type="pct" w:w="76%"/>
            <w:tcMar>
              <w:top w:type="dxa" w:w="80"/>
              <w:left w:type="dxa" w:w="100"/>
              <w:bottom w:type="dxa" w:w="80"/>
              <w:right w:type="dxa" w:w="100"/>
            </w:tcMar>
          </w:tcPr>
          <w:p>
            <w:pPr>
              <w:spacing w:after="0" w:line="276"/>
            </w:pPr>
            <w:r>
              <w:rPr>
                <w:sz w:val="20"/>
                <w:szCs w:val="20"/>
              </w:rPr>
              <w:t xml:space="preserve">Vrednostna prerazporeditev med materialnim stroškom in stroškom kala; ni dodatna priprava.</w:t>
            </w:r>
          </w:p>
        </w:tc>
      </w:tr>
      <w:tr>
        <w:tc>
          <w:tcPr>
            <w:tcW w:type="pct" w:w="24%"/>
            <w:shd w:fill="F2F4F7"/>
            <w:tcMar>
              <w:top w:type="dxa" w:w="80"/>
              <w:left w:type="dxa" w:w="100"/>
              <w:bottom w:type="dxa" w:w="80"/>
              <w:right w:type="dxa" w:w="100"/>
            </w:tcMar>
          </w:tcPr>
          <w:p>
            <w:pPr>
              <w:spacing w:after="0" w:line="276"/>
            </w:pPr>
            <w:r>
              <w:rPr>
                <w:sz w:val="20"/>
                <w:szCs w:val="20"/>
              </w:rPr>
              <w:t xml:space="preserve">Prodano</w:t>
            </w:r>
          </w:p>
        </w:tc>
        <w:tc>
          <w:tcPr>
            <w:tcW w:type="pct" w:w="76%"/>
            <w:shd w:fill="F2F4F7"/>
            <w:tcMar>
              <w:top w:type="dxa" w:w="80"/>
              <w:left w:type="dxa" w:w="100"/>
              <w:bottom w:type="dxa" w:w="80"/>
              <w:right w:type="dxa" w:w="100"/>
            </w:tcMar>
          </w:tcPr>
          <w:p>
            <w:pPr>
              <w:spacing w:after="0" w:line="276"/>
            </w:pPr>
            <w:r>
              <w:rPr>
                <w:sz w:val="20"/>
                <w:szCs w:val="20"/>
              </w:rPr>
              <w:t xml:space="preserve">Prodaja, ki jo sistem izračuna iz računov in naročil.</w:t>
            </w:r>
          </w:p>
        </w:tc>
      </w:tr>
      <w:tr>
        <w:tc>
          <w:tcPr>
            <w:tcW w:type="pct" w:w="24%"/>
            <w:tcMar>
              <w:top w:type="dxa" w:w="80"/>
              <w:left w:type="dxa" w:w="100"/>
              <w:bottom w:type="dxa" w:w="80"/>
              <w:right w:type="dxa" w:w="100"/>
            </w:tcMar>
          </w:tcPr>
          <w:p>
            <w:pPr>
              <w:spacing w:after="0" w:line="276"/>
            </w:pPr>
            <w:r>
              <w:rPr>
                <w:sz w:val="20"/>
                <w:szCs w:val="20"/>
              </w:rPr>
              <w:t xml:space="preserve">Zamrznjeno</w:t>
            </w:r>
          </w:p>
        </w:tc>
        <w:tc>
          <w:tcPr>
            <w:tcW w:type="pct" w:w="76%"/>
            <w:tcMar>
              <w:top w:type="dxa" w:w="80"/>
              <w:left w:type="dxa" w:w="100"/>
              <w:bottom w:type="dxa" w:w="80"/>
              <w:right w:type="dxa" w:w="100"/>
            </w:tcMar>
          </w:tcPr>
          <w:p>
            <w:pPr>
              <w:spacing w:after="0" w:line="276"/>
            </w:pPr>
            <w:r>
              <w:rPr>
                <w:sz w:val="20"/>
                <w:szCs w:val="20"/>
              </w:rPr>
              <w:t xml:space="preserve">Količina, ki se ob koncu dneva vrne oziroma ostane v zamrzovalni operativni zalogi.</w:t>
            </w:r>
          </w:p>
        </w:tc>
      </w:tr>
      <w:tr>
        <w:tc>
          <w:tcPr>
            <w:tcW w:type="pct" w:w="24%"/>
            <w:shd w:fill="F2F4F7"/>
            <w:tcMar>
              <w:top w:type="dxa" w:w="80"/>
              <w:left w:type="dxa" w:w="100"/>
              <w:bottom w:type="dxa" w:w="80"/>
              <w:right w:type="dxa" w:w="100"/>
            </w:tcMar>
          </w:tcPr>
          <w:p>
            <w:pPr>
              <w:spacing w:after="0" w:line="276"/>
            </w:pPr>
            <w:r>
              <w:rPr>
                <w:sz w:val="20"/>
                <w:szCs w:val="20"/>
              </w:rPr>
              <w:t xml:space="preserve">Kalo</w:t>
            </w:r>
          </w:p>
        </w:tc>
        <w:tc>
          <w:tcPr>
            <w:tcW w:type="pct" w:w="76%"/>
            <w:shd w:fill="F2F4F7"/>
            <w:tcMar>
              <w:top w:type="dxa" w:w="80"/>
              <w:left w:type="dxa" w:w="100"/>
              <w:bottom w:type="dxa" w:w="80"/>
              <w:right w:type="dxa" w:w="100"/>
            </w:tcMar>
          </w:tcPr>
          <w:p>
            <w:pPr>
              <w:spacing w:after="0" w:line="276"/>
            </w:pPr>
            <w:r>
              <w:rPr>
                <w:sz w:val="20"/>
                <w:szCs w:val="20"/>
              </w:rPr>
              <w:t xml:space="preserve">Fizični preostanek: odtajano + pripravljeno − prodano − zamrznjeno.</w:t>
            </w:r>
          </w:p>
        </w:tc>
      </w:tr>
    </w:tbl>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Ključno pravilo popravka  </w:t>
            </w:r>
            <w:r>
              <w:rPr>
                <w:sz w:val="22"/>
                <w:szCs w:val="22"/>
              </w:rPr>
              <w:t xml:space="preserve">Popravek ne sme spremeniti pripravljene količine, razpoložljivosti, fizičnega kala, porabe surovin ali količine/vrednosti zamrznjene zaloge. Vpliva lahko samo na razmerje prerazporeditve istega stroška med materialnim stroškom in stroškom kala.</w:t>
            </w:r>
          </w:p>
        </w:tc>
      </w:tr>
    </w:tbl>
    <w:p>
      <w:pPr>
        <w:pStyle w:val="Heading2"/>
        <w:keepNext/>
        <w:spacing w:after="100" w:before="180"/>
      </w:pPr>
      <w:r>
        <w:rPr>
          <w:b/>
          <w:bCs/>
          <w:color w:val="1F4E79"/>
          <w:sz w:val="26"/>
          <w:szCs w:val="26"/>
        </w:rPr>
        <w:t xml:space="preserve">11.4 Vnos in zaključek dneva</w:t>
      </w:r>
    </w:p>
    <w:p>
      <w:pPr>
        <w:pStyle w:val="ListParagraph"/>
        <w:numPr>
          <w:ilvl w:val="0"/>
          <w:numId w:val="2"/>
        </w:numPr>
        <w:spacing w:after="80" w:line="270"/>
      </w:pPr>
      <w:r>
        <w:rPr>
          <w:sz w:val="21"/>
          <w:szCs w:val="21"/>
        </w:rPr>
        <w:t xml:space="preserve">Odprite »Pripravljena hrana« in izberite zadnji odprti poslovni dan.</w:t>
      </w:r>
    </w:p>
    <w:p>
      <w:pPr>
        <w:pStyle w:val="ListParagraph"/>
        <w:numPr>
          <w:ilvl w:val="0"/>
          <w:numId w:val="2"/>
        </w:numPr>
        <w:spacing w:after="80" w:line="270"/>
      </w:pPr>
      <w:r>
        <w:rPr>
          <w:sz w:val="21"/>
          <w:szCs w:val="21"/>
        </w:rPr>
        <w:t xml:space="preserve">Vnesite odtajano, pripravljeno, popravek in zamrznjeno količino.</w:t>
      </w:r>
    </w:p>
    <w:p>
      <w:pPr>
        <w:pStyle w:val="ListParagraph"/>
        <w:numPr>
          <w:ilvl w:val="0"/>
          <w:numId w:val="2"/>
        </w:numPr>
        <w:spacing w:after="80" w:line="270"/>
      </w:pPr>
      <w:r>
        <w:rPr>
          <w:sz w:val="21"/>
          <w:szCs w:val="21"/>
        </w:rPr>
        <w:t xml:space="preserve">Preverite, da je fizični kalo nenegativen. Popravek ni del formule »Skupaj«.</w:t>
      </w:r>
    </w:p>
    <w:p>
      <w:pPr>
        <w:pStyle w:val="ListParagraph"/>
        <w:numPr>
          <w:ilvl w:val="0"/>
          <w:numId w:val="2"/>
        </w:numPr>
        <w:spacing w:after="80" w:line="270"/>
      </w:pPr>
      <w:r>
        <w:rPr>
          <w:sz w:val="21"/>
          <w:szCs w:val="21"/>
        </w:rPr>
        <w:t xml:space="preserve">Shranite vnos. Pred zaključkom preverite prodano količino, ki jo sistem poveže z računi.</w:t>
      </w:r>
    </w:p>
    <w:p>
      <w:pPr>
        <w:pStyle w:val="ListParagraph"/>
        <w:numPr>
          <w:ilvl w:val="0"/>
          <w:numId w:val="2"/>
        </w:numPr>
        <w:spacing w:after="80" w:line="270"/>
      </w:pPr>
      <w:r>
        <w:rPr>
          <w:sz w:val="21"/>
          <w:szCs w:val="21"/>
        </w:rPr>
        <w:t xml:space="preserve">Izberite »Zaključi« šele, ko so vse vrstice preverjene. Zaključena evidenca je zaklenjena.</w:t>
      </w:r>
    </w:p>
    <w:p>
      <w:pPr>
        <w:pStyle w:val="ListParagraph"/>
        <w:numPr>
          <w:ilvl w:val="0"/>
          <w:numId w:val="1"/>
        </w:numPr>
        <w:spacing w:after="70" w:line="260"/>
      </w:pPr>
      <w:r>
        <w:rPr>
          <w:sz w:val="21"/>
          <w:szCs w:val="21"/>
        </w:rPr>
        <w:t xml:space="preserve">Starejša evidenca po odprtju novejšega datuma ni več urediva. Zadnja odprta evidenca lahko ostane vir razpoložljivosti tudi po polnoči.</w:t>
      </w:r>
    </w:p>
    <w:p>
      <w:pPr>
        <w:pStyle w:val="Heading2"/>
        <w:keepNext/>
        <w:spacing w:after="100" w:before="180"/>
      </w:pPr>
      <w:r>
        <w:rPr>
          <w:b/>
          <w:bCs/>
          <w:color w:val="1F4E79"/>
          <w:sz w:val="26"/>
          <w:szCs w:val="26"/>
        </w:rPr>
        <w:t xml:space="preserve">11.5 Zapisnik kala in PDF</w:t>
      </w:r>
    </w:p>
    <w:p>
      <w:pPr>
        <w:pStyle w:val="ListParagraph"/>
        <w:numPr>
          <w:ilvl w:val="0"/>
          <w:numId w:val="1"/>
        </w:numPr>
        <w:spacing w:after="70" w:line="260"/>
      </w:pPr>
      <w:r>
        <w:rPr>
          <w:sz w:val="21"/>
          <w:szCs w:val="21"/>
        </w:rPr>
        <w:t xml:space="preserve">V zavihku »Zapisniki kala« ustvarite zapisnik iz neoddane količine zaključenih evidenc. Dokument dobi lastno zaporedno številko znotraj poslovne enote.</w:t>
      </w:r>
    </w:p>
    <w:p>
      <w:pPr>
        <w:pStyle w:val="ListParagraph"/>
        <w:numPr>
          <w:ilvl w:val="0"/>
          <w:numId w:val="1"/>
        </w:numPr>
        <w:spacing w:after="70" w:line="260"/>
      </w:pPr>
      <w:r>
        <w:rPr>
          <w:sz w:val="21"/>
          <w:szCs w:val="21"/>
        </w:rPr>
        <w:t xml:space="preserve">Zapisnik hrani zgodovinski posnetek artikla, količine, lastne cene na enoto in vrednosti vrstice. Kasnejša sprememba cen ne sme spremeniti že izdanega dokumenta.</w:t>
      </w:r>
    </w:p>
    <w:p>
      <w:pPr>
        <w:pStyle w:val="ListParagraph"/>
        <w:numPr>
          <w:ilvl w:val="0"/>
          <w:numId w:val="1"/>
        </w:numPr>
        <w:spacing w:after="70" w:line="260"/>
      </w:pPr>
      <w:r>
        <w:rPr>
          <w:sz w:val="21"/>
          <w:szCs w:val="21"/>
        </w:rPr>
        <w:t xml:space="preserve">Pri delno že oddanem kalu se v zapisnik zajame samo preostanek in njegova sorazmerna vrednost.</w:t>
      </w:r>
    </w:p>
    <w:p>
      <w:pPr>
        <w:pStyle w:val="ListParagraph"/>
        <w:numPr>
          <w:ilvl w:val="0"/>
          <w:numId w:val="1"/>
        </w:numPr>
        <w:spacing w:after="70" w:line="260"/>
      </w:pPr>
      <w:r>
        <w:rPr>
          <w:sz w:val="21"/>
          <w:szCs w:val="21"/>
        </w:rPr>
        <w:t xml:space="preserve">PDF je A4. Pred podpisom preverite obdobje, razlog, podpis odgovorne osebe, podpis vodje, količine in skupno vrednost.</w:t>
      </w:r>
    </w:p>
    <w:p>
      <w:pPr>
        <w:pStyle w:val="Heading2"/>
        <w:keepNext/>
        <w:spacing w:after="100" w:before="180"/>
      </w:pPr>
      <w:r>
        <w:rPr>
          <w:b/>
          <w:bCs/>
          <w:color w:val="1F4E79"/>
          <w:sz w:val="26"/>
          <w:szCs w:val="26"/>
        </w:rPr>
        <w:t xml:space="preserve">11.6 Finančna razlaga</w:t>
      </w:r>
    </w:p>
    <w:p>
      <w:pPr>
        <w:pStyle w:val="ListParagraph"/>
        <w:numPr>
          <w:ilvl w:val="0"/>
          <w:numId w:val="1"/>
        </w:numPr>
        <w:spacing w:after="70" w:line="260"/>
      </w:pPr>
      <w:r>
        <w:rPr>
          <w:sz w:val="21"/>
          <w:szCs w:val="21"/>
        </w:rPr>
        <w:t xml:space="preserve">Nova priprava se ovrednoti iz stroška normativov in nabavne osnove surovin. Odtajane stare porcije se ovrednotijo s stroškom zamrznjene operativne zaloge.</w:t>
      </w:r>
    </w:p>
    <w:p>
      <w:pPr>
        <w:pStyle w:val="ListParagraph"/>
        <w:numPr>
          <w:ilvl w:val="0"/>
          <w:numId w:val="1"/>
        </w:numPr>
        <w:spacing w:after="70" w:line="260"/>
      </w:pPr>
      <w:r>
        <w:rPr>
          <w:sz w:val="21"/>
          <w:szCs w:val="21"/>
        </w:rPr>
        <w:t xml:space="preserve">Pri popravku se fizična količina ne spremeni. Spremeni se lahko samo delež celotnega stroška, ki je v obračunu prenesen na materialni strošek oziroma na kalo.</w:t>
      </w:r>
    </w:p>
    <w:p>
      <w:pPr>
        <w:pStyle w:val="Heading1"/>
        <w:keepNext/>
        <w:spacing w:after="100" w:before="300"/>
      </w:pPr>
      <w:r>
        <w:rPr>
          <w:b/>
          <w:bCs/>
          <w:color w:val="1F4E79"/>
          <w:sz w:val="30"/>
          <w:szCs w:val="30"/>
        </w:rPr>
        <w:t xml:space="preserve">12. Odpadki s krožnikov</w:t>
      </w:r>
    </w:p>
    <w:p>
      <w:pPr>
        <w:spacing w:after="120" w:line="276"/>
      </w:pPr>
      <w:r>
        <w:rPr>
          <w:sz w:val="22"/>
          <w:szCs w:val="22"/>
        </w:rPr>
        <w:t xml:space="preserve">»Odpadki s krožnikov« so ločena okoljska evidenca ostankov hrane, ki jih gost pusti na krožniku. Ti vnosi niso povezani z zalogo, prodajo, normativi, pripravljeno hrano, kalom ali računovodstvom.</w:t>
      </w:r>
    </w:p>
    <w:p>
      <w:pPr>
        <w:pStyle w:val="Heading2"/>
        <w:keepNext/>
        <w:spacing w:after="100" w:before="180"/>
      </w:pPr>
      <w:r>
        <w:rPr>
          <w:b/>
          <w:bCs/>
          <w:color w:val="1F4E79"/>
          <w:sz w:val="26"/>
          <w:szCs w:val="26"/>
        </w:rPr>
        <w:t xml:space="preserve">12.1 Dnevni vnos</w:t>
      </w:r>
    </w:p>
    <w:p>
      <w:pPr>
        <w:pStyle w:val="ListParagraph"/>
        <w:numPr>
          <w:ilvl w:val="0"/>
          <w:numId w:val="2"/>
        </w:numPr>
        <w:spacing w:after="80" w:line="270"/>
      </w:pPr>
      <w:r>
        <w:rPr>
          <w:sz w:val="21"/>
          <w:szCs w:val="21"/>
        </w:rPr>
        <w:t xml:space="preserve">Odprite »Odpadki s krožnikov« in izberite datum.</w:t>
      </w:r>
    </w:p>
    <w:p>
      <w:pPr>
        <w:pStyle w:val="ListParagraph"/>
        <w:numPr>
          <w:ilvl w:val="0"/>
          <w:numId w:val="2"/>
        </w:numPr>
        <w:spacing w:after="80" w:line="270"/>
      </w:pPr>
      <w:r>
        <w:rPr>
          <w:sz w:val="21"/>
          <w:szCs w:val="21"/>
        </w:rPr>
        <w:t xml:space="preserve">Vnesite vrsto odpadka, količino in opombo, če je potrebna.</w:t>
      </w:r>
    </w:p>
    <w:p>
      <w:pPr>
        <w:pStyle w:val="ListParagraph"/>
        <w:numPr>
          <w:ilvl w:val="0"/>
          <w:numId w:val="2"/>
        </w:numPr>
        <w:spacing w:after="80" w:line="270"/>
      </w:pPr>
      <w:r>
        <w:rPr>
          <w:sz w:val="21"/>
          <w:szCs w:val="21"/>
        </w:rPr>
        <w:t xml:space="preserve">Shranite dnevni vnos in preverite povzetek.</w:t>
      </w:r>
    </w:p>
    <w:p>
      <w:pPr>
        <w:pStyle w:val="Heading2"/>
        <w:keepNext/>
        <w:spacing w:after="100" w:before="180"/>
      </w:pPr>
      <w:r>
        <w:rPr>
          <w:b/>
          <w:bCs/>
          <w:color w:val="1F4E79"/>
          <w:sz w:val="26"/>
          <w:szCs w:val="26"/>
        </w:rPr>
        <w:t xml:space="preserve">12.2 Oddaja prevzemniku</w:t>
      </w:r>
    </w:p>
    <w:p>
      <w:pPr>
        <w:pStyle w:val="ListParagraph"/>
        <w:numPr>
          <w:ilvl w:val="0"/>
          <w:numId w:val="2"/>
        </w:numPr>
        <w:spacing w:after="80" w:line="270"/>
      </w:pPr>
      <w:r>
        <w:rPr>
          <w:sz w:val="21"/>
          <w:szCs w:val="21"/>
        </w:rPr>
        <w:t xml:space="preserve">Odprite zavihek »Oddaja prevzemnikom« in izberite datum oziroma količino.</w:t>
      </w:r>
    </w:p>
    <w:p>
      <w:pPr>
        <w:pStyle w:val="ListParagraph"/>
        <w:numPr>
          <w:ilvl w:val="0"/>
          <w:numId w:val="2"/>
        </w:numPr>
        <w:spacing w:after="80" w:line="270"/>
      </w:pPr>
      <w:r>
        <w:rPr>
          <w:sz w:val="21"/>
          <w:szCs w:val="21"/>
        </w:rPr>
        <w:t xml:space="preserve">Vnesite podatke o prevzemniku in potrdite oddajo.</w:t>
      </w:r>
    </w:p>
    <w:p>
      <w:pPr>
        <w:pStyle w:val="ListParagraph"/>
        <w:numPr>
          <w:ilvl w:val="0"/>
          <w:numId w:val="2"/>
        </w:numPr>
        <w:spacing w:after="80" w:line="270"/>
      </w:pPr>
      <w:r>
        <w:rPr>
          <w:sz w:val="21"/>
          <w:szCs w:val="21"/>
        </w:rPr>
        <w:t xml:space="preserve">Za napačno količino uporabite funkcijo »Popravek«. Negativna vrednost zmanjša že oddano količino; ne brišite zgodovinske oddaje.</w:t>
      </w:r>
    </w:p>
    <w:p>
      <w:pPr>
        <w:pStyle w:val="ListParagraph"/>
        <w:numPr>
          <w:ilvl w:val="0"/>
          <w:numId w:val="1"/>
        </w:numPr>
        <w:spacing w:after="70" w:line="260"/>
      </w:pPr>
      <w:r>
        <w:rPr>
          <w:sz w:val="21"/>
          <w:szCs w:val="21"/>
        </w:rPr>
        <w:t xml:space="preserve">Za vsako oddajo ali popravek je mogoče odpreti A4 PDF. Za okoljsko evidenco hranite podpisano dokumentacijo po internem postopku.</w:t>
      </w:r>
    </w:p>
    <w:p>
      <w:pPr>
        <w:pStyle w:val="Heading1"/>
        <w:keepNext/>
        <w:spacing w:after="100" w:before="300"/>
      </w:pPr>
      <w:r>
        <w:rPr>
          <w:b/>
          <w:bCs/>
          <w:color w:val="1F4E79"/>
          <w:sz w:val="30"/>
          <w:szCs w:val="30"/>
        </w:rPr>
        <w:t xml:space="preserve">13. Partnerji, naročniki in dostava</w:t>
      </w:r>
    </w:p>
    <w:p>
      <w:pPr>
        <w:pStyle w:val="Heading2"/>
        <w:keepNext/>
        <w:spacing w:after="100" w:before="180"/>
      </w:pPr>
      <w:r>
        <w:rPr>
          <w:b/>
          <w:bCs/>
          <w:color w:val="1F4E79"/>
          <w:sz w:val="26"/>
          <w:szCs w:val="26"/>
        </w:rPr>
        <w:t xml:space="preserve">13.1 Poslovni partnerji</w:t>
      </w:r>
    </w:p>
    <w:p>
      <w:pPr>
        <w:pStyle w:val="ListParagraph"/>
        <w:numPr>
          <w:ilvl w:val="0"/>
          <w:numId w:val="1"/>
        </w:numPr>
        <w:spacing w:after="70" w:line="260"/>
      </w:pPr>
      <w:r>
        <w:rPr>
          <w:sz w:val="21"/>
          <w:szCs w:val="21"/>
        </w:rPr>
        <w:t xml:space="preserve">V »Partnerji« vnesite kupce, podjetja, s. p., javni sektor in druge poslovne stranke. Pri B2B računu uporabite partnerja, ne prostega besedila.</w:t>
      </w:r>
    </w:p>
    <w:p>
      <w:pPr>
        <w:pStyle w:val="ListParagraph"/>
        <w:numPr>
          <w:ilvl w:val="0"/>
          <w:numId w:val="1"/>
        </w:numPr>
        <w:spacing w:after="70" w:line="260"/>
      </w:pPr>
      <w:r>
        <w:rPr>
          <w:sz w:val="21"/>
          <w:szCs w:val="21"/>
        </w:rPr>
        <w:t xml:space="preserve">Pri vnosu davčne številke program lahko poišče osnovne podatke iz registra. Podatke preverite in dopolnite z naslovom, ID za DDV, matično številko, TRR ter e-računom.</w:t>
      </w:r>
    </w:p>
    <w:p>
      <w:pPr>
        <w:pStyle w:val="ListParagraph"/>
        <w:numPr>
          <w:ilvl w:val="0"/>
          <w:numId w:val="1"/>
        </w:numPr>
        <w:spacing w:after="70" w:line="260"/>
      </w:pPr>
      <w:r>
        <w:rPr>
          <w:sz w:val="21"/>
          <w:szCs w:val="21"/>
        </w:rPr>
        <w:t xml:space="preserve">Partnerski cenik določa individualno prodajno ceno za izbrane artikle. Pred zaračunavanjem preverite, ali je partner pravilno izbran.</w:t>
      </w:r>
    </w:p>
    <w:p>
      <w:pPr>
        <w:pStyle w:val="Heading2"/>
        <w:keepNext/>
        <w:spacing w:after="100" w:before="180"/>
      </w:pPr>
      <w:r>
        <w:rPr>
          <w:b/>
          <w:bCs/>
          <w:color w:val="1F4E79"/>
          <w:sz w:val="26"/>
          <w:szCs w:val="26"/>
        </w:rPr>
        <w:t xml:space="preserve">13.2 Telefonski naročniki</w:t>
      </w:r>
    </w:p>
    <w:p>
      <w:pPr>
        <w:pStyle w:val="ListParagraph"/>
        <w:numPr>
          <w:ilvl w:val="0"/>
          <w:numId w:val="1"/>
        </w:numPr>
        <w:spacing w:after="70" w:line="260"/>
      </w:pPr>
      <w:r>
        <w:rPr>
          <w:sz w:val="21"/>
          <w:szCs w:val="21"/>
        </w:rPr>
        <w:t xml:space="preserve">Telefonski naročnik je ločen od poslovnega partnerja. Identificira se po telefonski številki znotraj poslovne enote.</w:t>
      </w:r>
    </w:p>
    <w:p>
      <w:pPr>
        <w:pStyle w:val="ListParagraph"/>
        <w:numPr>
          <w:ilvl w:val="0"/>
          <w:numId w:val="1"/>
        </w:numPr>
        <w:spacing w:after="70" w:line="260"/>
      </w:pPr>
      <w:r>
        <w:rPr>
          <w:sz w:val="21"/>
          <w:szCs w:val="21"/>
        </w:rPr>
        <w:t xml:space="preserve">Pri spremembi telefonske številke preverite, ali ne ustvarjate drugega naročnika. Pri dostavi vedno preverite naslov in navodila.</w:t>
      </w:r>
    </w:p>
    <w:p>
      <w:pPr>
        <w:pStyle w:val="Heading2"/>
        <w:keepNext/>
        <w:spacing w:after="100" w:before="180"/>
      </w:pPr>
      <w:r>
        <w:rPr>
          <w:b/>
          <w:bCs/>
          <w:color w:val="1F4E79"/>
          <w:sz w:val="26"/>
          <w:szCs w:val="26"/>
        </w:rPr>
        <w:t xml:space="preserve">13.3 Dostava</w:t>
      </w:r>
    </w:p>
    <w:p>
      <w:pPr>
        <w:pStyle w:val="ListParagraph"/>
        <w:numPr>
          <w:ilvl w:val="0"/>
          <w:numId w:val="1"/>
        </w:numPr>
        <w:spacing w:after="70" w:line="260"/>
      </w:pPr>
      <w:r>
        <w:rPr>
          <w:sz w:val="21"/>
          <w:szCs w:val="21"/>
        </w:rPr>
        <w:t xml:space="preserve">V nastavitvah dostave določite območja, cene, minimalne pogoje in druge poslovne parametre, če so omogočeni.</w:t>
      </w:r>
    </w:p>
    <w:p>
      <w:pPr>
        <w:pStyle w:val="ListParagraph"/>
        <w:numPr>
          <w:ilvl w:val="0"/>
          <w:numId w:val="1"/>
        </w:numPr>
        <w:spacing w:after="70" w:line="260"/>
      </w:pPr>
      <w:r>
        <w:rPr>
          <w:sz w:val="21"/>
          <w:szCs w:val="21"/>
        </w:rPr>
        <w:t xml:space="preserve">Čas dostave in čas priprave sta ločena. KDS odšteva čas priprave; prihod dostavljavca je samo informacija.</w:t>
      </w:r>
    </w:p>
    <w:p>
      <w:pPr>
        <w:pStyle w:val="Heading1"/>
        <w:keepNext/>
        <w:spacing w:after="100" w:before="300"/>
      </w:pPr>
      <w:r>
        <w:rPr>
          <w:b/>
          <w:bCs/>
          <w:color w:val="1F4E79"/>
          <w:sz w:val="30"/>
          <w:szCs w:val="30"/>
        </w:rPr>
        <w:t xml:space="preserve">14. Poročila, statistike in temeljnice</w:t>
      </w:r>
    </w:p>
    <w:p>
      <w:pPr>
        <w:pStyle w:val="Heading2"/>
        <w:keepNext/>
        <w:spacing w:after="100" w:before="180"/>
      </w:pPr>
      <w:r>
        <w:rPr>
          <w:b/>
          <w:bCs/>
          <w:color w:val="1F4E79"/>
          <w:sz w:val="26"/>
          <w:szCs w:val="26"/>
        </w:rPr>
        <w:t xml:space="preserve">14.1 Dnevni izkaz</w:t>
      </w:r>
    </w:p>
    <w:p>
      <w:pPr>
        <w:pStyle w:val="ListParagraph"/>
        <w:numPr>
          <w:ilvl w:val="0"/>
          <w:numId w:val="1"/>
        </w:numPr>
        <w:spacing w:after="70" w:line="260"/>
      </w:pPr>
      <w:r>
        <w:rPr>
          <w:sz w:val="21"/>
          <w:szCs w:val="21"/>
        </w:rPr>
        <w:t xml:space="preserve">»Dnevni izkaz« prikazuje promet, število računov, povprečni račun, osnovo brez DDV, obračunani DDV, DDV po stopnjah ter razčlenitve po vrstah, natakarjih in blagajnah.</w:t>
      </w:r>
    </w:p>
    <w:p>
      <w:pPr>
        <w:pStyle w:val="ListParagraph"/>
        <w:numPr>
          <w:ilvl w:val="0"/>
          <w:numId w:val="1"/>
        </w:numPr>
        <w:spacing w:after="70" w:line="260"/>
      </w:pPr>
      <w:r>
        <w:rPr>
          <w:sz w:val="21"/>
          <w:szCs w:val="21"/>
        </w:rPr>
        <w:t xml:space="preserve">Pri poročilu izberite pravilen poslovni datum. Poslovni dan se lahko začne pred polnočjo ali ob nastavljeni uri; promet pred začetno uro pripada prejšnjemu poslovnemu dnevu.</w:t>
      </w:r>
    </w:p>
    <w:p>
      <w:pPr>
        <w:pStyle w:val="ListParagraph"/>
        <w:numPr>
          <w:ilvl w:val="0"/>
          <w:numId w:val="1"/>
        </w:numPr>
        <w:spacing w:after="70" w:line="260"/>
      </w:pPr>
      <w:r>
        <w:rPr>
          <w:sz w:val="21"/>
          <w:szCs w:val="21"/>
        </w:rPr>
        <w:t xml:space="preserve">CSV izvoz uporabite za nadaljnjo obdelavo. Pred oddajo računovodstvu preverite obdobje in enoto.</w:t>
      </w:r>
    </w:p>
    <w:p>
      <w:pPr>
        <w:pStyle w:val="Heading2"/>
        <w:keepNext/>
        <w:spacing w:after="100" w:before="180"/>
      </w:pPr>
      <w:r>
        <w:rPr>
          <w:b/>
          <w:bCs/>
          <w:color w:val="1F4E79"/>
          <w:sz w:val="26"/>
          <w:szCs w:val="26"/>
        </w:rPr>
        <w:t xml:space="preserve">14.2 Statistike in realizacija</w:t>
      </w:r>
    </w:p>
    <w:p>
      <w:pPr>
        <w:pStyle w:val="ListParagraph"/>
        <w:numPr>
          <w:ilvl w:val="0"/>
          <w:numId w:val="1"/>
        </w:numPr>
        <w:spacing w:after="70" w:line="260"/>
      </w:pPr>
      <w:r>
        <w:rPr>
          <w:sz w:val="21"/>
          <w:szCs w:val="21"/>
        </w:rPr>
        <w:t xml:space="preserve">»Statistike« prikazujejo KPI, dnevni promet, račune, aktivna naročila, DDV, promet po urah in priljubljene artikle.</w:t>
      </w:r>
    </w:p>
    <w:p>
      <w:pPr>
        <w:pStyle w:val="ListParagraph"/>
        <w:numPr>
          <w:ilvl w:val="0"/>
          <w:numId w:val="1"/>
        </w:numPr>
        <w:spacing w:after="70" w:line="260"/>
      </w:pPr>
      <w:r>
        <w:rPr>
          <w:sz w:val="21"/>
          <w:szCs w:val="21"/>
        </w:rPr>
        <w:t xml:space="preserve">»Realizacija« je podrobnejši pregled računov, davčne osnove, DDV in načinov plačila. Uporabite jo za kontrolo pred knjigovodskim prenosom.</w:t>
      </w:r>
    </w:p>
    <w:p>
      <w:pPr>
        <w:pStyle w:val="Heading2"/>
        <w:keepNext/>
        <w:spacing w:after="100" w:before="180"/>
      </w:pPr>
      <w:r>
        <w:rPr>
          <w:b/>
          <w:bCs/>
          <w:color w:val="1F4E79"/>
          <w:sz w:val="26"/>
          <w:szCs w:val="26"/>
        </w:rPr>
        <w:t xml:space="preserve">14.3 Temeljnice</w:t>
      </w:r>
    </w:p>
    <w:p>
      <w:pPr>
        <w:pStyle w:val="ListParagraph"/>
        <w:numPr>
          <w:ilvl w:val="0"/>
          <w:numId w:val="1"/>
        </w:numPr>
        <w:spacing w:after="70" w:line="260"/>
      </w:pPr>
      <w:r>
        <w:rPr>
          <w:sz w:val="21"/>
          <w:szCs w:val="21"/>
        </w:rPr>
        <w:t xml:space="preserve">»Temeljnice« prikazujejo dnevne oziroma samodejno pripravljene prenose v ERP. Preverite datum, enoto, promet, DDV, plačila in konte.</w:t>
      </w:r>
    </w:p>
    <w:p>
      <w:pPr>
        <w:pStyle w:val="ListParagraph"/>
        <w:numPr>
          <w:ilvl w:val="0"/>
          <w:numId w:val="1"/>
        </w:numPr>
        <w:spacing w:after="70" w:line="260"/>
      </w:pPr>
      <w:r>
        <w:rPr>
          <w:sz w:val="21"/>
          <w:szCs w:val="21"/>
        </w:rPr>
        <w:t xml:space="preserve">POS dnevne temeljnice se lahko ustvarijo kot osnutki; knjiženje in končna odgovornost sta v računovodskem procesu.</w:t>
      </w:r>
    </w:p>
    <w:p>
      <w:pPr>
        <w:pStyle w:val="ListParagraph"/>
        <w:numPr>
          <w:ilvl w:val="0"/>
          <w:numId w:val="1"/>
        </w:numPr>
        <w:spacing w:after="70" w:line="260"/>
      </w:pPr>
      <w:r>
        <w:rPr>
          <w:sz w:val="21"/>
          <w:szCs w:val="21"/>
        </w:rPr>
        <w:t xml:space="preserve">Pri SŠP študentskih bonih je subvencija terjatev. Zbirni dokument se odpre šele po potrditvi dnevne temeljnice.</w:t>
      </w:r>
    </w:p>
    <w:p>
      <w:pPr>
        <w:pStyle w:val="Heading2"/>
        <w:keepNext/>
        <w:spacing w:after="100" w:before="180"/>
      </w:pPr>
      <w:r>
        <w:rPr>
          <w:b/>
          <w:bCs/>
          <w:color w:val="1F4E79"/>
          <w:sz w:val="26"/>
          <w:szCs w:val="26"/>
        </w:rPr>
        <w:t xml:space="preserve">14.4 Cenovna odstopanja</w:t>
      </w:r>
    </w:p>
    <w:p>
      <w:pPr>
        <w:pStyle w:val="ListParagraph"/>
        <w:numPr>
          <w:ilvl w:val="0"/>
          <w:numId w:val="1"/>
        </w:numPr>
        <w:spacing w:after="70" w:line="260"/>
      </w:pPr>
      <w:r>
        <w:rPr>
          <w:sz w:val="21"/>
          <w:szCs w:val="21"/>
        </w:rPr>
        <w:t xml:space="preserve">»Cen. odstopanja« uporabite za primerjavo nabavnih cen oziroma nenavadnih sprememb. Pred potrditvijo prejemnice preverite večja odstopanja.</w:t>
      </w:r>
    </w:p>
    <w:p>
      <w:pPr>
        <w:pStyle w:val="Heading1"/>
        <w:keepNext/>
        <w:spacing w:after="100" w:before="300"/>
      </w:pPr>
      <w:r>
        <w:rPr>
          <w:b/>
          <w:bCs/>
          <w:color w:val="1F4E79"/>
          <w:sz w:val="30"/>
          <w:szCs w:val="30"/>
        </w:rPr>
        <w:t xml:space="preserve">15. Obračun ur in stroškovna mesta</w:t>
      </w:r>
    </w:p>
    <w:p>
      <w:pPr>
        <w:pStyle w:val="Heading2"/>
        <w:keepNext/>
        <w:spacing w:after="100" w:before="180"/>
      </w:pPr>
      <w:r>
        <w:rPr>
          <w:b/>
          <w:bCs/>
          <w:color w:val="1F4E79"/>
          <w:sz w:val="26"/>
          <w:szCs w:val="26"/>
        </w:rPr>
        <w:t xml:space="preserve">15.1 Izmene in obračun ur</w:t>
      </w:r>
    </w:p>
    <w:p>
      <w:pPr>
        <w:pStyle w:val="ListParagraph"/>
        <w:numPr>
          <w:ilvl w:val="0"/>
          <w:numId w:val="1"/>
        </w:numPr>
        <w:spacing w:after="70" w:line="260"/>
      </w:pPr>
      <w:r>
        <w:rPr>
          <w:sz w:val="21"/>
          <w:szCs w:val="21"/>
        </w:rPr>
        <w:t xml:space="preserve">Izmena je operativni zapis prisotnosti in dela. Pri odprtju preverite datum, uporabnika, enoto in stroškovno mesto.</w:t>
      </w:r>
    </w:p>
    <w:p>
      <w:pPr>
        <w:pStyle w:val="ListParagraph"/>
        <w:numPr>
          <w:ilvl w:val="0"/>
          <w:numId w:val="1"/>
        </w:numPr>
        <w:spacing w:after="70" w:line="260"/>
      </w:pPr>
      <w:r>
        <w:rPr>
          <w:sz w:val="21"/>
          <w:szCs w:val="21"/>
        </w:rPr>
        <w:t xml:space="preserve">Zgodovinski obračun mora ohraniti kodo in naziv stroškovnega mesta, kot sta veljala ob odprtju izmene. Kasnejše preimenovanje šifranta ne sme spremeniti zgodovine.</w:t>
      </w:r>
    </w:p>
    <w:p>
      <w:pPr>
        <w:pStyle w:val="Heading2"/>
        <w:keepNext/>
        <w:spacing w:after="100" w:before="180"/>
      </w:pPr>
      <w:r>
        <w:rPr>
          <w:b/>
          <w:bCs/>
          <w:color w:val="1F4E79"/>
          <w:sz w:val="26"/>
          <w:szCs w:val="26"/>
        </w:rPr>
        <w:t xml:space="preserve">15.2 Stroškovna mesta</w:t>
      </w:r>
    </w:p>
    <w:p>
      <w:pPr>
        <w:pStyle w:val="ListParagraph"/>
        <w:numPr>
          <w:ilvl w:val="0"/>
          <w:numId w:val="1"/>
        </w:numPr>
        <w:spacing w:after="70" w:line="260"/>
      </w:pPr>
      <w:r>
        <w:rPr>
          <w:sz w:val="21"/>
          <w:szCs w:val="21"/>
        </w:rPr>
        <w:t xml:space="preserve">V šifrantu določite tip, nadrejeno stroškovno mesto in odgovorno osebo. Ne brišite uporabljenega stroškovnega mesta, če ga je mogoče arhivirati oziroma mehko izbrisati.</w:t>
      </w:r>
    </w:p>
    <w:p>
      <w:pPr>
        <w:pStyle w:val="Heading1"/>
        <w:keepNext/>
        <w:spacing w:after="100" w:before="300"/>
      </w:pPr>
      <w:r>
        <w:rPr>
          <w:b/>
          <w:bCs/>
          <w:color w:val="1F4E79"/>
          <w:sz w:val="30"/>
          <w:szCs w:val="30"/>
        </w:rPr>
        <w:t xml:space="preserve">16. Simulacija in testni način</w:t>
      </w:r>
    </w:p>
    <w:p>
      <w:pPr>
        <w:spacing w:after="120" w:line="276"/>
      </w:pPr>
      <w:r>
        <w:rPr>
          <w:sz w:val="22"/>
          <w:szCs w:val="22"/>
        </w:rPr>
        <w:t xml:space="preserve">»Simulacija« je namenjena preizkušanju operativnih scenarijev z drugim poslovnim datumom. Vijolični trak opozarja, da niste v običajnem poslovnem dnevu.</w:t>
      </w:r>
    </w:p>
    <w:p>
      <w:pPr>
        <w:pStyle w:val="ListParagraph"/>
        <w:numPr>
          <w:ilvl w:val="0"/>
          <w:numId w:val="1"/>
        </w:numPr>
        <w:spacing w:after="70" w:line="260"/>
      </w:pPr>
      <w:r>
        <w:rPr>
          <w:sz w:val="21"/>
          <w:szCs w:val="21"/>
        </w:rPr>
        <w:t xml:space="preserve">V simulaciji ne izvajajte dejanskih produkcijskih plačil, če ni izrecno pripravljeno testno okolje.</w:t>
      </w:r>
    </w:p>
    <w:p>
      <w:pPr>
        <w:pStyle w:val="ListParagraph"/>
        <w:numPr>
          <w:ilvl w:val="0"/>
          <w:numId w:val="1"/>
        </w:numPr>
        <w:spacing w:after="70" w:line="260"/>
      </w:pPr>
      <w:r>
        <w:rPr>
          <w:sz w:val="21"/>
          <w:szCs w:val="21"/>
        </w:rPr>
        <w:t xml:space="preserve">Pred vrnitvijo v redno delo izklopite simulacijo in preverite poslovni datum, enoto, blagajno ter način FURS.</w:t>
      </w:r>
    </w:p>
    <w:p>
      <w:pPr>
        <w:pStyle w:val="ListParagraph"/>
        <w:numPr>
          <w:ilvl w:val="0"/>
          <w:numId w:val="1"/>
        </w:numPr>
        <w:spacing w:after="70" w:line="260"/>
      </w:pPr>
      <w:r>
        <w:rPr>
          <w:sz w:val="21"/>
          <w:szCs w:val="21"/>
        </w:rPr>
        <w:t xml:space="preserve">Admin lahko uporablja skrbniške teste, vendar testnih podatkov ne mešajte z realnimi dokumenti.</w:t>
      </w:r>
    </w:p>
    <w:p>
      <w:pPr>
        <w:pStyle w:val="Heading1"/>
        <w:keepNext/>
        <w:spacing w:after="100" w:before="300"/>
      </w:pPr>
      <w:r>
        <w:rPr>
          <w:b/>
          <w:bCs/>
          <w:color w:val="1F4E79"/>
          <w:sz w:val="30"/>
          <w:szCs w:val="30"/>
        </w:rPr>
        <w:t xml:space="preserve">17. Kontrolni seznami</w:t>
      </w:r>
    </w:p>
    <w:p>
      <w:pPr>
        <w:pStyle w:val="Heading2"/>
        <w:keepNext/>
        <w:spacing w:after="100" w:before="180"/>
      </w:pPr>
      <w:r>
        <w:rPr>
          <w:b/>
          <w:bCs/>
          <w:color w:val="1F4E79"/>
          <w:sz w:val="26"/>
          <w:szCs w:val="26"/>
        </w:rPr>
        <w:t xml:space="preserve">17.1 Kontrola pred odprtjem lokala</w:t>
      </w:r>
    </w:p>
    <w:p>
      <w:pPr>
        <w:pStyle w:val="ListParagraph"/>
        <w:numPr>
          <w:ilvl w:val="0"/>
          <w:numId w:val="1"/>
        </w:numPr>
        <w:spacing w:after="70" w:line="260"/>
      </w:pPr>
      <w:r>
        <w:rPr>
          <w:sz w:val="21"/>
          <w:szCs w:val="21"/>
        </w:rPr>
        <w:t xml:space="preserve">Prijava deluje in uporabnik ima pravo vlogo.</w:t>
      </w:r>
    </w:p>
    <w:p>
      <w:pPr>
        <w:pStyle w:val="ListParagraph"/>
        <w:numPr>
          <w:ilvl w:val="0"/>
          <w:numId w:val="1"/>
        </w:numPr>
        <w:spacing w:after="70" w:line="260"/>
      </w:pPr>
      <w:r>
        <w:rPr>
          <w:sz w:val="21"/>
          <w:szCs w:val="21"/>
        </w:rPr>
        <w:t xml:space="preserve">Izbrana sta prava enota in blagajna.</w:t>
      </w:r>
    </w:p>
    <w:p>
      <w:pPr>
        <w:pStyle w:val="ListParagraph"/>
        <w:numPr>
          <w:ilvl w:val="0"/>
          <w:numId w:val="1"/>
        </w:numPr>
        <w:spacing w:after="70" w:line="260"/>
      </w:pPr>
      <w:r>
        <w:rPr>
          <w:sz w:val="21"/>
          <w:szCs w:val="21"/>
        </w:rPr>
        <w:t xml:space="preserve">Izmena je odprta z začetnim stanjem gotovine.</w:t>
      </w:r>
    </w:p>
    <w:p>
      <w:pPr>
        <w:pStyle w:val="ListParagraph"/>
        <w:numPr>
          <w:ilvl w:val="0"/>
          <w:numId w:val="1"/>
        </w:numPr>
        <w:spacing w:after="70" w:line="260"/>
      </w:pPr>
      <w:r>
        <w:rPr>
          <w:sz w:val="21"/>
          <w:szCs w:val="21"/>
        </w:rPr>
        <w:t xml:space="preserve">Tiskalnik ima papir in testni izpis uspe.</w:t>
      </w:r>
    </w:p>
    <w:p>
      <w:pPr>
        <w:pStyle w:val="ListParagraph"/>
        <w:numPr>
          <w:ilvl w:val="0"/>
          <w:numId w:val="1"/>
        </w:numPr>
        <w:spacing w:after="70" w:line="260"/>
      </w:pPr>
      <w:r>
        <w:rPr>
          <w:sz w:val="21"/>
          <w:szCs w:val="21"/>
        </w:rPr>
        <w:t xml:space="preserve">Terminal je dosegljiv oziroma je izbran pravilen način plačila.</w:t>
      </w:r>
    </w:p>
    <w:p>
      <w:pPr>
        <w:pStyle w:val="ListParagraph"/>
        <w:numPr>
          <w:ilvl w:val="0"/>
          <w:numId w:val="1"/>
        </w:numPr>
        <w:spacing w:after="70" w:line="260"/>
      </w:pPr>
      <w:r>
        <w:rPr>
          <w:sz w:val="21"/>
          <w:szCs w:val="21"/>
        </w:rPr>
        <w:t xml:space="preserve">FURS način, certifikat in poslovni prostor so pravilni.</w:t>
      </w:r>
    </w:p>
    <w:p>
      <w:pPr>
        <w:pStyle w:val="ListParagraph"/>
        <w:numPr>
          <w:ilvl w:val="0"/>
          <w:numId w:val="1"/>
        </w:numPr>
        <w:spacing w:after="70" w:line="260"/>
      </w:pPr>
      <w:r>
        <w:rPr>
          <w:sz w:val="21"/>
          <w:szCs w:val="21"/>
        </w:rPr>
        <w:t xml:space="preserve">Mize, rezervacije in odprta naročila so preverjeni.</w:t>
      </w:r>
    </w:p>
    <w:p>
      <w:pPr>
        <w:pStyle w:val="ListParagraph"/>
        <w:numPr>
          <w:ilvl w:val="0"/>
          <w:numId w:val="1"/>
        </w:numPr>
        <w:spacing w:after="70" w:line="260"/>
      </w:pPr>
      <w:r>
        <w:rPr>
          <w:sz w:val="21"/>
          <w:szCs w:val="21"/>
        </w:rPr>
        <w:t xml:space="preserve">Kuhinjski in barski zasloni prikazujejo nova naročila.</w:t>
      </w:r>
    </w:p>
    <w:p>
      <w:pPr>
        <w:pStyle w:val="Heading2"/>
        <w:keepNext/>
        <w:spacing w:after="100" w:before="180"/>
      </w:pPr>
      <w:r>
        <w:rPr>
          <w:b/>
          <w:bCs/>
          <w:color w:val="1F4E79"/>
          <w:sz w:val="26"/>
          <w:szCs w:val="26"/>
        </w:rPr>
        <w:t xml:space="preserve">17.2 Kontrola pred izdajo računa</w:t>
      </w:r>
    </w:p>
    <w:p>
      <w:pPr>
        <w:pStyle w:val="ListParagraph"/>
        <w:numPr>
          <w:ilvl w:val="0"/>
          <w:numId w:val="1"/>
        </w:numPr>
        <w:spacing w:after="70" w:line="260"/>
      </w:pPr>
      <w:r>
        <w:rPr>
          <w:sz w:val="21"/>
          <w:szCs w:val="21"/>
        </w:rPr>
        <w:t xml:space="preserve">Pravilno naročilo, miza/prostor in natakar.</w:t>
      </w:r>
    </w:p>
    <w:p>
      <w:pPr>
        <w:pStyle w:val="ListParagraph"/>
        <w:numPr>
          <w:ilvl w:val="0"/>
          <w:numId w:val="1"/>
        </w:numPr>
        <w:spacing w:after="70" w:line="260"/>
      </w:pPr>
      <w:r>
        <w:rPr>
          <w:sz w:val="21"/>
          <w:szCs w:val="21"/>
        </w:rPr>
        <w:t xml:space="preserve">Pravilne postavke, količine, modifikatorji in opombe.</w:t>
      </w:r>
    </w:p>
    <w:p>
      <w:pPr>
        <w:pStyle w:val="ListParagraph"/>
        <w:numPr>
          <w:ilvl w:val="0"/>
          <w:numId w:val="1"/>
        </w:numPr>
        <w:spacing w:after="70" w:line="260"/>
      </w:pPr>
      <w:r>
        <w:rPr>
          <w:sz w:val="21"/>
          <w:szCs w:val="21"/>
        </w:rPr>
        <w:t xml:space="preserve">Pri s seboj je To Go nastavljen na konkretnih postavkah.</w:t>
      </w:r>
    </w:p>
    <w:p>
      <w:pPr>
        <w:pStyle w:val="ListParagraph"/>
        <w:numPr>
          <w:ilvl w:val="0"/>
          <w:numId w:val="1"/>
        </w:numPr>
        <w:spacing w:after="70" w:line="260"/>
      </w:pPr>
      <w:r>
        <w:rPr>
          <w:sz w:val="21"/>
          <w:szCs w:val="21"/>
        </w:rPr>
        <w:t xml:space="preserve">DDV in morebitna cena Happy Hour sta pravilna.</w:t>
      </w:r>
    </w:p>
    <w:p>
      <w:pPr>
        <w:pStyle w:val="ListParagraph"/>
        <w:numPr>
          <w:ilvl w:val="0"/>
          <w:numId w:val="1"/>
        </w:numPr>
        <w:spacing w:after="70" w:line="260"/>
      </w:pPr>
      <w:r>
        <w:rPr>
          <w:sz w:val="21"/>
          <w:szCs w:val="21"/>
        </w:rPr>
        <w:t xml:space="preserve">Pri delnem računu so izbrane samo prave postavke.</w:t>
      </w:r>
    </w:p>
    <w:p>
      <w:pPr>
        <w:pStyle w:val="ListParagraph"/>
        <w:numPr>
          <w:ilvl w:val="0"/>
          <w:numId w:val="1"/>
        </w:numPr>
        <w:spacing w:after="70" w:line="260"/>
      </w:pPr>
      <w:r>
        <w:rPr>
          <w:sz w:val="21"/>
          <w:szCs w:val="21"/>
        </w:rPr>
        <w:t xml:space="preserve">Način plačila in znesek sta pravilna.</w:t>
      </w:r>
    </w:p>
    <w:p>
      <w:pPr>
        <w:pStyle w:val="ListParagraph"/>
        <w:numPr>
          <w:ilvl w:val="0"/>
          <w:numId w:val="1"/>
        </w:numPr>
        <w:spacing w:after="70" w:line="260"/>
      </w:pPr>
      <w:r>
        <w:rPr>
          <w:sz w:val="21"/>
          <w:szCs w:val="21"/>
        </w:rPr>
        <w:t xml:space="preserve">Pri terminalu je plačilo potrjeno samo enkrat.</w:t>
      </w:r>
    </w:p>
    <w:p>
      <w:pPr>
        <w:pStyle w:val="ListParagraph"/>
        <w:numPr>
          <w:ilvl w:val="0"/>
          <w:numId w:val="1"/>
        </w:numPr>
        <w:spacing w:after="70" w:line="260"/>
      </w:pPr>
      <w:r>
        <w:rPr>
          <w:sz w:val="21"/>
          <w:szCs w:val="21"/>
        </w:rPr>
        <w:t xml:space="preserve">Po izdaji preverjeni številka, ZOI/EOR in izpis.</w:t>
      </w:r>
    </w:p>
    <w:p>
      <w:pPr>
        <w:pStyle w:val="Heading2"/>
        <w:keepNext/>
        <w:spacing w:after="100" w:before="180"/>
      </w:pPr>
      <w:r>
        <w:rPr>
          <w:b/>
          <w:bCs/>
          <w:color w:val="1F4E79"/>
          <w:sz w:val="26"/>
          <w:szCs w:val="26"/>
        </w:rPr>
        <w:t xml:space="preserve">17.3 Kontrola ob koncu dneva</w:t>
      </w:r>
    </w:p>
    <w:p>
      <w:pPr>
        <w:pStyle w:val="ListParagraph"/>
        <w:numPr>
          <w:ilvl w:val="0"/>
          <w:numId w:val="1"/>
        </w:numPr>
        <w:spacing w:after="70" w:line="260"/>
      </w:pPr>
      <w:r>
        <w:rPr>
          <w:sz w:val="21"/>
          <w:szCs w:val="21"/>
        </w:rPr>
        <w:t xml:space="preserve">Vsi računi imajo pravilne statuse ali rešena opozorila FURS.</w:t>
      </w:r>
    </w:p>
    <w:p>
      <w:pPr>
        <w:pStyle w:val="ListParagraph"/>
        <w:numPr>
          <w:ilvl w:val="0"/>
          <w:numId w:val="1"/>
        </w:numPr>
        <w:spacing w:after="70" w:line="260"/>
      </w:pPr>
      <w:r>
        <w:rPr>
          <w:sz w:val="21"/>
          <w:szCs w:val="21"/>
        </w:rPr>
        <w:t xml:space="preserve">Ni odprtih naročil, ki bi morala biti zaračunana.</w:t>
      </w:r>
    </w:p>
    <w:p>
      <w:pPr>
        <w:pStyle w:val="ListParagraph"/>
        <w:numPr>
          <w:ilvl w:val="0"/>
          <w:numId w:val="1"/>
        </w:numPr>
        <w:spacing w:after="70" w:line="260"/>
      </w:pPr>
      <w:r>
        <w:rPr>
          <w:sz w:val="21"/>
          <w:szCs w:val="21"/>
        </w:rPr>
        <w:t xml:space="preserve">Z-poročilo je izvedeno za pravo blagajno in poslovni dan.</w:t>
      </w:r>
    </w:p>
    <w:p>
      <w:pPr>
        <w:pStyle w:val="ListParagraph"/>
        <w:numPr>
          <w:ilvl w:val="0"/>
          <w:numId w:val="1"/>
        </w:numPr>
        <w:spacing w:after="70" w:line="260"/>
      </w:pPr>
      <w:r>
        <w:rPr>
          <w:sz w:val="21"/>
          <w:szCs w:val="21"/>
        </w:rPr>
        <w:t xml:space="preserve">Izmena je zaključena, gotovina prešteta in razlika obrazložena.</w:t>
      </w:r>
    </w:p>
    <w:p>
      <w:pPr>
        <w:pStyle w:val="ListParagraph"/>
        <w:numPr>
          <w:ilvl w:val="0"/>
          <w:numId w:val="1"/>
        </w:numPr>
        <w:spacing w:after="70" w:line="260"/>
      </w:pPr>
      <w:r>
        <w:rPr>
          <w:sz w:val="21"/>
          <w:szCs w:val="21"/>
        </w:rPr>
        <w:t xml:space="preserve">Dnevni izkaz se ujema z računi, terminali in blagajno.</w:t>
      </w:r>
    </w:p>
    <w:p>
      <w:pPr>
        <w:pStyle w:val="ListParagraph"/>
        <w:numPr>
          <w:ilvl w:val="0"/>
          <w:numId w:val="1"/>
        </w:numPr>
        <w:spacing w:after="70" w:line="260"/>
      </w:pPr>
      <w:r>
        <w:rPr>
          <w:sz w:val="21"/>
          <w:szCs w:val="21"/>
        </w:rPr>
        <w:t xml:space="preserve">Pripravljena hrana je zaključena in kalo oddano oziroma zajeto v zapisnik.</w:t>
      </w:r>
    </w:p>
    <w:p>
      <w:pPr>
        <w:pStyle w:val="ListParagraph"/>
        <w:numPr>
          <w:ilvl w:val="0"/>
          <w:numId w:val="1"/>
        </w:numPr>
        <w:spacing w:after="70" w:line="260"/>
      </w:pPr>
      <w:r>
        <w:rPr>
          <w:sz w:val="21"/>
          <w:szCs w:val="21"/>
        </w:rPr>
        <w:t xml:space="preserve">Zaloge in morebitne izdajnice/prejemnice so shranjene.</w:t>
      </w:r>
    </w:p>
    <w:p>
      <w:pPr>
        <w:pStyle w:val="ListParagraph"/>
        <w:numPr>
          <w:ilvl w:val="0"/>
          <w:numId w:val="1"/>
        </w:numPr>
        <w:spacing w:after="70" w:line="260"/>
      </w:pPr>
      <w:r>
        <w:rPr>
          <w:sz w:val="21"/>
          <w:szCs w:val="21"/>
        </w:rPr>
        <w:t xml:space="preserve">Natisnjeni oziroma izvoženi dokumenti so shranjeni po internem postopku.</w:t>
      </w:r>
    </w:p>
    <w:p>
      <w:pPr>
        <w:pStyle w:val="Heading1"/>
        <w:keepNext/>
        <w:spacing w:after="100" w:before="300"/>
      </w:pPr>
      <w:r>
        <w:rPr>
          <w:b/>
          <w:bCs/>
          <w:color w:val="1F4E79"/>
          <w:sz w:val="30"/>
          <w:szCs w:val="30"/>
        </w:rPr>
        <w:t xml:space="preserve">18. Pogoste težave in pravilni odzivi</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8"/>
        <w:gridCol w:w="72"/>
      </w:tblGrid>
      <w:tr>
        <w:tc>
          <w:tcPr>
            <w:tcW w:type="pct" w:w="28%"/>
            <w:shd w:fill="1F4E79"/>
            <w:tcMar>
              <w:top w:type="dxa" w:w="90"/>
              <w:left w:type="dxa" w:w="100"/>
              <w:bottom w:type="dxa" w:w="90"/>
              <w:right w:type="dxa" w:w="100"/>
            </w:tcMar>
          </w:tcPr>
          <w:p>
            <w:pPr>
              <w:spacing w:after="0" w:line="276"/>
            </w:pPr>
            <w:r>
              <w:rPr>
                <w:b/>
                <w:bCs/>
                <w:color w:val="FFFFFF"/>
                <w:sz w:val="20"/>
                <w:szCs w:val="20"/>
              </w:rPr>
              <w:t xml:space="preserve">Težava</w:t>
            </w:r>
          </w:p>
        </w:tc>
        <w:tc>
          <w:tcPr>
            <w:tcW w:type="pct" w:w="72%"/>
            <w:shd w:fill="1F4E79"/>
            <w:tcMar>
              <w:top w:type="dxa" w:w="90"/>
              <w:left w:type="dxa" w:w="100"/>
              <w:bottom w:type="dxa" w:w="90"/>
              <w:right w:type="dxa" w:w="100"/>
            </w:tcMar>
          </w:tcPr>
          <w:p>
            <w:pPr>
              <w:spacing w:after="0" w:line="276"/>
            </w:pPr>
            <w:r>
              <w:rPr>
                <w:b/>
                <w:bCs/>
                <w:color w:val="FFFFFF"/>
                <w:sz w:val="20"/>
                <w:szCs w:val="20"/>
              </w:rPr>
              <w:t xml:space="preserve">Kaj preveriti</w:t>
            </w:r>
          </w:p>
        </w:tc>
      </w:tr>
      <w:tr>
        <w:tc>
          <w:tcPr>
            <w:tcW w:type="pct" w:w="28%"/>
            <w:tcMar>
              <w:top w:type="dxa" w:w="80"/>
              <w:left w:type="dxa" w:w="100"/>
              <w:bottom w:type="dxa" w:w="80"/>
              <w:right w:type="dxa" w:w="100"/>
            </w:tcMar>
          </w:tcPr>
          <w:p>
            <w:pPr>
              <w:spacing w:after="0" w:line="276"/>
            </w:pPr>
            <w:r>
              <w:rPr>
                <w:sz w:val="20"/>
                <w:szCs w:val="20"/>
              </w:rPr>
              <w:t xml:space="preserve">Stran je prazna ali se vrti</w:t>
            </w:r>
          </w:p>
        </w:tc>
        <w:tc>
          <w:tcPr>
            <w:tcW w:type="pct" w:w="72%"/>
            <w:tcMar>
              <w:top w:type="dxa" w:w="80"/>
              <w:left w:type="dxa" w:w="100"/>
              <w:bottom w:type="dxa" w:w="80"/>
              <w:right w:type="dxa" w:w="100"/>
            </w:tcMar>
          </w:tcPr>
          <w:p>
            <w:pPr>
              <w:spacing w:after="0" w:line="276"/>
            </w:pPr>
            <w:r>
              <w:rPr>
                <w:sz w:val="20"/>
                <w:szCs w:val="20"/>
              </w:rPr>
              <w:t xml:space="preserve">Povezavo, prijavo, POS vlogo, izbrano enoto in ali je API dosegljiv. Ne ustvarjajte novega uporabnika brez razloga.</w:t>
            </w:r>
          </w:p>
        </w:tc>
      </w:tr>
      <w:tr>
        <w:tc>
          <w:tcPr>
            <w:tcW w:type="pct" w:w="28%"/>
            <w:shd w:fill="F2F4F7"/>
            <w:tcMar>
              <w:top w:type="dxa" w:w="80"/>
              <w:left w:type="dxa" w:w="100"/>
              <w:bottom w:type="dxa" w:w="80"/>
              <w:right w:type="dxa" w:w="100"/>
            </w:tcMar>
          </w:tcPr>
          <w:p>
            <w:pPr>
              <w:spacing w:after="0" w:line="276"/>
            </w:pPr>
            <w:r>
              <w:rPr>
                <w:sz w:val="20"/>
                <w:szCs w:val="20"/>
              </w:rPr>
              <w:t xml:space="preserve">FURS ne potrdi računa</w:t>
            </w:r>
          </w:p>
        </w:tc>
        <w:tc>
          <w:tcPr>
            <w:tcW w:type="pct" w:w="72%"/>
            <w:shd w:fill="F2F4F7"/>
            <w:tcMar>
              <w:top w:type="dxa" w:w="80"/>
              <w:left w:type="dxa" w:w="100"/>
              <w:bottom w:type="dxa" w:w="80"/>
              <w:right w:type="dxa" w:w="100"/>
            </w:tcMar>
          </w:tcPr>
          <w:p>
            <w:pPr>
              <w:spacing w:after="0" w:line="276"/>
            </w:pPr>
            <w:r>
              <w:rPr>
                <w:sz w:val="20"/>
                <w:szCs w:val="20"/>
              </w:rPr>
              <w:t xml:space="preserve">Certifikat, način FURS, PP/B ID, davčne podatke, internet in opozorilo v »Računi«. Nato uporabite ponovni poskus, ne nove prodaje.</w:t>
            </w:r>
          </w:p>
        </w:tc>
      </w:tr>
      <w:tr>
        <w:tc>
          <w:tcPr>
            <w:tcW w:type="pct" w:w="28%"/>
            <w:tcMar>
              <w:top w:type="dxa" w:w="80"/>
              <w:left w:type="dxa" w:w="100"/>
              <w:bottom w:type="dxa" w:w="80"/>
              <w:right w:type="dxa" w:w="100"/>
            </w:tcMar>
          </w:tcPr>
          <w:p>
            <w:pPr>
              <w:spacing w:after="0" w:line="276"/>
            </w:pPr>
            <w:r>
              <w:rPr>
                <w:sz w:val="20"/>
                <w:szCs w:val="20"/>
              </w:rPr>
              <w:t xml:space="preserve">Certifikat se ne naloži</w:t>
            </w:r>
          </w:p>
        </w:tc>
        <w:tc>
          <w:tcPr>
            <w:tcW w:type="pct" w:w="72%"/>
            <w:tcMar>
              <w:top w:type="dxa" w:w="80"/>
              <w:left w:type="dxa" w:w="100"/>
              <w:bottom w:type="dxa" w:w="80"/>
              <w:right w:type="dxa" w:w="100"/>
            </w:tcMar>
          </w:tcPr>
          <w:p>
            <w:pPr>
              <w:spacing w:after="0" w:line="276"/>
            </w:pPr>
            <w:r>
              <w:rPr>
                <w:sz w:val="20"/>
                <w:szCs w:val="20"/>
              </w:rPr>
              <w:t xml:space="preserve">Končnico .p12/.pfx, geslo certifikata in ujemanje testnega/produkcijskega okolja.</w:t>
            </w:r>
          </w:p>
        </w:tc>
      </w:tr>
      <w:tr>
        <w:tc>
          <w:tcPr>
            <w:tcW w:type="pct" w:w="28%"/>
            <w:shd w:fill="F2F4F7"/>
            <w:tcMar>
              <w:top w:type="dxa" w:w="80"/>
              <w:left w:type="dxa" w:w="100"/>
              <w:bottom w:type="dxa" w:w="80"/>
              <w:right w:type="dxa" w:w="100"/>
            </w:tcMar>
          </w:tcPr>
          <w:p>
            <w:pPr>
              <w:spacing w:after="0" w:line="276"/>
            </w:pPr>
            <w:r>
              <w:rPr>
                <w:sz w:val="20"/>
                <w:szCs w:val="20"/>
              </w:rPr>
              <w:t xml:space="preserve">Tiskalnik ne tiska</w:t>
            </w:r>
          </w:p>
        </w:tc>
        <w:tc>
          <w:tcPr>
            <w:tcW w:type="pct" w:w="72%"/>
            <w:shd w:fill="F2F4F7"/>
            <w:tcMar>
              <w:top w:type="dxa" w:w="80"/>
              <w:left w:type="dxa" w:w="100"/>
              <w:bottom w:type="dxa" w:w="80"/>
              <w:right w:type="dxa" w:w="100"/>
            </w:tcMar>
          </w:tcPr>
          <w:p>
            <w:pPr>
              <w:spacing w:after="0" w:line="276"/>
            </w:pPr>
            <w:r>
              <w:rPr>
                <w:sz w:val="20"/>
                <w:szCs w:val="20"/>
              </w:rPr>
              <w:t xml:space="preserve">Papir, napajanje, povezavo, izbran model, Windows agent oziroma Android bridge in testni izpis.</w:t>
            </w:r>
          </w:p>
        </w:tc>
      </w:tr>
      <w:tr>
        <w:tc>
          <w:tcPr>
            <w:tcW w:type="pct" w:w="28%"/>
            <w:tcMar>
              <w:top w:type="dxa" w:w="80"/>
              <w:left w:type="dxa" w:w="100"/>
              <w:bottom w:type="dxa" w:w="80"/>
              <w:right w:type="dxa" w:w="100"/>
            </w:tcMar>
          </w:tcPr>
          <w:p>
            <w:pPr>
              <w:spacing w:after="0" w:line="276"/>
            </w:pPr>
            <w:r>
              <w:rPr>
                <w:sz w:val="20"/>
                <w:szCs w:val="20"/>
              </w:rPr>
              <w:t xml:space="preserve">Terminal je zavrnil plačilo</w:t>
            </w:r>
          </w:p>
        </w:tc>
        <w:tc>
          <w:tcPr>
            <w:tcW w:type="pct" w:w="72%"/>
            <w:tcMar>
              <w:top w:type="dxa" w:w="80"/>
              <w:left w:type="dxa" w:w="100"/>
              <w:bottom w:type="dxa" w:w="80"/>
              <w:right w:type="dxa" w:w="100"/>
            </w:tcMar>
          </w:tcPr>
          <w:p>
            <w:pPr>
              <w:spacing w:after="0" w:line="276"/>
            </w:pPr>
            <w:r>
              <w:rPr>
                <w:sz w:val="20"/>
                <w:szCs w:val="20"/>
              </w:rPr>
              <w:t xml:space="preserve">Ne izdajajte računa. Preverite terminalni status/reference, nato po potrebi transakcijo ponovite šele, ko je jasno, da ni bila potrjena.</w:t>
            </w:r>
          </w:p>
        </w:tc>
      </w:tr>
      <w:tr>
        <w:tc>
          <w:tcPr>
            <w:tcW w:type="pct" w:w="28%"/>
            <w:shd w:fill="F2F4F7"/>
            <w:tcMar>
              <w:top w:type="dxa" w:w="80"/>
              <w:left w:type="dxa" w:w="100"/>
              <w:bottom w:type="dxa" w:w="80"/>
              <w:right w:type="dxa" w:w="100"/>
            </w:tcMar>
          </w:tcPr>
          <w:p>
            <w:pPr>
              <w:spacing w:after="0" w:line="276"/>
            </w:pPr>
            <w:r>
              <w:rPr>
                <w:sz w:val="20"/>
                <w:szCs w:val="20"/>
              </w:rPr>
              <w:t xml:space="preserve">DDV ni pravilen</w:t>
            </w:r>
          </w:p>
        </w:tc>
        <w:tc>
          <w:tcPr>
            <w:tcW w:type="pct" w:w="72%"/>
            <w:shd w:fill="F2F4F7"/>
            <w:tcMar>
              <w:top w:type="dxa" w:w="80"/>
              <w:left w:type="dxa" w:w="100"/>
              <w:bottom w:type="dxa" w:w="80"/>
              <w:right w:type="dxa" w:w="100"/>
            </w:tcMar>
          </w:tcPr>
          <w:p>
            <w:pPr>
              <w:spacing w:after="0" w:line="276"/>
            </w:pPr>
            <w:r>
              <w:rPr>
                <w:sz w:val="20"/>
                <w:szCs w:val="20"/>
              </w:rPr>
              <w:t xml:space="preserve">Artikel, davčno kategorijo, sladkor, To Go in nastavitev konservativno/liberalno. Napačnega že izdanega računa ne brišite.</w:t>
            </w:r>
          </w:p>
        </w:tc>
      </w:tr>
      <w:tr>
        <w:tc>
          <w:tcPr>
            <w:tcW w:type="pct" w:w="28%"/>
            <w:tcMar>
              <w:top w:type="dxa" w:w="80"/>
              <w:left w:type="dxa" w:w="100"/>
              <w:bottom w:type="dxa" w:w="80"/>
              <w:right w:type="dxa" w:w="100"/>
            </w:tcMar>
          </w:tcPr>
          <w:p>
            <w:pPr>
              <w:spacing w:after="0" w:line="276"/>
            </w:pPr>
            <w:r>
              <w:rPr>
                <w:sz w:val="20"/>
                <w:szCs w:val="20"/>
              </w:rPr>
              <w:t xml:space="preserve">Artikel ni v meniju</w:t>
            </w:r>
          </w:p>
        </w:tc>
        <w:tc>
          <w:tcPr>
            <w:tcW w:type="pct" w:w="72%"/>
            <w:tcMar>
              <w:top w:type="dxa" w:w="80"/>
              <w:left w:type="dxa" w:w="100"/>
              <w:bottom w:type="dxa" w:w="80"/>
              <w:right w:type="dxa" w:w="100"/>
            </w:tcMar>
          </w:tcPr>
          <w:p>
            <w:pPr>
              <w:spacing w:after="0" w:line="276"/>
            </w:pPr>
            <w:r>
              <w:rPr>
                <w:sz w:val="20"/>
                <w:szCs w:val="20"/>
              </w:rPr>
              <w:t xml:space="preserve">Aktivnost, kategorijo, tip artikla, vrstni red, enoto in ali je artikel skrit/razprodan.</w:t>
            </w:r>
          </w:p>
        </w:tc>
      </w:tr>
      <w:tr>
        <w:tc>
          <w:tcPr>
            <w:tcW w:type="pct" w:w="28%"/>
            <w:shd w:fill="F2F4F7"/>
            <w:tcMar>
              <w:top w:type="dxa" w:w="80"/>
              <w:left w:type="dxa" w:w="100"/>
              <w:bottom w:type="dxa" w:w="80"/>
              <w:right w:type="dxa" w:w="100"/>
            </w:tcMar>
          </w:tcPr>
          <w:p>
            <w:pPr>
              <w:spacing w:after="0" w:line="276"/>
            </w:pPr>
            <w:r>
              <w:rPr>
                <w:sz w:val="20"/>
                <w:szCs w:val="20"/>
              </w:rPr>
              <w:t xml:space="preserve">Zaloga je napačna</w:t>
            </w:r>
          </w:p>
        </w:tc>
        <w:tc>
          <w:tcPr>
            <w:tcW w:type="pct" w:w="72%"/>
            <w:shd w:fill="F2F4F7"/>
            <w:tcMar>
              <w:top w:type="dxa" w:w="80"/>
              <w:left w:type="dxa" w:w="100"/>
              <w:bottom w:type="dxa" w:w="80"/>
              <w:right w:type="dxa" w:w="100"/>
            </w:tcMar>
          </w:tcPr>
          <w:p>
            <w:pPr>
              <w:spacing w:after="0" w:line="276"/>
            </w:pPr>
            <w:r>
              <w:rPr>
                <w:sz w:val="20"/>
                <w:szCs w:val="20"/>
              </w:rPr>
              <w:t xml:space="preserve">Prejemnice, izdajnico, inventuro, začetno zalogo, normative in kartico artikla. Nato izvedite varen preračun.</w:t>
            </w:r>
          </w:p>
        </w:tc>
      </w:tr>
      <w:tr>
        <w:tc>
          <w:tcPr>
            <w:tcW w:type="pct" w:w="28%"/>
            <w:tcMar>
              <w:top w:type="dxa" w:w="80"/>
              <w:left w:type="dxa" w:w="100"/>
              <w:bottom w:type="dxa" w:w="80"/>
              <w:right w:type="dxa" w:w="100"/>
            </w:tcMar>
          </w:tcPr>
          <w:p>
            <w:pPr>
              <w:spacing w:after="0" w:line="276"/>
            </w:pPr>
            <w:r>
              <w:rPr>
                <w:sz w:val="20"/>
                <w:szCs w:val="20"/>
              </w:rPr>
              <w:t xml:space="preserve">Pripravljena hrana ima napačen kalo</w:t>
            </w:r>
          </w:p>
        </w:tc>
        <w:tc>
          <w:tcPr>
            <w:tcW w:type="pct" w:w="72%"/>
            <w:tcMar>
              <w:top w:type="dxa" w:w="80"/>
              <w:left w:type="dxa" w:w="100"/>
              <w:bottom w:type="dxa" w:w="80"/>
              <w:right w:type="dxa" w:w="100"/>
            </w:tcMar>
          </w:tcPr>
          <w:p>
            <w:pPr>
              <w:spacing w:after="0" w:line="276"/>
            </w:pPr>
            <w:r>
              <w:rPr>
                <w:sz w:val="20"/>
                <w:szCs w:val="20"/>
              </w:rPr>
              <w:t xml:space="preserve">Fizično formulo brez popravka, prodano, zamrznjeno in ali je evidenca že zaključena. Popravek je samo vrednostna prerazporeditev.</w:t>
            </w:r>
          </w:p>
        </w:tc>
      </w:tr>
      <w:tr>
        <w:tc>
          <w:tcPr>
            <w:tcW w:type="pct" w:w="28%"/>
            <w:shd w:fill="F2F4F7"/>
            <w:tcMar>
              <w:top w:type="dxa" w:w="80"/>
              <w:left w:type="dxa" w:w="100"/>
              <w:bottom w:type="dxa" w:w="80"/>
              <w:right w:type="dxa" w:w="100"/>
            </w:tcMar>
          </w:tcPr>
          <w:p>
            <w:pPr>
              <w:spacing w:after="0" w:line="276"/>
            </w:pPr>
            <w:r>
              <w:rPr>
                <w:sz w:val="20"/>
                <w:szCs w:val="20"/>
              </w:rPr>
              <w:t xml:space="preserve">Ne vidim računa drugega uporabnika</w:t>
            </w:r>
          </w:p>
        </w:tc>
        <w:tc>
          <w:tcPr>
            <w:tcW w:type="pct" w:w="72%"/>
            <w:shd w:fill="F2F4F7"/>
            <w:tcMar>
              <w:top w:type="dxa" w:w="80"/>
              <w:left w:type="dxa" w:w="100"/>
              <w:bottom w:type="dxa" w:w="80"/>
              <w:right w:type="dxa" w:w="100"/>
            </w:tcMar>
          </w:tcPr>
          <w:p>
            <w:pPr>
              <w:spacing w:after="0" w:line="276"/>
            </w:pPr>
            <w:r>
              <w:rPr>
                <w:sz w:val="20"/>
                <w:szCs w:val="20"/>
              </w:rPr>
              <w:t xml:space="preserve">Vloga uporabnika lahko omeji prikaz na lastne dokumente. Za celotni pregled potrebujete ustrezno administratorsko pravico.</w:t>
            </w:r>
          </w:p>
        </w:tc>
      </w:tr>
    </w:tbl>
    <w:tbl>
      <w:tblPr>
        <w:tblW w:type="pct" w:w="100%"/>
        <w:tblBorders>
          <w:top w:val="single" w:color="A61B1B" w:sz="6"/>
          <w:left w:val="single" w:color="A61B1B" w:sz="6"/>
          <w:bottom w:val="single" w:color="A61B1B" w:sz="6"/>
          <w:right w:val="single" w:color="A61B1B" w:sz="6"/>
          <w:insideH w:val="none" w:color="A61B1B" w:sz="0"/>
          <w:insideV w:val="none" w:color="A61B1B" w:sz="0"/>
        </w:tblBorders>
      </w:tblPr>
      <w:tblGrid>
        <w:gridCol w:w="100"/>
      </w:tblGrid>
      <w:tr>
        <w:tc>
          <w:tcPr>
            <w:shd w:fill="FBE4E4"/>
            <w:tcMar>
              <w:top w:type="dxa" w:w="100"/>
              <w:left w:type="dxa" w:w="140"/>
              <w:bottom w:type="dxa" w:w="100"/>
              <w:right w:type="dxa" w:w="140"/>
            </w:tcMar>
          </w:tcPr>
          <w:p>
            <w:pPr>
              <w:spacing w:after="0" w:line="276"/>
            </w:pPr>
            <w:r>
              <w:rPr>
                <w:b/>
                <w:bCs/>
                <w:color w:val="A61B1B"/>
                <w:sz w:val="22"/>
                <w:szCs w:val="22"/>
              </w:rPr>
              <w:t xml:space="preserve">Kdaj poklicati skrbnika  </w:t>
            </w:r>
            <w:r>
              <w:rPr>
                <w:sz w:val="22"/>
                <w:szCs w:val="22"/>
              </w:rPr>
              <w:t xml:space="preserve">Pokličite skrbnika pri sumu dvojnega plačila, napačni FURS registraciji, izgubi dokumenta, poškodovanem certifikatu, neskladju zaključene izmene ali nepooblaščenem dostopu.</w:t>
            </w:r>
          </w:p>
        </w:tc>
      </w:tr>
    </w:tbl>
    <w:p>
      <w:pPr>
        <w:pStyle w:val="Heading1"/>
        <w:keepNext/>
        <w:spacing w:after="100" w:before="300"/>
      </w:pPr>
      <w:r>
        <w:rPr>
          <w:b/>
          <w:bCs/>
          <w:color w:val="1F4E79"/>
          <w:sz w:val="30"/>
          <w:szCs w:val="30"/>
        </w:rPr>
        <w:t xml:space="preserve">19. Slovar izrazov</w:t>
      </w:r>
    </w:p>
    <w:tbl>
      <w:tblPr>
        <w:tblW w:type="pct" w:w="100%"/>
        <w:tblBorders>
          <w:top w:val="single" w:color="AAB7C4" w:sz="4"/>
          <w:left w:val="single" w:color="AAB7C4" w:sz="4"/>
          <w:bottom w:val="single" w:color="AAB7C4" w:sz="4"/>
          <w:right w:val="single" w:color="AAB7C4" w:sz="4"/>
          <w:insideH w:val="single" w:color="D5DDE5" w:sz="2"/>
          <w:insideV w:val="single" w:color="D5DDE5" w:sz="2"/>
        </w:tblBorders>
      </w:tblPr>
      <w:tblGrid>
        <w:gridCol w:w="22"/>
        <w:gridCol w:w="78"/>
      </w:tblGrid>
      <w:tr>
        <w:tc>
          <w:tcPr>
            <w:tcW w:type="pct" w:w="22%"/>
            <w:shd w:fill="1F4E79"/>
            <w:tcMar>
              <w:top w:type="dxa" w:w="90"/>
              <w:left w:type="dxa" w:w="100"/>
              <w:bottom w:type="dxa" w:w="90"/>
              <w:right w:type="dxa" w:w="100"/>
            </w:tcMar>
          </w:tcPr>
          <w:p>
            <w:pPr>
              <w:spacing w:after="0" w:line="276"/>
            </w:pPr>
            <w:r>
              <w:rPr>
                <w:b/>
                <w:bCs/>
                <w:color w:val="FFFFFF"/>
                <w:sz w:val="20"/>
                <w:szCs w:val="20"/>
              </w:rPr>
              <w:t xml:space="preserve">Izraz</w:t>
            </w:r>
          </w:p>
        </w:tc>
        <w:tc>
          <w:tcPr>
            <w:tcW w:type="pct" w:w="78%"/>
            <w:shd w:fill="1F4E79"/>
            <w:tcMar>
              <w:top w:type="dxa" w:w="90"/>
              <w:left w:type="dxa" w:w="100"/>
              <w:bottom w:type="dxa" w:w="90"/>
              <w:right w:type="dxa" w:w="100"/>
            </w:tcMar>
          </w:tcPr>
          <w:p>
            <w:pPr>
              <w:spacing w:after="0" w:line="276"/>
            </w:pPr>
            <w:r>
              <w:rPr>
                <w:b/>
                <w:bCs/>
                <w:color w:val="FFFFFF"/>
                <w:sz w:val="20"/>
                <w:szCs w:val="20"/>
              </w:rPr>
              <w:t xml:space="preserve">Pomen</w:t>
            </w:r>
          </w:p>
        </w:tc>
      </w:tr>
      <w:tr>
        <w:tc>
          <w:tcPr>
            <w:tcW w:type="pct" w:w="22%"/>
            <w:tcMar>
              <w:top w:type="dxa" w:w="80"/>
              <w:left w:type="dxa" w:w="100"/>
              <w:bottom w:type="dxa" w:w="80"/>
              <w:right w:type="dxa" w:w="100"/>
            </w:tcMar>
          </w:tcPr>
          <w:p>
            <w:pPr>
              <w:spacing w:after="0" w:line="276"/>
            </w:pPr>
            <w:r>
              <w:rPr>
                <w:sz w:val="20"/>
                <w:szCs w:val="20"/>
              </w:rPr>
              <w:t xml:space="preserve">POS</w:t>
            </w:r>
          </w:p>
        </w:tc>
        <w:tc>
          <w:tcPr>
            <w:tcW w:type="pct" w:w="78%"/>
            <w:tcMar>
              <w:top w:type="dxa" w:w="80"/>
              <w:left w:type="dxa" w:w="100"/>
              <w:bottom w:type="dxa" w:w="80"/>
              <w:right w:type="dxa" w:w="100"/>
            </w:tcMar>
          </w:tcPr>
          <w:p>
            <w:pPr>
              <w:spacing w:after="0" w:line="276"/>
            </w:pPr>
            <w:r>
              <w:rPr>
                <w:sz w:val="20"/>
                <w:szCs w:val="20"/>
              </w:rPr>
              <w:t xml:space="preserve">Blagajniški in operativni sistem za prodajo.</w:t>
            </w:r>
          </w:p>
        </w:tc>
      </w:tr>
      <w:tr>
        <w:tc>
          <w:tcPr>
            <w:tcW w:type="pct" w:w="22%"/>
            <w:shd w:fill="F2F4F7"/>
            <w:tcMar>
              <w:top w:type="dxa" w:w="80"/>
              <w:left w:type="dxa" w:w="100"/>
              <w:bottom w:type="dxa" w:w="80"/>
              <w:right w:type="dxa" w:w="100"/>
            </w:tcMar>
          </w:tcPr>
          <w:p>
            <w:pPr>
              <w:spacing w:after="0" w:line="276"/>
            </w:pPr>
            <w:r>
              <w:rPr>
                <w:sz w:val="20"/>
                <w:szCs w:val="20"/>
              </w:rPr>
              <w:t xml:space="preserve">FURS</w:t>
            </w:r>
          </w:p>
        </w:tc>
        <w:tc>
          <w:tcPr>
            <w:tcW w:type="pct" w:w="78%"/>
            <w:shd w:fill="F2F4F7"/>
            <w:tcMar>
              <w:top w:type="dxa" w:w="80"/>
              <w:left w:type="dxa" w:w="100"/>
              <w:bottom w:type="dxa" w:w="80"/>
              <w:right w:type="dxa" w:w="100"/>
            </w:tcMar>
          </w:tcPr>
          <w:p>
            <w:pPr>
              <w:spacing w:after="0" w:line="276"/>
            </w:pPr>
            <w:r>
              <w:rPr>
                <w:sz w:val="20"/>
                <w:szCs w:val="20"/>
              </w:rPr>
              <w:t xml:space="preserve">Finančna uprava Republike Slovenije; prejemnik fiskalizacijskih sporočil.</w:t>
            </w:r>
          </w:p>
        </w:tc>
      </w:tr>
      <w:tr>
        <w:tc>
          <w:tcPr>
            <w:tcW w:type="pct" w:w="22%"/>
            <w:tcMar>
              <w:top w:type="dxa" w:w="80"/>
              <w:left w:type="dxa" w:w="100"/>
              <w:bottom w:type="dxa" w:w="80"/>
              <w:right w:type="dxa" w:w="100"/>
            </w:tcMar>
          </w:tcPr>
          <w:p>
            <w:pPr>
              <w:spacing w:after="0" w:line="276"/>
            </w:pPr>
            <w:r>
              <w:rPr>
                <w:sz w:val="20"/>
                <w:szCs w:val="20"/>
              </w:rPr>
              <w:t xml:space="preserve">ZOI</w:t>
            </w:r>
          </w:p>
        </w:tc>
        <w:tc>
          <w:tcPr>
            <w:tcW w:type="pct" w:w="78%"/>
            <w:tcMar>
              <w:top w:type="dxa" w:w="80"/>
              <w:left w:type="dxa" w:w="100"/>
              <w:bottom w:type="dxa" w:w="80"/>
              <w:right w:type="dxa" w:w="100"/>
            </w:tcMar>
          </w:tcPr>
          <w:p>
            <w:pPr>
              <w:spacing w:after="0" w:line="276"/>
            </w:pPr>
            <w:r>
              <w:rPr>
                <w:sz w:val="20"/>
                <w:szCs w:val="20"/>
              </w:rPr>
              <w:t xml:space="preserve">Zaščitna oznaka izdajatelja, ustvarjena pred oziroma v fiskalnem postopku.</w:t>
            </w:r>
          </w:p>
        </w:tc>
      </w:tr>
      <w:tr>
        <w:tc>
          <w:tcPr>
            <w:tcW w:type="pct" w:w="22%"/>
            <w:shd w:fill="F2F4F7"/>
            <w:tcMar>
              <w:top w:type="dxa" w:w="80"/>
              <w:left w:type="dxa" w:w="100"/>
              <w:bottom w:type="dxa" w:w="80"/>
              <w:right w:type="dxa" w:w="100"/>
            </w:tcMar>
          </w:tcPr>
          <w:p>
            <w:pPr>
              <w:spacing w:after="0" w:line="276"/>
            </w:pPr>
            <w:r>
              <w:rPr>
                <w:sz w:val="20"/>
                <w:szCs w:val="20"/>
              </w:rPr>
              <w:t xml:space="preserve">EOR</w:t>
            </w:r>
          </w:p>
        </w:tc>
        <w:tc>
          <w:tcPr>
            <w:tcW w:type="pct" w:w="78%"/>
            <w:shd w:fill="F2F4F7"/>
            <w:tcMar>
              <w:top w:type="dxa" w:w="80"/>
              <w:left w:type="dxa" w:w="100"/>
              <w:bottom w:type="dxa" w:w="80"/>
              <w:right w:type="dxa" w:w="100"/>
            </w:tcMar>
          </w:tcPr>
          <w:p>
            <w:pPr>
              <w:spacing w:after="0" w:line="276"/>
            </w:pPr>
            <w:r>
              <w:rPr>
                <w:sz w:val="20"/>
                <w:szCs w:val="20"/>
              </w:rPr>
              <w:t xml:space="preserve">Edinstvena oznaka računa, ki jo vrne FURS kot potrditev.</w:t>
            </w:r>
          </w:p>
        </w:tc>
      </w:tr>
      <w:tr>
        <w:tc>
          <w:tcPr>
            <w:tcW w:type="pct" w:w="22%"/>
            <w:tcMar>
              <w:top w:type="dxa" w:w="80"/>
              <w:left w:type="dxa" w:w="100"/>
              <w:bottom w:type="dxa" w:w="80"/>
              <w:right w:type="dxa" w:w="100"/>
            </w:tcMar>
          </w:tcPr>
          <w:p>
            <w:pPr>
              <w:spacing w:after="0" w:line="276"/>
            </w:pPr>
            <w:r>
              <w:rPr>
                <w:sz w:val="20"/>
                <w:szCs w:val="20"/>
              </w:rPr>
              <w:t xml:space="preserve">PP / B</w:t>
            </w:r>
          </w:p>
        </w:tc>
        <w:tc>
          <w:tcPr>
            <w:tcW w:type="pct" w:w="78%"/>
            <w:tcMar>
              <w:top w:type="dxa" w:w="80"/>
              <w:left w:type="dxa" w:w="100"/>
              <w:bottom w:type="dxa" w:w="80"/>
              <w:right w:type="dxa" w:w="100"/>
            </w:tcMar>
          </w:tcPr>
          <w:p>
            <w:pPr>
              <w:spacing w:after="0" w:line="276"/>
            </w:pPr>
            <w:r>
              <w:rPr>
                <w:sz w:val="20"/>
                <w:szCs w:val="20"/>
              </w:rPr>
              <w:t xml:space="preserve">Identifikator poslovnega prostora in elektronske naprave blagajne.</w:t>
            </w:r>
          </w:p>
        </w:tc>
      </w:tr>
      <w:tr>
        <w:tc>
          <w:tcPr>
            <w:tcW w:type="pct" w:w="22%"/>
            <w:shd w:fill="F2F4F7"/>
            <w:tcMar>
              <w:top w:type="dxa" w:w="80"/>
              <w:left w:type="dxa" w:w="100"/>
              <w:bottom w:type="dxa" w:w="80"/>
              <w:right w:type="dxa" w:w="100"/>
            </w:tcMar>
          </w:tcPr>
          <w:p>
            <w:pPr>
              <w:spacing w:after="0" w:line="276"/>
            </w:pPr>
            <w:r>
              <w:rPr>
                <w:sz w:val="20"/>
                <w:szCs w:val="20"/>
              </w:rPr>
              <w:t xml:space="preserve">WAC</w:t>
            </w:r>
          </w:p>
        </w:tc>
        <w:tc>
          <w:tcPr>
            <w:tcW w:type="pct" w:w="78%"/>
            <w:shd w:fill="F2F4F7"/>
            <w:tcMar>
              <w:top w:type="dxa" w:w="80"/>
              <w:left w:type="dxa" w:w="100"/>
              <w:bottom w:type="dxa" w:w="80"/>
              <w:right w:type="dxa" w:w="100"/>
            </w:tcMar>
          </w:tcPr>
          <w:p>
            <w:pPr>
              <w:spacing w:after="0" w:line="276"/>
            </w:pPr>
            <w:r>
              <w:rPr>
                <w:sz w:val="20"/>
                <w:szCs w:val="20"/>
              </w:rPr>
              <w:t xml:space="preserve">Drseča tehtana povprečna nabavna cena.</w:t>
            </w:r>
          </w:p>
        </w:tc>
      </w:tr>
      <w:tr>
        <w:tc>
          <w:tcPr>
            <w:tcW w:type="pct" w:w="22%"/>
            <w:tcMar>
              <w:top w:type="dxa" w:w="80"/>
              <w:left w:type="dxa" w:w="100"/>
              <w:bottom w:type="dxa" w:w="80"/>
              <w:right w:type="dxa" w:w="100"/>
            </w:tcMar>
          </w:tcPr>
          <w:p>
            <w:pPr>
              <w:spacing w:after="0" w:line="276"/>
            </w:pPr>
            <w:r>
              <w:rPr>
                <w:sz w:val="20"/>
                <w:szCs w:val="20"/>
              </w:rPr>
              <w:t xml:space="preserve">Normativ</w:t>
            </w:r>
          </w:p>
        </w:tc>
        <w:tc>
          <w:tcPr>
            <w:tcW w:type="pct" w:w="78%"/>
            <w:tcMar>
              <w:top w:type="dxa" w:w="80"/>
              <w:left w:type="dxa" w:w="100"/>
              <w:bottom w:type="dxa" w:w="80"/>
              <w:right w:type="dxa" w:w="100"/>
            </w:tcMar>
          </w:tcPr>
          <w:p>
            <w:pPr>
              <w:spacing w:after="0" w:line="276"/>
            </w:pPr>
            <w:r>
              <w:rPr>
                <w:sz w:val="20"/>
                <w:szCs w:val="20"/>
              </w:rPr>
              <w:t xml:space="preserve">Receptura oziroma seznam vhodnih artiklov in količin za prodajno/pripravljeno jed.</w:t>
            </w:r>
          </w:p>
        </w:tc>
      </w:tr>
      <w:tr>
        <w:tc>
          <w:tcPr>
            <w:tcW w:type="pct" w:w="22%"/>
            <w:shd w:fill="F2F4F7"/>
            <w:tcMar>
              <w:top w:type="dxa" w:w="80"/>
              <w:left w:type="dxa" w:w="100"/>
              <w:bottom w:type="dxa" w:w="80"/>
              <w:right w:type="dxa" w:w="100"/>
            </w:tcMar>
          </w:tcPr>
          <w:p>
            <w:pPr>
              <w:spacing w:after="0" w:line="276"/>
            </w:pPr>
            <w:r>
              <w:rPr>
                <w:sz w:val="20"/>
                <w:szCs w:val="20"/>
              </w:rPr>
              <w:t xml:space="preserve">Kalo</w:t>
            </w:r>
          </w:p>
        </w:tc>
        <w:tc>
          <w:tcPr>
            <w:tcW w:type="pct" w:w="78%"/>
            <w:shd w:fill="F2F4F7"/>
            <w:tcMar>
              <w:top w:type="dxa" w:w="80"/>
              <w:left w:type="dxa" w:w="100"/>
              <w:bottom w:type="dxa" w:w="80"/>
              <w:right w:type="dxa" w:w="100"/>
            </w:tcMar>
          </w:tcPr>
          <w:p>
            <w:pPr>
              <w:spacing w:after="0" w:line="276"/>
            </w:pPr>
            <w:r>
              <w:rPr>
                <w:sz w:val="20"/>
                <w:szCs w:val="20"/>
              </w:rPr>
              <w:t xml:space="preserve">Fizični odpis oziroma neporabljeni ostanek, ki se evidentira po pravilih modula.</w:t>
            </w:r>
          </w:p>
        </w:tc>
      </w:tr>
      <w:tr>
        <w:tc>
          <w:tcPr>
            <w:tcW w:type="pct" w:w="22%"/>
            <w:tcMar>
              <w:top w:type="dxa" w:w="80"/>
              <w:left w:type="dxa" w:w="100"/>
              <w:bottom w:type="dxa" w:w="80"/>
              <w:right w:type="dxa" w:w="100"/>
            </w:tcMar>
          </w:tcPr>
          <w:p>
            <w:pPr>
              <w:spacing w:after="0" w:line="276"/>
            </w:pPr>
            <w:r>
              <w:rPr>
                <w:sz w:val="20"/>
                <w:szCs w:val="20"/>
              </w:rPr>
              <w:t xml:space="preserve">To Go</w:t>
            </w:r>
          </w:p>
        </w:tc>
        <w:tc>
          <w:tcPr>
            <w:tcW w:type="pct" w:w="78%"/>
            <w:tcMar>
              <w:top w:type="dxa" w:w="80"/>
              <w:left w:type="dxa" w:w="100"/>
              <w:bottom w:type="dxa" w:w="80"/>
              <w:right w:type="dxa" w:w="100"/>
            </w:tcMar>
          </w:tcPr>
          <w:p>
            <w:pPr>
              <w:spacing w:after="0" w:line="276"/>
            </w:pPr>
            <w:r>
              <w:rPr>
                <w:sz w:val="20"/>
                <w:szCs w:val="20"/>
              </w:rPr>
              <w:t xml:space="preserve">Način strežbe za s seboj na posamezni prodajni postavki.</w:t>
            </w:r>
          </w:p>
        </w:tc>
      </w:tr>
      <w:tr>
        <w:tc>
          <w:tcPr>
            <w:tcW w:type="pct" w:w="22%"/>
            <w:shd w:fill="F2F4F7"/>
            <w:tcMar>
              <w:top w:type="dxa" w:w="80"/>
              <w:left w:type="dxa" w:w="100"/>
              <w:bottom w:type="dxa" w:w="80"/>
              <w:right w:type="dxa" w:w="100"/>
            </w:tcMar>
          </w:tcPr>
          <w:p>
            <w:pPr>
              <w:spacing w:after="0" w:line="276"/>
            </w:pPr>
            <w:r>
              <w:rPr>
                <w:sz w:val="20"/>
                <w:szCs w:val="20"/>
              </w:rPr>
              <w:t xml:space="preserve">KDS</w:t>
            </w:r>
          </w:p>
        </w:tc>
        <w:tc>
          <w:tcPr>
            <w:tcW w:type="pct" w:w="78%"/>
            <w:shd w:fill="F2F4F7"/>
            <w:tcMar>
              <w:top w:type="dxa" w:w="80"/>
              <w:left w:type="dxa" w:w="100"/>
              <w:bottom w:type="dxa" w:w="80"/>
              <w:right w:type="dxa" w:w="100"/>
            </w:tcMar>
          </w:tcPr>
          <w:p>
            <w:pPr>
              <w:spacing w:after="0" w:line="276"/>
            </w:pPr>
            <w:r>
              <w:rPr>
                <w:sz w:val="20"/>
                <w:szCs w:val="20"/>
              </w:rPr>
              <w:t xml:space="preserve">Kuhinjski oziroma barski zaslon za pripravo naročil.</w:t>
            </w:r>
          </w:p>
        </w:tc>
      </w:tr>
      <w:tr>
        <w:tc>
          <w:tcPr>
            <w:tcW w:type="pct" w:w="22%"/>
            <w:tcMar>
              <w:top w:type="dxa" w:w="80"/>
              <w:left w:type="dxa" w:w="100"/>
              <w:bottom w:type="dxa" w:w="80"/>
              <w:right w:type="dxa" w:w="100"/>
            </w:tcMar>
          </w:tcPr>
          <w:p>
            <w:pPr>
              <w:spacing w:after="0" w:line="276"/>
            </w:pPr>
            <w:r>
              <w:rPr>
                <w:sz w:val="20"/>
                <w:szCs w:val="20"/>
              </w:rPr>
              <w:t xml:space="preserve">X-poročilo</w:t>
            </w:r>
          </w:p>
        </w:tc>
        <w:tc>
          <w:tcPr>
            <w:tcW w:type="pct" w:w="78%"/>
            <w:tcMar>
              <w:top w:type="dxa" w:w="80"/>
              <w:left w:type="dxa" w:w="100"/>
              <w:bottom w:type="dxa" w:w="80"/>
              <w:right w:type="dxa" w:w="100"/>
            </w:tcMar>
          </w:tcPr>
          <w:p>
            <w:pPr>
              <w:spacing w:after="0" w:line="276"/>
            </w:pPr>
            <w:r>
              <w:rPr>
                <w:sz w:val="20"/>
                <w:szCs w:val="20"/>
              </w:rPr>
              <w:t xml:space="preserve">Pregled prometa brez zaključka blagajne.</w:t>
            </w:r>
          </w:p>
        </w:tc>
      </w:tr>
      <w:tr>
        <w:tc>
          <w:tcPr>
            <w:tcW w:type="pct" w:w="22%"/>
            <w:shd w:fill="F2F4F7"/>
            <w:tcMar>
              <w:top w:type="dxa" w:w="80"/>
              <w:left w:type="dxa" w:w="100"/>
              <w:bottom w:type="dxa" w:w="80"/>
              <w:right w:type="dxa" w:w="100"/>
            </w:tcMar>
          </w:tcPr>
          <w:p>
            <w:pPr>
              <w:spacing w:after="0" w:line="276"/>
            </w:pPr>
            <w:r>
              <w:rPr>
                <w:sz w:val="20"/>
                <w:szCs w:val="20"/>
              </w:rPr>
              <w:t xml:space="preserve">Z-poročilo</w:t>
            </w:r>
          </w:p>
        </w:tc>
        <w:tc>
          <w:tcPr>
            <w:tcW w:type="pct" w:w="78%"/>
            <w:shd w:fill="F2F4F7"/>
            <w:tcMar>
              <w:top w:type="dxa" w:w="80"/>
              <w:left w:type="dxa" w:w="100"/>
              <w:bottom w:type="dxa" w:w="80"/>
              <w:right w:type="dxa" w:w="100"/>
            </w:tcMar>
          </w:tcPr>
          <w:p>
            <w:pPr>
              <w:spacing w:after="0" w:line="276"/>
            </w:pPr>
            <w:r>
              <w:rPr>
                <w:sz w:val="20"/>
                <w:szCs w:val="20"/>
              </w:rPr>
              <w:t xml:space="preserve">Zaključni dnevni posnetek blagajne.</w:t>
            </w:r>
          </w:p>
        </w:tc>
      </w:tr>
    </w:tbl>
    <w:p>
      <w:pPr>
        <w:pStyle w:val="Heading1"/>
        <w:keepNext/>
        <w:spacing w:after="100" w:before="300"/>
      </w:pPr>
      <w:r>
        <w:rPr>
          <w:b/>
          <w:bCs/>
          <w:color w:val="1F4E79"/>
          <w:sz w:val="30"/>
          <w:szCs w:val="30"/>
        </w:rPr>
        <w:t xml:space="preserve">20. Končna odgovornost uporabnika</w:t>
      </w:r>
    </w:p>
    <w:p>
      <w:pPr>
        <w:spacing w:after="120" w:line="276"/>
      </w:pPr>
      <w:r>
        <w:rPr>
          <w:sz w:val="22"/>
          <w:szCs w:val="22"/>
        </w:rPr>
        <w:t xml:space="preserve">Uporabnik je pred potrditvijo odgovoren za preverjanje vsebine naročila, načina plačila, gotovine, enote, blagajne in vidnih opozoril. Vodja oziroma administrator je odgovoren za nastavitve menija, DDV, FURS, uporabnikov, začetnih zalog, normativov in poročil. Računovodja potrjuje davčno in knjigovodsko pravilnost nastavitev ter prenosov.</w:t>
      </w:r>
    </w:p>
    <w:tbl>
      <w:tblPr>
        <w:tblW w:type="pct" w:w="100%"/>
        <w:tblBorders>
          <w:top w:val="single" w:color="1F4E79" w:sz="6"/>
          <w:left w:val="single" w:color="1F4E79" w:sz="6"/>
          <w:bottom w:val="single" w:color="1F4E79" w:sz="6"/>
          <w:right w:val="single" w:color="1F4E79" w:sz="6"/>
          <w:insideH w:val="none" w:color="1F4E79" w:sz="0"/>
          <w:insideV w:val="none" w:color="1F4E79" w:sz="0"/>
        </w:tblBorders>
      </w:tblPr>
      <w:tblGrid>
        <w:gridCol w:w="100"/>
      </w:tblGrid>
      <w:tr>
        <w:tc>
          <w:tcPr>
            <w:shd w:fill="EAF3F8"/>
            <w:tcMar>
              <w:top w:type="dxa" w:w="100"/>
              <w:left w:type="dxa" w:w="140"/>
              <w:bottom w:type="dxa" w:w="100"/>
              <w:right w:type="dxa" w:w="140"/>
            </w:tcMar>
          </w:tcPr>
          <w:p>
            <w:pPr>
              <w:spacing w:after="0" w:line="276"/>
            </w:pPr>
            <w:r>
              <w:rPr>
                <w:b/>
                <w:bCs/>
                <w:color w:val="1F4E79"/>
                <w:sz w:val="22"/>
                <w:szCs w:val="22"/>
              </w:rPr>
              <w:t xml:space="preserve">Pravilo dobre prakse  </w:t>
            </w:r>
            <w:r>
              <w:rPr>
                <w:sz w:val="22"/>
                <w:szCs w:val="22"/>
              </w:rPr>
              <w:t xml:space="preserve">Če niste prepričani, ali je dokument že izdan, plačilo že potrjeno ali zaloga že knjižena, najprej preverite status in zgodovino. Ne ponavljajte dejanja na slepo.</w:t>
            </w:r>
          </w:p>
        </w:tc>
      </w:tr>
    </w:tbl>
    <w:p>
      <w:pPr>
        <w:spacing w:after="0" w:line="276"/>
        <w:jc w:val="center"/>
      </w:pPr>
      <w:r>
        <w:rPr>
          <w:i/>
          <w:iCs/>
          <w:color w:val="52606D"/>
          <w:sz w:val="22"/>
          <w:szCs w:val="22"/>
        </w:rPr>
        <w:t xml:space="preserve">Konec priročnika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7"/>
        <w:szCs w:val="17"/>
      </w:rPr>
      <w:t xml:space="preserve">POS Gostinstvo — priročnik 3.0  •  stran </w:t>
    </w:r>
    <w:r>
      <w:rPr>
        <w:color w:val="71809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7"/>
        <w:szCs w:val="17"/>
      </w:rPr>
      <w:t xml:space="preserve">BOOKIE ERP  •  POS Gostinstvo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Gostinstvo — Uporabniški priročnik</dc:title>
  <dc:subject>POS Gostinstvo</dc:subject>
  <dc:creator>Mikrona d.o.o.</dc:creator>
  <cp:keywords>POS, gostinstvo, BOOKIE ERP, FURS, zaloge, priročnik</cp:keywords>
  <dc:description>Celovit uporabniški priročnik za modul POS Gostinstvo, izdaja 3.0.</dc:description>
  <cp:lastModifiedBy>Un-named</cp:lastModifiedBy>
  <cp:revision>1</cp:revision>
  <dcterms:created xsi:type="dcterms:W3CDTF">2026-08-29T16:21:52.548Z</dcterms:created>
  <dcterms:modified xsi:type="dcterms:W3CDTF">2026-08-29T16:21:52.556Z</dcterms:modified>
</cp:coreProperties>
</file>

<file path=docProps/custom.xml><?xml version="1.0" encoding="utf-8"?>
<Properties xmlns="http://schemas.openxmlformats.org/officeDocument/2006/custom-properties" xmlns:vt="http://schemas.openxmlformats.org/officeDocument/2006/docPropsVTypes"/>
</file>