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AI-NATIVE RAČUNOVODSKI SISTEM ZA SLOVENIJO</w:t>
      </w:r>
    </w:p>
    <w:p>
      <w:pPr>
        <w:jc w:val="center"/>
      </w:pPr>
      <w:r>
        <w:rPr>
          <w:b/>
          <w:sz w:val="28"/>
        </w:rPr>
        <w:t>Celotna konceptualna, funkcionalna in tehnična zasnova</w:t>
      </w:r>
    </w:p>
    <w:p>
      <w:pPr>
        <w:jc w:val="center"/>
      </w:pPr>
      <w:r>
        <w:t>Dvostavno knjigovodstvo • saldakonti • DDV • e-računi • AI • revizijska sled • Replit</w:t>
      </w:r>
    </w:p>
    <w:p>
      <w:pPr>
        <w:jc w:val="center"/>
      </w:pPr>
      <w:r>
        <w:rPr>
          <w:i/>
        </w:rPr>
        <w:t>Delovna specifikacija za razvoj • 19. julij 2026</w:t>
      </w:r>
    </w:p>
    <w:p>
      <w:r>
        <w:br w:type="page"/>
      </w:r>
    </w:p>
    <w:p>
      <w:pPr>
        <w:pStyle w:val="Heading1"/>
      </w:pPr>
      <w:r>
        <w:t>1. Izvršni povzetek</w:t>
      </w:r>
    </w:p>
    <w:p>
      <w:r>
        <w:t>Cilj projekta je izdelati sodoben spletni računovodski sistem za kompleksno slovensko računovodstvo in računovodske servise. Sistem združuje deterministično računovodsko jedro z AI, ki pomaga pri prepoznavi dokumentov, predlogih knjižb, kontrolah, analitiki in avtomatizaciji.</w:t>
        <w:br/>
        <w:br/>
        <w:t>Temeljno načelo je: AI predlaga, računovodska pravila preverjajo, knjigovodsko jedro knjiži, revizijska sled pa vse dokumentira.</w:t>
      </w:r>
    </w:p>
    <w:p>
      <w:pPr>
        <w:pStyle w:val="Heading1"/>
      </w:pPr>
      <w:r>
        <w:t>2. Regulativni in strokovni okvir</w:t>
      </w:r>
    </w:p>
    <w:p>
      <w:r>
        <w:t>Sistem mora biti zasnovan tako, da se pravila ne vgradijo nepregledno v programsko kodo, temveč v različicami upravljan konfiguracijski sloj. Tako se lahko prilagaja spremembam zakonodaje, SRS, DDV pravil in poročanja.</w:t>
      </w:r>
    </w:p>
    <w:p>
      <w:pPr>
        <w:pStyle w:val="Heading1"/>
      </w:pPr>
      <w:r>
        <w:t>3. Produktna vizija</w:t>
      </w:r>
    </w:p>
    <w:p>
      <w:r>
        <w:t>Sistem ni samo digitaliziran dnevnik knjižb. Je inteligentna računovodska platforma, ki razume poslovne dokumente, računovodska pravila, analitiko in povezave med poslovnimi dogodki.</w:t>
      </w:r>
    </w:p>
    <w:p>
      <w:pPr>
        <w:pStyle w:val="ListBullet"/>
        <w:spacing w:after="20"/>
      </w:pPr>
      <w:r>
        <w:t>večpodjetniški SaaS z izolacijo podatkov po organizacijah;</w:t>
      </w:r>
    </w:p>
    <w:p>
      <w:pPr>
        <w:pStyle w:val="ListBullet"/>
        <w:spacing w:after="20"/>
      </w:pPr>
      <w:r>
        <w:t>polno dvostavno knjigovodstvo z glavno knjigo in analitičnimi dimenzijami;</w:t>
      </w:r>
    </w:p>
    <w:p>
      <w:pPr>
        <w:pStyle w:val="ListBullet"/>
        <w:spacing w:after="20"/>
      </w:pPr>
      <w:r>
        <w:t>saldakonti kupcev in dobaviteljev z odprtimi postavkami, zapiranjem in opomini;</w:t>
      </w:r>
    </w:p>
    <w:p>
      <w:pPr>
        <w:pStyle w:val="ListBullet"/>
        <w:spacing w:after="20"/>
      </w:pPr>
      <w:r>
        <w:t>DDV model, prilagodljiv spremembam pravil in poročanja;</w:t>
      </w:r>
    </w:p>
    <w:p>
      <w:pPr>
        <w:pStyle w:val="ListBullet"/>
        <w:spacing w:after="20"/>
      </w:pPr>
      <w:r>
        <w:t>prejeti in izdani računi, e-računi, bančni izpiski in avtomatsko ujemanje;</w:t>
      </w:r>
    </w:p>
    <w:p>
      <w:pPr>
        <w:pStyle w:val="ListBullet"/>
        <w:spacing w:after="20"/>
      </w:pPr>
      <w:r>
        <w:t>AI OCR in strukturirano predlaganje knjižb;</w:t>
      </w:r>
    </w:p>
    <w:p>
      <w:pPr>
        <w:pStyle w:val="ListBullet"/>
        <w:spacing w:after="20"/>
      </w:pPr>
      <w:r>
        <w:t>deterministični kontrolni mehanizmi in popolna revizijska sled;</w:t>
      </w:r>
    </w:p>
    <w:p>
      <w:pPr>
        <w:pStyle w:val="ListBullet"/>
        <w:spacing w:after="20"/>
      </w:pPr>
      <w:r>
        <w:t>modularna arhitektura, primerna za razvoj v Replitu.</w:t>
      </w:r>
    </w:p>
    <w:p>
      <w:pPr>
        <w:ind w:left="360"/>
      </w:pPr>
      <w:r>
        <w:rPr>
          <w:rFonts w:ascii="Courier New" w:hAnsi="Courier New"/>
          <w:sz w:val="16"/>
        </w:rPr>
        <w:t>DOKUMENT</w:t>
        <w:br/>
        <w:t xml:space="preserve">   ↓</w:t>
        <w:br/>
        <w:t>OCR / E-RAČUN / UVOZ</w:t>
        <w:br/>
        <w:t xml:space="preserve">   ↓</w:t>
        <w:br/>
        <w:t>NORMALIZACIJA PODATKOV</w:t>
        <w:br/>
        <w:t xml:space="preserve">   ↓</w:t>
        <w:br/>
        <w:t>AI PREDLOG</w:t>
        <w:br/>
        <w:t xml:space="preserve">   ↓</w:t>
        <w:br/>
        <w:t>DETERMINISTIČNE KONTROLE</w:t>
        <w:br/>
        <w:t xml:space="preserve">   ↓</w:t>
        <w:br/>
        <w:t>POTRDITEV / AVTORIZACIJA</w:t>
        <w:br/>
        <w:t xml:space="preserve">   ↓</w:t>
        <w:br/>
        <w:t>KNJIGOVODSKA KNJIŽBA</w:t>
        <w:br/>
        <w:t xml:space="preserve">   ↓</w:t>
        <w:br/>
        <w:t>GLAVNA KNJIGA + SALDAKONTI + DDV + POROČILA</w:t>
        <w:br/>
        <w:t xml:space="preserve">   ↓</w:t>
        <w:br/>
        <w:t>AI KONTROLA IN ANALITIKA</w:t>
      </w:r>
    </w:p>
    <w:p>
      <w:pPr>
        <w:pStyle w:val="Heading1"/>
      </w:pPr>
      <w:r>
        <w:t>4. Celotni domenski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Domena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Ključni objekti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Namen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Organizacija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tenant, podjetje, poslovna enota, uporabnik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Več podjetij in servisov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Obdobja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leto, mesec, davčno obdobje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Zaklepanje in periodizacija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Kontni načrt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konto, razred, analitika, lastnosti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Glavna knjiga in analitika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Partnerji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kupec, dobavitelj, kontakti, davčni podatki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Saldakonti in dokumenti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Dokumenti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račun, dobropis, bremepis, izpisek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Izvor poslovnega dogodka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Knjižbe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glava, vrstice, debet, kredit, dimenzije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Dvostavno knjiženje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DDV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davčna koda, evidence, obdobje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Davčna obravnava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Saldakonti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odprta postavka, zapiranje, plačilo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Terjatve in obveznosti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Osnovna sredstva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sredstvo, amortizacija, spremembe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Register in obračun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Banka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izpisek, transakcija, ujemanje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Avtomatizacija bančnih knjižb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AI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predlog, zaupanje, razlaga, odobritev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Pomoč in kontrola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Revizija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audit event, sprememba, uporabnik, čas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Nespremenljiva sled</w:t>
            </w:r>
          </w:p>
        </w:tc>
      </w:tr>
    </w:tbl>
    <w:p/>
    <w:p>
      <w:pPr>
        <w:pStyle w:val="Heading1"/>
      </w:pPr>
      <w:r>
        <w:t>5. Računovodsko jedro</w:t>
      </w:r>
    </w:p>
    <w:p>
      <w:r>
        <w:t>Računovodsko jedro mora biti neodvisno od uporabniškega vmesnika in AI.</w:t>
      </w:r>
    </w:p>
    <w:p>
      <w:pPr>
        <w:pStyle w:val="ListBullet"/>
        <w:spacing w:after="20"/>
      </w:pPr>
      <w:r>
        <w:t>Vsaka knjižba ima najmanj eno debetno in eno kreditno stran.</w:t>
      </w:r>
    </w:p>
    <w:p>
      <w:pPr>
        <w:pStyle w:val="ListBullet"/>
        <w:spacing w:after="20"/>
      </w:pPr>
      <w:r>
        <w:t>Knjižba mora biti uravnotežena.</w:t>
      </w:r>
    </w:p>
    <w:p>
      <w:pPr>
        <w:pStyle w:val="ListBullet"/>
        <w:spacing w:after="20"/>
      </w:pPr>
      <w:r>
        <w:t>Knjižbe so vezane na poslovno obdobje in datum knjiženja.</w:t>
      </w:r>
    </w:p>
    <w:p>
      <w:pPr>
        <w:pStyle w:val="ListBullet"/>
        <w:spacing w:after="20"/>
      </w:pPr>
      <w:r>
        <w:t>Zaklenjeno obdobje ne dovoljuje običajnih sprememb.</w:t>
      </w:r>
    </w:p>
    <w:p>
      <w:pPr>
        <w:pStyle w:val="ListBullet"/>
        <w:spacing w:after="20"/>
      </w:pPr>
      <w:r>
        <w:t>Popravki se izvajajo s storno, nadomestno ali korektivno knjižbo.</w:t>
      </w:r>
    </w:p>
    <w:p>
      <w:pPr>
        <w:pStyle w:val="ListBullet"/>
        <w:spacing w:after="20"/>
      </w:pPr>
      <w:r>
        <w:t>Vsaka knjižba ima izvorni dokument oziroma sled izvora.</w:t>
      </w:r>
    </w:p>
    <w:p>
      <w:pPr>
        <w:pStyle w:val="ListBullet"/>
        <w:spacing w:after="20"/>
      </w:pPr>
      <w:r>
        <w:t>Brisanje knjižb iz produkcijske glavne knjige ni dovoljeno.</w:t>
      </w:r>
    </w:p>
    <w:p>
      <w:pPr>
        <w:ind w:left="360"/>
      </w:pPr>
      <w:r>
        <w:rPr>
          <w:rFonts w:ascii="Courier New" w:hAnsi="Courier New"/>
          <w:sz w:val="16"/>
        </w:rPr>
        <w:t>journal_entry</w:t>
        <w:br/>
        <w:t xml:space="preserve">  id, tenant_id, fiscal_period_id, document_id</w:t>
        <w:br/>
        <w:t xml:space="preserve">  posting_date, document_date, description</w:t>
        <w:br/>
        <w:t xml:space="preserve">  status, source_type, created_by, approved_by</w:t>
        <w:br/>
        <w:br/>
        <w:t>journal_line</w:t>
        <w:br/>
        <w:t xml:space="preserve">  id, journal_entry_id, account_id, partner_id</w:t>
        <w:br/>
        <w:t xml:space="preserve">  cost_center_id, project_id, debit, credit</w:t>
        <w:br/>
        <w:t xml:space="preserve">  currency, tax_code_id, open_item_id</w:t>
      </w:r>
    </w:p>
    <w:p>
      <w:pPr>
        <w:pStyle w:val="Heading1"/>
      </w:pPr>
      <w:r>
        <w:t>6. Kontni načrt in analitika</w:t>
      </w:r>
    </w:p>
    <w:p>
      <w:r>
        <w:t>Kontni načrt mora podpirati standardno slovensko strukturo in različne stopnje analitike. Vsa poslovna logika se ne sme stlačiti v številko konta.</w:t>
      </w:r>
    </w:p>
    <w:p>
      <w:pPr>
        <w:pStyle w:val="ListBullet"/>
        <w:spacing w:after="20"/>
      </w:pPr>
      <w:r>
        <w:t>konto kot številčna identiteta glavne knjige;</w:t>
      </w:r>
    </w:p>
    <w:p>
      <w:pPr>
        <w:pStyle w:val="ListBullet"/>
        <w:spacing w:after="20"/>
      </w:pPr>
      <w:r>
        <w:t>partner, stroškovno mesto, projekt, poslovna enota in dejavnost kot ločene dimenzije;</w:t>
      </w:r>
    </w:p>
    <w:p>
      <w:pPr>
        <w:pStyle w:val="ListBullet"/>
        <w:spacing w:after="20"/>
      </w:pPr>
      <w:r>
        <w:t>lastnosti konta: bilančni/izkaz poslovnega izida, saldakontni, davčni, denarni;</w:t>
      </w:r>
    </w:p>
    <w:p>
      <w:pPr>
        <w:pStyle w:val="ListBullet"/>
        <w:spacing w:after="20"/>
      </w:pPr>
      <w:r>
        <w:t>hierarhija: razred → skupina → sintetični konto → analitični konto;</w:t>
      </w:r>
    </w:p>
    <w:p>
      <w:pPr>
        <w:pStyle w:val="ListBullet"/>
        <w:spacing w:after="20"/>
      </w:pPr>
      <w:r>
        <w:t>več kontnih načrtov po podjetju, dejavnosti ali obdobju;</w:t>
      </w:r>
    </w:p>
    <w:p>
      <w:pPr>
        <w:pStyle w:val="ListBullet"/>
        <w:spacing w:after="20"/>
      </w:pPr>
      <w:r>
        <w:t>različice kontnega načrta z veljavnostjo od-do;</w:t>
      </w:r>
    </w:p>
    <w:p>
      <w:pPr>
        <w:pStyle w:val="ListBullet"/>
        <w:spacing w:after="20"/>
      </w:pPr>
      <w:r>
        <w:t>preslikave med kontnimi načrti za migracije in konsolidacijo.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Nivo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Primer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4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Razred stroškov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41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Skupina stroškov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410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Sintetični konto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4100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Analitični nivo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410000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Podrobnejši konto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Partner / projekt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Dodatna analitika brez nujnega širjenja kontne številke</w:t>
            </w:r>
          </w:p>
        </w:tc>
      </w:tr>
    </w:tbl>
    <w:p/>
    <w:p>
      <w:pPr>
        <w:pStyle w:val="Heading1"/>
      </w:pPr>
      <w:r>
        <w:t>7. Analitične dimenzije</w:t>
      </w:r>
    </w:p>
    <w:p>
      <w:pPr>
        <w:pStyle w:val="ListBullet"/>
        <w:spacing w:after="20"/>
      </w:pPr>
      <w:r>
        <w:t>stroškovno mesto;</w:t>
      </w:r>
    </w:p>
    <w:p>
      <w:pPr>
        <w:pStyle w:val="ListBullet"/>
        <w:spacing w:after="20"/>
      </w:pPr>
      <w:r>
        <w:t>projekt;</w:t>
      </w:r>
    </w:p>
    <w:p>
      <w:pPr>
        <w:pStyle w:val="ListBullet"/>
        <w:spacing w:after="20"/>
      </w:pPr>
      <w:r>
        <w:t>poslovna enota;</w:t>
      </w:r>
    </w:p>
    <w:p>
      <w:pPr>
        <w:pStyle w:val="ListBullet"/>
        <w:spacing w:after="20"/>
      </w:pPr>
      <w:r>
        <w:t>dejavnost;</w:t>
      </w:r>
    </w:p>
    <w:p>
      <w:pPr>
        <w:pStyle w:val="ListBullet"/>
        <w:spacing w:after="20"/>
      </w:pPr>
      <w:r>
        <w:t>pogodba;</w:t>
      </w:r>
    </w:p>
    <w:p>
      <w:pPr>
        <w:pStyle w:val="ListBullet"/>
        <w:spacing w:after="20"/>
      </w:pPr>
      <w:r>
        <w:t>vir financiranja;</w:t>
      </w:r>
    </w:p>
    <w:p>
      <w:pPr>
        <w:pStyle w:val="ListBullet"/>
        <w:spacing w:after="20"/>
      </w:pPr>
      <w:r>
        <w:t>poljubne uporabniško definirane dimenzije z validacijskimi pravili.</w:t>
      </w:r>
    </w:p>
    <w:p>
      <w:r>
        <w:t>Najboljša zasnova je kombinacija konta in dimenzij. Konto ostane stabilen, analitika pa se prilagaja poslovnemu modelu.</w:t>
      </w:r>
    </w:p>
    <w:p>
      <w:pPr>
        <w:pStyle w:val="Heading1"/>
      </w:pPr>
      <w:r>
        <w:t>8. Saldakonti</w:t>
      </w:r>
    </w:p>
    <w:p>
      <w:pPr>
        <w:pStyle w:val="ListBullet"/>
        <w:spacing w:after="20"/>
      </w:pPr>
      <w:r>
        <w:t>vsaka odprta postavka je vezana na partnerja in izvorni dokument;</w:t>
      </w:r>
    </w:p>
    <w:p>
      <w:pPr>
        <w:pStyle w:val="ListBullet"/>
        <w:spacing w:after="20"/>
      </w:pPr>
      <w:r>
        <w:t>plačilo lahko zapre eno ali več odprtih postavk;</w:t>
      </w:r>
    </w:p>
    <w:p>
      <w:pPr>
        <w:pStyle w:val="ListBullet"/>
        <w:spacing w:after="20"/>
      </w:pPr>
      <w:r>
        <w:t>podprta so delna plačila;</w:t>
      </w:r>
    </w:p>
    <w:p>
      <w:pPr>
        <w:pStyle w:val="ListBullet"/>
        <w:spacing w:after="20"/>
      </w:pPr>
      <w:r>
        <w:t>preplačila in avansi so ločeni poslovni dogodki;</w:t>
      </w:r>
    </w:p>
    <w:p>
      <w:pPr>
        <w:pStyle w:val="ListBullet"/>
        <w:spacing w:after="20"/>
      </w:pPr>
      <w:r>
        <w:t>samodejno in ročno zapiranje;</w:t>
      </w:r>
    </w:p>
    <w:p>
      <w:pPr>
        <w:pStyle w:val="ListBullet"/>
        <w:spacing w:after="20"/>
      </w:pPr>
      <w:r>
        <w:t>aging poročila po zapadlosti;</w:t>
      </w:r>
    </w:p>
    <w:p>
      <w:pPr>
        <w:pStyle w:val="ListBullet"/>
        <w:spacing w:after="20"/>
      </w:pPr>
      <w:r>
        <w:t>opomini in zamudne obresti;</w:t>
      </w:r>
    </w:p>
    <w:p>
      <w:pPr>
        <w:pStyle w:val="ListBullet"/>
        <w:spacing w:after="20"/>
      </w:pPr>
      <w:r>
        <w:t>več valut in tečajne razlike;</w:t>
      </w:r>
    </w:p>
    <w:p>
      <w:pPr>
        <w:pStyle w:val="ListBullet"/>
        <w:spacing w:after="20"/>
      </w:pPr>
      <w:r>
        <w:t>povezava med saldakontom in glavno knjigo mora biti preverljiva.</w:t>
      </w:r>
    </w:p>
    <w:p>
      <w:pPr>
        <w:ind w:left="360"/>
      </w:pPr>
      <w:r>
        <w:rPr>
          <w:rFonts w:ascii="Courier New" w:hAnsi="Courier New"/>
          <w:sz w:val="16"/>
        </w:rPr>
        <w:t>open_item</w:t>
        <w:br/>
        <w:t xml:space="preserve">  partner_id, document_id, due_date</w:t>
        <w:br/>
        <w:t xml:space="preserve">  original_amount, open_amount, currency, status</w:t>
        <w:br/>
        <w:br/>
        <w:t>settlement</w:t>
        <w:br/>
        <w:t xml:space="preserve">  open_item_id, payment_transaction_id</w:t>
        <w:br/>
        <w:t xml:space="preserve">  settled_amount, settlement_date, exchange_difference</w:t>
      </w:r>
    </w:p>
    <w:p>
      <w:pPr>
        <w:pStyle w:val="Heading1"/>
      </w:pPr>
      <w:r>
        <w:t>9. Dokumentni sistem</w:t>
      </w:r>
    </w:p>
    <w:p>
      <w:r>
        <w:t>Dokument je primarni vir poslovnega dogodka. Knjižba mora biti sledljiva do dokumenta.</w:t>
      </w:r>
    </w:p>
    <w:p>
      <w:pPr>
        <w:pStyle w:val="ListBullet"/>
        <w:spacing w:after="20"/>
      </w:pPr>
      <w:r>
        <w:t>prejeti računi;</w:t>
      </w:r>
    </w:p>
    <w:p>
      <w:pPr>
        <w:pStyle w:val="ListBullet"/>
        <w:spacing w:after="20"/>
      </w:pPr>
      <w:r>
        <w:t>izdani računi;</w:t>
      </w:r>
    </w:p>
    <w:p>
      <w:pPr>
        <w:pStyle w:val="ListBullet"/>
        <w:spacing w:after="20"/>
      </w:pPr>
      <w:r>
        <w:t>dobropisi in bremepisi;</w:t>
      </w:r>
    </w:p>
    <w:p>
      <w:pPr>
        <w:pStyle w:val="ListBullet"/>
        <w:spacing w:after="20"/>
      </w:pPr>
      <w:r>
        <w:t>avansi;</w:t>
      </w:r>
    </w:p>
    <w:p>
      <w:pPr>
        <w:pStyle w:val="ListBullet"/>
        <w:spacing w:after="20"/>
      </w:pPr>
      <w:r>
        <w:t>bančni izpiski;</w:t>
      </w:r>
    </w:p>
    <w:p>
      <w:pPr>
        <w:pStyle w:val="ListBullet"/>
        <w:spacing w:after="20"/>
      </w:pPr>
      <w:r>
        <w:t>blagajniški dokumenti;</w:t>
      </w:r>
    </w:p>
    <w:p>
      <w:pPr>
        <w:pStyle w:val="ListBullet"/>
        <w:spacing w:after="20"/>
      </w:pPr>
      <w:r>
        <w:t>potni nalogi in interna dokumentacija;</w:t>
      </w:r>
    </w:p>
    <w:p>
      <w:pPr>
        <w:pStyle w:val="ListBullet"/>
        <w:spacing w:after="20"/>
      </w:pPr>
      <w:r>
        <w:t>e-računi;</w:t>
      </w:r>
    </w:p>
    <w:p>
      <w:pPr>
        <w:pStyle w:val="ListBullet"/>
        <w:spacing w:after="20"/>
      </w:pPr>
      <w:r>
        <w:t>PDF, slike in strukturirani XML dokumenti;</w:t>
      </w:r>
    </w:p>
    <w:p>
      <w:pPr>
        <w:pStyle w:val="ListBullet"/>
        <w:spacing w:after="20"/>
      </w:pPr>
      <w:r>
        <w:t>različice dokumenta in priloge.</w:t>
      </w:r>
    </w:p>
    <w:p>
      <w:pPr>
        <w:pStyle w:val="Heading1"/>
      </w:pPr>
      <w:r>
        <w:t>10. AI plast</w:t>
      </w:r>
    </w:p>
    <w:p>
      <w:r>
        <w:t>AI ne sme neposredno zapisovati v glavno knjigo brez pravil in avtorizacije. Vsak AI rezultat je predlog z razlago, zanesljivostjo in sledjo.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AI funkcija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Rezultat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Kontrola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OCR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strukturirani podatki računa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validacija obveznih polj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Klasifikacija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vrsta dokumenta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pravila dokumentnega tipa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Predlog konta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konto in dimenzije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zgodovina + pravila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DDV predlog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davčna koda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DDV validacijski motor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Ujemanje banke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partner / račun / odprta postavka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znesek + valuta + toleranca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Anomalije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opozorilo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človek potrdi ukrep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Pomočnik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odgovor in razlaga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omejen dostop do podatkov</w:t>
            </w:r>
          </w:p>
        </w:tc>
      </w:tr>
    </w:tbl>
    <w:p/>
    <w:p>
      <w:r>
        <w:t>AI predlog mora vsebovati:</w:t>
      </w:r>
    </w:p>
    <w:p>
      <w:pPr>
        <w:pStyle w:val="ListBullet"/>
        <w:spacing w:after="20"/>
      </w:pPr>
      <w:r>
        <w:t>predlagano vrednost;</w:t>
      </w:r>
    </w:p>
    <w:p>
      <w:pPr>
        <w:pStyle w:val="ListBullet"/>
        <w:spacing w:after="20"/>
      </w:pPr>
      <w:r>
        <w:t>confidence score oziroma stopnjo zaupanja;</w:t>
      </w:r>
    </w:p>
    <w:p>
      <w:pPr>
        <w:pStyle w:val="ListBullet"/>
        <w:spacing w:after="20"/>
      </w:pPr>
      <w:r>
        <w:t>razloge in podobne primere;</w:t>
      </w:r>
    </w:p>
    <w:p>
      <w:pPr>
        <w:pStyle w:val="ListBullet"/>
        <w:spacing w:after="20"/>
      </w:pPr>
      <w:r>
        <w:t>uporabljena pravila;</w:t>
      </w:r>
    </w:p>
    <w:p>
      <w:pPr>
        <w:pStyle w:val="ListBullet"/>
        <w:spacing w:after="20"/>
      </w:pPr>
      <w:r>
        <w:t>model in različico modela;</w:t>
      </w:r>
    </w:p>
    <w:p>
      <w:pPr>
        <w:pStyle w:val="ListBullet"/>
        <w:spacing w:after="20"/>
      </w:pPr>
      <w:r>
        <w:t>čas predloga;</w:t>
      </w:r>
    </w:p>
    <w:p>
      <w:pPr>
        <w:pStyle w:val="ListBullet"/>
        <w:spacing w:after="20"/>
      </w:pPr>
      <w:r>
        <w:t>uporabnika, ki je predlog potrdil ali zavrnil.</w:t>
      </w:r>
    </w:p>
    <w:p>
      <w:pPr>
        <w:pStyle w:val="Heading1"/>
      </w:pPr>
      <w:r>
        <w:t>11. Pravila in kontrolni motor</w:t>
      </w:r>
    </w:p>
    <w:p>
      <w:r>
        <w:t>Kontrolni motor je ločen od AI.</w:t>
      </w:r>
    </w:p>
    <w:p>
      <w:pPr>
        <w:pStyle w:val="ListBullet"/>
        <w:spacing w:after="20"/>
      </w:pPr>
      <w:r>
        <w:t>debet = kredit;</w:t>
      </w:r>
    </w:p>
    <w:p>
      <w:pPr>
        <w:pStyle w:val="ListBullet"/>
        <w:spacing w:after="20"/>
      </w:pPr>
      <w:r>
        <w:t>konto mora biti aktiven na datum knjižbe;</w:t>
      </w:r>
    </w:p>
    <w:p>
      <w:pPr>
        <w:pStyle w:val="ListBullet"/>
        <w:spacing w:after="20"/>
      </w:pPr>
      <w:r>
        <w:t>obdobje mora biti odprto;</w:t>
      </w:r>
    </w:p>
    <w:p>
      <w:pPr>
        <w:pStyle w:val="ListBullet"/>
        <w:spacing w:after="20"/>
      </w:pPr>
      <w:r>
        <w:t>DDV koda mora biti združljiva s tipom dokumenta;</w:t>
      </w:r>
    </w:p>
    <w:p>
      <w:pPr>
        <w:pStyle w:val="ListBullet"/>
        <w:spacing w:after="20"/>
      </w:pPr>
      <w:r>
        <w:t>partner mora biti veljaven, če je konto saldakontni;</w:t>
      </w:r>
    </w:p>
    <w:p>
      <w:pPr>
        <w:pStyle w:val="ListBullet"/>
        <w:spacing w:after="20"/>
      </w:pPr>
      <w:r>
        <w:t>obvezne dimenzije morajo biti izpolnjene;</w:t>
      </w:r>
    </w:p>
    <w:p>
      <w:pPr>
        <w:pStyle w:val="ListBullet"/>
        <w:spacing w:after="20"/>
      </w:pPr>
      <w:r>
        <w:t>davčni podatki morajo biti validirani;</w:t>
      </w:r>
    </w:p>
    <w:p>
      <w:pPr>
        <w:pStyle w:val="ListBullet"/>
        <w:spacing w:after="20"/>
      </w:pPr>
      <w:r>
        <w:t>podvojeni dokumenti morajo biti zaznani;</w:t>
      </w:r>
    </w:p>
    <w:p>
      <w:pPr>
        <w:pStyle w:val="ListBullet"/>
        <w:spacing w:after="20"/>
      </w:pPr>
      <w:r>
        <w:t>nenavadne kombinacije sprožijo opozorilo;</w:t>
      </w:r>
    </w:p>
    <w:p>
      <w:pPr>
        <w:pStyle w:val="ListBullet"/>
        <w:spacing w:after="20"/>
      </w:pPr>
      <w:r>
        <w:t>zaključena obdobja imajo strožji režim sprememb.</w:t>
      </w:r>
    </w:p>
    <w:p>
      <w:pPr>
        <w:pStyle w:val="Heading1"/>
      </w:pPr>
      <w:r>
        <w:t>12. DDV podsistem</w:t>
      </w:r>
    </w:p>
    <w:p>
      <w:r>
        <w:t>DDV je samostojen podsistem. Davčna koda ni samo odstotek, ampak kombinacija davčne obravnave, vrste transakcije, pravice do odbitka, obdobja in poročevalskih polj.</w:t>
      </w:r>
    </w:p>
    <w:p>
      <w:pPr>
        <w:pStyle w:val="ListBullet"/>
        <w:spacing w:after="20"/>
      </w:pPr>
      <w:r>
        <w:t>stopnja DDV;</w:t>
      </w:r>
    </w:p>
    <w:p>
      <w:pPr>
        <w:pStyle w:val="ListBullet"/>
        <w:spacing w:after="20"/>
      </w:pPr>
      <w:r>
        <w:t>obračunani ali vstopni DDV;</w:t>
      </w:r>
    </w:p>
    <w:p>
      <w:pPr>
        <w:pStyle w:val="ListBullet"/>
        <w:spacing w:after="20"/>
      </w:pPr>
      <w:r>
        <w:t>pravica do odbitka in odbitni delež;</w:t>
      </w:r>
    </w:p>
    <w:p>
      <w:pPr>
        <w:pStyle w:val="ListBullet"/>
        <w:spacing w:after="20"/>
      </w:pPr>
      <w:r>
        <w:t>domače, EU in tretje države;</w:t>
      </w:r>
    </w:p>
    <w:p>
      <w:pPr>
        <w:pStyle w:val="ListBullet"/>
        <w:spacing w:after="20"/>
      </w:pPr>
      <w:r>
        <w:t>oproščene transakcije;</w:t>
      </w:r>
    </w:p>
    <w:p>
      <w:pPr>
        <w:pStyle w:val="ListBullet"/>
        <w:spacing w:after="20"/>
      </w:pPr>
      <w:r>
        <w:t>obrnjena davčna obveznost;</w:t>
      </w:r>
    </w:p>
    <w:p>
      <w:pPr>
        <w:pStyle w:val="ListBullet"/>
        <w:spacing w:after="20"/>
      </w:pPr>
      <w:r>
        <w:t>posebne sheme;</w:t>
      </w:r>
    </w:p>
    <w:p>
      <w:pPr>
        <w:pStyle w:val="ListBullet"/>
        <w:spacing w:after="20"/>
      </w:pPr>
      <w:r>
        <w:t>datum nastanka davčne obveznosti;</w:t>
      </w:r>
    </w:p>
    <w:p>
      <w:pPr>
        <w:pStyle w:val="ListBullet"/>
        <w:spacing w:after="20"/>
      </w:pPr>
      <w:r>
        <w:t>davčno obdobje;</w:t>
      </w:r>
    </w:p>
    <w:p>
      <w:pPr>
        <w:pStyle w:val="ListBullet"/>
        <w:spacing w:after="20"/>
      </w:pPr>
      <w:r>
        <w:t>evidence in poročanje.</w:t>
      </w:r>
    </w:p>
    <w:p>
      <w:pPr>
        <w:pStyle w:val="Heading1"/>
      </w:pPr>
      <w:r>
        <w:t>13. Izdani in prejeti računi</w:t>
      </w:r>
    </w:p>
    <w:p>
      <w:pPr>
        <w:pStyle w:val="ListBullet"/>
        <w:spacing w:after="20"/>
      </w:pPr>
      <w:r>
        <w:t>številčenje po serijah in poslovnih enotah;</w:t>
      </w:r>
    </w:p>
    <w:p>
      <w:pPr>
        <w:pStyle w:val="ListBullet"/>
        <w:spacing w:after="20"/>
      </w:pPr>
      <w:r>
        <w:t>davčni status kupca/dobavitelja;</w:t>
      </w:r>
    </w:p>
    <w:p>
      <w:pPr>
        <w:pStyle w:val="ListBullet"/>
        <w:spacing w:after="20"/>
      </w:pPr>
      <w:r>
        <w:t>valuta in tečaj;</w:t>
      </w:r>
    </w:p>
    <w:p>
      <w:pPr>
        <w:pStyle w:val="ListBullet"/>
        <w:spacing w:after="20"/>
      </w:pPr>
      <w:r>
        <w:t>postavke blaga in storitev;</w:t>
      </w:r>
    </w:p>
    <w:p>
      <w:pPr>
        <w:pStyle w:val="ListBullet"/>
        <w:spacing w:after="20"/>
      </w:pPr>
      <w:r>
        <w:t>popusti in dodatki;</w:t>
      </w:r>
    </w:p>
    <w:p>
      <w:pPr>
        <w:pStyle w:val="ListBullet"/>
        <w:spacing w:after="20"/>
      </w:pPr>
      <w:r>
        <w:t>DDV razčlenitev;</w:t>
      </w:r>
    </w:p>
    <w:p>
      <w:pPr>
        <w:pStyle w:val="ListBullet"/>
        <w:spacing w:after="20"/>
      </w:pPr>
      <w:r>
        <w:t>plačilni pogoji in zapadlost;</w:t>
      </w:r>
    </w:p>
    <w:p>
      <w:pPr>
        <w:pStyle w:val="ListBullet"/>
        <w:spacing w:after="20"/>
      </w:pPr>
      <w:r>
        <w:t>avtomatska knjižba;</w:t>
      </w:r>
    </w:p>
    <w:p>
      <w:pPr>
        <w:pStyle w:val="ListBullet"/>
        <w:spacing w:after="20"/>
      </w:pPr>
      <w:r>
        <w:t>e-račun XML in PDF predstavitev;</w:t>
      </w:r>
    </w:p>
    <w:p>
      <w:pPr>
        <w:pStyle w:val="ListBullet"/>
        <w:spacing w:after="20"/>
      </w:pPr>
      <w:r>
        <w:t>statusi: osnutek, potrjen, izdan, poslan, plačan, storniran.</w:t>
      </w:r>
    </w:p>
    <w:p>
      <w:pPr>
        <w:pStyle w:val="Heading1"/>
      </w:pPr>
      <w:r>
        <w:t>14. Banka in avtomatsko ujemanje</w:t>
      </w:r>
    </w:p>
    <w:p>
      <w:pPr>
        <w:pStyle w:val="ListBullet"/>
        <w:spacing w:after="20"/>
      </w:pPr>
      <w:r>
        <w:t>uvoz bančnih izpiskov;</w:t>
      </w:r>
    </w:p>
    <w:p>
      <w:pPr>
        <w:pStyle w:val="ListBullet"/>
        <w:spacing w:after="20"/>
      </w:pPr>
      <w:r>
        <w:t>normalizacija transakcij;</w:t>
      </w:r>
    </w:p>
    <w:p>
      <w:pPr>
        <w:pStyle w:val="ListBullet"/>
        <w:spacing w:after="20"/>
      </w:pPr>
      <w:r>
        <w:t>ujemanje z odprtimi postavkami;</w:t>
      </w:r>
    </w:p>
    <w:p>
      <w:pPr>
        <w:pStyle w:val="ListBullet"/>
        <w:spacing w:after="20"/>
      </w:pPr>
      <w:r>
        <w:t>pravila po partnerju, IBAN-u, sklicu in opisu;</w:t>
      </w:r>
    </w:p>
    <w:p>
      <w:pPr>
        <w:pStyle w:val="ListBullet"/>
        <w:spacing w:after="20"/>
      </w:pPr>
      <w:r>
        <w:t>AI predlog knjižbe;</w:t>
      </w:r>
    </w:p>
    <w:p>
      <w:pPr>
        <w:pStyle w:val="ListBullet"/>
        <w:spacing w:after="20"/>
      </w:pPr>
      <w:r>
        <w:t>tolerance pri zneskih;</w:t>
      </w:r>
    </w:p>
    <w:p>
      <w:pPr>
        <w:pStyle w:val="ListBullet"/>
        <w:spacing w:after="20"/>
      </w:pPr>
      <w:r>
        <w:t>delna plačila;</w:t>
      </w:r>
    </w:p>
    <w:p>
      <w:pPr>
        <w:pStyle w:val="ListBullet"/>
        <w:spacing w:after="20"/>
      </w:pPr>
      <w:r>
        <w:t>več računov v enem plačilu;</w:t>
      </w:r>
    </w:p>
    <w:p>
      <w:pPr>
        <w:pStyle w:val="ListBullet"/>
        <w:spacing w:after="20"/>
      </w:pPr>
      <w:r>
        <w:t>avtomatske provizije in tečajne razlike.</w:t>
      </w:r>
    </w:p>
    <w:p>
      <w:pPr>
        <w:pStyle w:val="Heading1"/>
      </w:pPr>
      <w:r>
        <w:t>15. Osnovna sredstva</w:t>
      </w:r>
    </w:p>
    <w:p>
      <w:pPr>
        <w:pStyle w:val="ListBullet"/>
        <w:spacing w:after="20"/>
      </w:pPr>
      <w:r>
        <w:t>register osnovnih sredstev;</w:t>
      </w:r>
    </w:p>
    <w:p>
      <w:pPr>
        <w:pStyle w:val="ListBullet"/>
        <w:spacing w:after="20"/>
      </w:pPr>
      <w:r>
        <w:t>nabavna vrednost;</w:t>
      </w:r>
    </w:p>
    <w:p>
      <w:pPr>
        <w:pStyle w:val="ListBullet"/>
        <w:spacing w:after="20"/>
      </w:pPr>
      <w:r>
        <w:t>datum aktiviranja;</w:t>
      </w:r>
    </w:p>
    <w:p>
      <w:pPr>
        <w:pStyle w:val="ListBullet"/>
        <w:spacing w:after="20"/>
      </w:pPr>
      <w:r>
        <w:t>amortizacijska metoda in doba koristnosti;</w:t>
      </w:r>
    </w:p>
    <w:p>
      <w:pPr>
        <w:pStyle w:val="ListBullet"/>
        <w:spacing w:after="20"/>
      </w:pPr>
      <w:r>
        <w:t>amortizacijska skupina;</w:t>
      </w:r>
    </w:p>
    <w:p>
      <w:pPr>
        <w:pStyle w:val="ListBullet"/>
        <w:spacing w:after="20"/>
      </w:pPr>
      <w:r>
        <w:t>lokacija in odgovorna oseba;</w:t>
      </w:r>
    </w:p>
    <w:p>
      <w:pPr>
        <w:pStyle w:val="ListBullet"/>
        <w:spacing w:after="20"/>
      </w:pPr>
      <w:r>
        <w:t>povezava z računom;</w:t>
      </w:r>
    </w:p>
    <w:p>
      <w:pPr>
        <w:pStyle w:val="ListBullet"/>
        <w:spacing w:after="20"/>
      </w:pPr>
      <w:r>
        <w:t>mesečni obračun;</w:t>
      </w:r>
    </w:p>
    <w:p>
      <w:pPr>
        <w:pStyle w:val="ListBullet"/>
        <w:spacing w:after="20"/>
      </w:pPr>
      <w:r>
        <w:t>odtujitev, prodaja in izločitev;</w:t>
      </w:r>
    </w:p>
    <w:p>
      <w:pPr>
        <w:pStyle w:val="ListBullet"/>
        <w:spacing w:after="20"/>
      </w:pPr>
      <w:r>
        <w:t>revizijska sled sprememb.</w:t>
      </w:r>
    </w:p>
    <w:p>
      <w:pPr>
        <w:pStyle w:val="Heading1"/>
      </w:pPr>
      <w:r>
        <w:t>16. Obdobja in zaključevanje</w:t>
      </w:r>
    </w:p>
    <w:p>
      <w:pPr>
        <w:pStyle w:val="ListBullet"/>
        <w:spacing w:after="20"/>
      </w:pPr>
      <w:r>
        <w:t>odprto obdobje;</w:t>
      </w:r>
    </w:p>
    <w:p>
      <w:pPr>
        <w:pStyle w:val="ListBullet"/>
        <w:spacing w:after="20"/>
      </w:pPr>
      <w:r>
        <w:t>kontrolirano obdobje;</w:t>
      </w:r>
    </w:p>
    <w:p>
      <w:pPr>
        <w:pStyle w:val="ListBullet"/>
        <w:spacing w:after="20"/>
      </w:pPr>
      <w:r>
        <w:t>zaklenjeno obdobje;</w:t>
      </w:r>
    </w:p>
    <w:p>
      <w:pPr>
        <w:pStyle w:val="ListBullet"/>
        <w:spacing w:after="20"/>
      </w:pPr>
      <w:r>
        <w:t>davčni zaključek;</w:t>
      </w:r>
    </w:p>
    <w:p>
      <w:pPr>
        <w:pStyle w:val="ListBullet"/>
        <w:spacing w:after="20"/>
      </w:pPr>
      <w:r>
        <w:t>mesečni zaključek;</w:t>
      </w:r>
    </w:p>
    <w:p>
      <w:pPr>
        <w:pStyle w:val="ListBullet"/>
        <w:spacing w:after="20"/>
      </w:pPr>
      <w:r>
        <w:t>letni zaključek;</w:t>
      </w:r>
    </w:p>
    <w:p>
      <w:pPr>
        <w:pStyle w:val="ListBullet"/>
        <w:spacing w:after="20"/>
      </w:pPr>
      <w:r>
        <w:t>prenos otvoritvenih stanj;</w:t>
      </w:r>
    </w:p>
    <w:p>
      <w:pPr>
        <w:pStyle w:val="ListBullet"/>
        <w:spacing w:after="20"/>
      </w:pPr>
      <w:r>
        <w:t>kontrola bilance in saldakontov pred zaključkom;</w:t>
      </w:r>
    </w:p>
    <w:p>
      <w:pPr>
        <w:pStyle w:val="ListBullet"/>
        <w:spacing w:after="20"/>
      </w:pPr>
      <w:r>
        <w:t>poročilo o neusklajenostih.</w:t>
      </w:r>
    </w:p>
    <w:p>
      <w:pPr>
        <w:ind w:left="360"/>
      </w:pPr>
      <w:r>
        <w:rPr>
          <w:rFonts w:ascii="Courier New" w:hAnsi="Courier New"/>
          <w:sz w:val="16"/>
        </w:rPr>
        <w:t>OPEN → CONTROLLED → CLOSED → YEAR-END → NEW FISCAL YEAR</w:t>
      </w:r>
    </w:p>
    <w:p>
      <w:pPr>
        <w:pStyle w:val="Heading1"/>
      </w:pPr>
      <w:r>
        <w:t>17. Poročila in analitika</w:t>
      </w:r>
    </w:p>
    <w:p>
      <w:pPr>
        <w:pStyle w:val="ListBullet"/>
        <w:spacing w:after="20"/>
      </w:pPr>
      <w:r>
        <w:t>dnevnik knjižb;</w:t>
      </w:r>
    </w:p>
    <w:p>
      <w:pPr>
        <w:pStyle w:val="ListBullet"/>
        <w:spacing w:after="20"/>
      </w:pPr>
      <w:r>
        <w:t>glavna knjiga;</w:t>
      </w:r>
    </w:p>
    <w:p>
      <w:pPr>
        <w:pStyle w:val="ListBullet"/>
        <w:spacing w:after="20"/>
      </w:pPr>
      <w:r>
        <w:t>bruto bilanca;</w:t>
      </w:r>
    </w:p>
    <w:p>
      <w:pPr>
        <w:pStyle w:val="ListBullet"/>
        <w:spacing w:after="20"/>
      </w:pPr>
      <w:r>
        <w:t>bilanca stanja;</w:t>
      </w:r>
    </w:p>
    <w:p>
      <w:pPr>
        <w:pStyle w:val="ListBullet"/>
        <w:spacing w:after="20"/>
      </w:pPr>
      <w:r>
        <w:t>izkaz poslovnega izida;</w:t>
      </w:r>
    </w:p>
    <w:p>
      <w:pPr>
        <w:pStyle w:val="ListBullet"/>
        <w:spacing w:after="20"/>
      </w:pPr>
      <w:r>
        <w:t>denarni tokovi;</w:t>
      </w:r>
    </w:p>
    <w:p>
      <w:pPr>
        <w:pStyle w:val="ListBullet"/>
        <w:spacing w:after="20"/>
      </w:pPr>
      <w:r>
        <w:t>saldakonti;</w:t>
      </w:r>
    </w:p>
    <w:p>
      <w:pPr>
        <w:pStyle w:val="ListBullet"/>
        <w:spacing w:after="20"/>
      </w:pPr>
      <w:r>
        <w:t>aging terjatev in obveznosti;</w:t>
      </w:r>
    </w:p>
    <w:p>
      <w:pPr>
        <w:pStyle w:val="ListBullet"/>
        <w:spacing w:after="20"/>
      </w:pPr>
      <w:r>
        <w:t>DDV evidence;</w:t>
      </w:r>
    </w:p>
    <w:p>
      <w:pPr>
        <w:pStyle w:val="ListBullet"/>
        <w:spacing w:after="20"/>
      </w:pPr>
      <w:r>
        <w:t>stroški po stroškovnih mestih;</w:t>
      </w:r>
    </w:p>
    <w:p>
      <w:pPr>
        <w:pStyle w:val="ListBullet"/>
        <w:spacing w:after="20"/>
      </w:pPr>
      <w:r>
        <w:t>projekti;</w:t>
      </w:r>
    </w:p>
    <w:p>
      <w:pPr>
        <w:pStyle w:val="ListBullet"/>
        <w:spacing w:after="20"/>
      </w:pPr>
      <w:r>
        <w:t>primerjava obdobij;</w:t>
      </w:r>
    </w:p>
    <w:p>
      <w:pPr>
        <w:pStyle w:val="ListBullet"/>
        <w:spacing w:after="20"/>
      </w:pPr>
      <w:r>
        <w:t>odstopanja in anomalije;</w:t>
      </w:r>
    </w:p>
    <w:p>
      <w:pPr>
        <w:pStyle w:val="ListBullet"/>
        <w:spacing w:after="20"/>
      </w:pPr>
      <w:r>
        <w:t>AI poslovni povzetek.</w:t>
      </w:r>
    </w:p>
    <w:p>
      <w:pPr>
        <w:pStyle w:val="Heading1"/>
      </w:pPr>
      <w:r>
        <w:t>18. Varnost, pravice in revizijska sled</w:t>
      </w:r>
    </w:p>
    <w:p>
      <w:pPr>
        <w:pStyle w:val="ListBullet"/>
        <w:spacing w:after="20"/>
      </w:pPr>
      <w:r>
        <w:t>RBAC: vloge in pravice;</w:t>
      </w:r>
    </w:p>
    <w:p>
      <w:pPr>
        <w:pStyle w:val="ListBullet"/>
        <w:spacing w:after="20"/>
      </w:pPr>
      <w:r>
        <w:t>ABAC: pravila glede podjetja, obdobja in podatkov;</w:t>
      </w:r>
    </w:p>
    <w:p>
      <w:pPr>
        <w:pStyle w:val="ListBullet"/>
        <w:spacing w:after="20"/>
      </w:pPr>
      <w:r>
        <w:t>MFA;</w:t>
      </w:r>
    </w:p>
    <w:p>
      <w:pPr>
        <w:pStyle w:val="ListBullet"/>
        <w:spacing w:after="20"/>
      </w:pPr>
      <w:r>
        <w:t>tenant isolation;</w:t>
      </w:r>
    </w:p>
    <w:p>
      <w:pPr>
        <w:pStyle w:val="ListBullet"/>
        <w:spacing w:after="20"/>
      </w:pPr>
      <w:r>
        <w:t>šifriranje v tranzitu in mirovanju;</w:t>
      </w:r>
    </w:p>
    <w:p>
      <w:pPr>
        <w:pStyle w:val="ListBullet"/>
        <w:spacing w:after="20"/>
      </w:pPr>
      <w:r>
        <w:t>varnostne kopije;</w:t>
      </w:r>
    </w:p>
    <w:p>
      <w:pPr>
        <w:pStyle w:val="ListBullet"/>
        <w:spacing w:after="20"/>
      </w:pPr>
      <w:r>
        <w:t>neizbrisljiva revizijska sled;</w:t>
      </w:r>
    </w:p>
    <w:p>
      <w:pPr>
        <w:pStyle w:val="ListBullet"/>
        <w:spacing w:after="20"/>
      </w:pPr>
      <w:r>
        <w:t>beleženje prijav in sprememb;</w:t>
      </w:r>
    </w:p>
    <w:p>
      <w:pPr>
        <w:pStyle w:val="ListBullet"/>
        <w:spacing w:after="20"/>
      </w:pPr>
      <w:r>
        <w:t>ločevanje produkcijskih in razvojnih podatkov;</w:t>
      </w:r>
    </w:p>
    <w:p>
      <w:pPr>
        <w:pStyle w:val="ListBullet"/>
        <w:spacing w:after="20"/>
      </w:pPr>
      <w:r>
        <w:t>omejitev AI dostopa na dovoljen kontekst.</w:t>
      </w:r>
    </w:p>
    <w:p>
      <w:pPr>
        <w:ind w:left="360"/>
      </w:pPr>
      <w:r>
        <w:rPr>
          <w:rFonts w:ascii="Courier New" w:hAnsi="Courier New"/>
          <w:sz w:val="16"/>
        </w:rPr>
        <w:t>AUDIT_EVENT</w:t>
        <w:br/>
        <w:t xml:space="preserve">  actor_id, action, entity_type, entity_id</w:t>
        <w:br/>
        <w:t xml:space="preserve">  before_json, after_json, timestamp</w:t>
        <w:br/>
        <w:t xml:space="preserve">  reason, correlation_id</w:t>
      </w:r>
    </w:p>
    <w:p>
      <w:pPr>
        <w:pStyle w:val="Heading1"/>
      </w:pPr>
      <w:r>
        <w:t>19. Tehnična arhitektura za Replit</w:t>
      </w:r>
    </w:p>
    <w:p>
      <w:r>
        <w:t>Za hiter razvoj je primeren modularni monolit, ki ga je mogoče pozneje razdeliti v storitve.</w:t>
      </w:r>
    </w:p>
    <w:p>
      <w:pPr>
        <w:ind w:left="360"/>
      </w:pPr>
      <w:r>
        <w:rPr>
          <w:rFonts w:ascii="Courier New" w:hAnsi="Courier New"/>
          <w:sz w:val="16"/>
        </w:rPr>
        <w:t>Frontend:       React + TypeScript</w:t>
        <w:br/>
        <w:t>API:             Node.js + TypeScript</w:t>
        <w:br/>
        <w:t>Backend:         NestJS ali modularni Express</w:t>
        <w:br/>
        <w:t>Database:        PostgreSQL</w:t>
        <w:br/>
        <w:t>ORM:             Drizzle ORM</w:t>
        <w:br/>
        <w:t>Validation:      Zod</w:t>
        <w:br/>
        <w:t>Jobs:            Queue/worker architecture</w:t>
        <w:br/>
        <w:t>Files:           Object storage</w:t>
        <w:br/>
        <w:t>Search:          PostgreSQL FTS + optional vector search</w:t>
        <w:br/>
        <w:t>AI:              provider abstraction layer</w:t>
        <w:br/>
        <w:t>Auth:            OAuth/OIDC + MFA</w:t>
        <w:br/>
        <w:t>Testing:         unit + integration + accounting invariants</w:t>
        <w:br/>
        <w:t>Deployment:      Replit during development, production-grade hosting later</w:t>
      </w:r>
    </w:p>
    <w:p>
      <w:pPr>
        <w:pStyle w:val="ListBullet"/>
        <w:spacing w:after="20"/>
      </w:pPr>
      <w:r>
        <w:t>monorepo: apps/web, apps/api, packages/accounting-core, packages/rules, packages/shared;</w:t>
      </w:r>
    </w:p>
    <w:p>
      <w:pPr>
        <w:pStyle w:val="ListBullet"/>
        <w:spacing w:after="20"/>
      </w:pPr>
      <w:r>
        <w:t>migracije so verzionirane;</w:t>
      </w:r>
    </w:p>
    <w:p>
      <w:pPr>
        <w:pStyle w:val="ListBullet"/>
        <w:spacing w:after="20"/>
      </w:pPr>
      <w:r>
        <w:t>vsaka sprememba računovodskega pravila ima test;</w:t>
      </w:r>
    </w:p>
    <w:p>
      <w:pPr>
        <w:pStyle w:val="ListBullet"/>
        <w:spacing w:after="20"/>
      </w:pPr>
      <w:r>
        <w:t>AI ponudnik je zamenljiv prek abstrakcijskega sloja;</w:t>
      </w:r>
    </w:p>
    <w:p>
      <w:pPr>
        <w:pStyle w:val="ListBullet"/>
        <w:spacing w:after="20"/>
      </w:pPr>
      <w:r>
        <w:t>podatkovna baza je vir resnice; AI ni vir resnice.</w:t>
      </w:r>
    </w:p>
    <w:p>
      <w:pPr>
        <w:pStyle w:val="Heading1"/>
      </w:pPr>
      <w:r>
        <w:t>20. Predlagana struktura baze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Tabela / domena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Ključni podatki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tenants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organizacije, servis, status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companies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pravna oseba, davčni podatki, nastavitve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fiscal_periods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leto, mesec, status, zaklep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accounts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konto, hierarhija, lastnosti, veljavnost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partners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identiteta, davčni status, kontakti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documents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tip, številka, datumi, zneski, status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document_lines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postavke, količina, cena, DDV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journal_entries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glava knjižbe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journal_lines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debet, kredit, konto, dimenzije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open_items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saldakontne odprte postavke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settlements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zapiranja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tax_codes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DDV pravila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tax_records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evidence in poročanje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bank_transactions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transakcije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fixed_assets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osnovna sredstva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ai_suggestions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predlogi, confidence, model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audit_events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revizijska sled</w:t>
            </w:r>
          </w:p>
        </w:tc>
      </w:tr>
    </w:tbl>
    <w:p/>
    <w:p>
      <w:pPr>
        <w:pStyle w:val="Heading1"/>
      </w:pPr>
      <w:r>
        <w:t>21. API in integracije</w:t>
      </w:r>
    </w:p>
    <w:p>
      <w:pPr>
        <w:pStyle w:val="ListBullet"/>
        <w:spacing w:after="20"/>
      </w:pPr>
      <w:r>
        <w:t>REST API za standardne operacije;</w:t>
      </w:r>
    </w:p>
    <w:p>
      <w:pPr>
        <w:pStyle w:val="ListBullet"/>
        <w:spacing w:after="20"/>
      </w:pPr>
      <w:r>
        <w:t>webhooks za zunanje dogodke;</w:t>
      </w:r>
    </w:p>
    <w:p>
      <w:pPr>
        <w:pStyle w:val="ListBullet"/>
        <w:spacing w:after="20"/>
      </w:pPr>
      <w:r>
        <w:t>idempotency keys za varne ponovne klice;</w:t>
      </w:r>
    </w:p>
    <w:p>
      <w:pPr>
        <w:pStyle w:val="ListBullet"/>
        <w:spacing w:after="20"/>
      </w:pPr>
      <w:r>
        <w:t>import/export sloj;</w:t>
      </w:r>
    </w:p>
    <w:p>
      <w:pPr>
        <w:pStyle w:val="ListBullet"/>
        <w:spacing w:after="20"/>
      </w:pPr>
      <w:r>
        <w:t>e-račun integracije;</w:t>
      </w:r>
    </w:p>
    <w:p>
      <w:pPr>
        <w:pStyle w:val="ListBullet"/>
        <w:spacing w:after="20"/>
      </w:pPr>
      <w:r>
        <w:t>bančne integracije;</w:t>
      </w:r>
    </w:p>
    <w:p>
      <w:pPr>
        <w:pStyle w:val="ListBullet"/>
        <w:spacing w:after="20"/>
      </w:pPr>
      <w:r>
        <w:t>FURS/eDavki integracije prek aktualnih uradnih mehanizmov;</w:t>
      </w:r>
    </w:p>
    <w:p>
      <w:pPr>
        <w:pStyle w:val="ListBullet"/>
        <w:spacing w:after="20"/>
      </w:pPr>
      <w:r>
        <w:t>zunanji servisi ne smejo neposredno spreminjati glavne knjige brez poslovnega procesa.</w:t>
      </w:r>
    </w:p>
    <w:p>
      <w:pPr>
        <w:pStyle w:val="Heading1"/>
      </w:pPr>
      <w:r>
        <w:t>22. AI računovodski pomočnik</w:t>
      </w:r>
    </w:p>
    <w:p>
      <w:r>
        <w:t>Pomočnik naj deluje kot računovodski kopilot.</w:t>
      </w:r>
    </w:p>
    <w:p>
      <w:pPr>
        <w:pStyle w:val="ListBullet"/>
        <w:spacing w:after="20"/>
      </w:pPr>
      <w:r>
        <w:t>»Prikaži odprte terjatve, zapadle več kot 60 dni.«</w:t>
      </w:r>
    </w:p>
    <w:p>
      <w:pPr>
        <w:pStyle w:val="ListBullet"/>
        <w:spacing w:after="20"/>
      </w:pPr>
      <w:r>
        <w:t>»Zakaj se je strošek elektrike ta mesec povečal?«</w:t>
      </w:r>
    </w:p>
    <w:p>
      <w:pPr>
        <w:pStyle w:val="ListBullet"/>
        <w:spacing w:after="20"/>
      </w:pPr>
      <w:r>
        <w:t>»Predlagaj knjižbo za ta račun in pojasni razloge.«</w:t>
      </w:r>
    </w:p>
    <w:p>
      <w:pPr>
        <w:pStyle w:val="ListBullet"/>
        <w:spacing w:after="20"/>
      </w:pPr>
      <w:r>
        <w:t>»Poišči podvojene račune.«</w:t>
      </w:r>
    </w:p>
    <w:p>
      <w:pPr>
        <w:pStyle w:val="ListBullet"/>
        <w:spacing w:after="20"/>
      </w:pPr>
      <w:r>
        <w:t>»Kateri partnerji imajo največje tveganje neplačila?«</w:t>
      </w:r>
    </w:p>
    <w:p>
      <w:pPr>
        <w:pStyle w:val="ListBullet"/>
        <w:spacing w:after="20"/>
      </w:pPr>
      <w:r>
        <w:t>»Pripravi seznam nenavadnih knjižb za pregled.«</w:t>
      </w:r>
    </w:p>
    <w:p>
      <w:r>
        <w:t>Pri finančno pomembnih rezultatih mora AI pokazati izvor podatkov in uporabljene podatke.</w:t>
      </w:r>
    </w:p>
    <w:p>
      <w:pPr>
        <w:pStyle w:val="Heading1"/>
      </w:pPr>
      <w:r>
        <w:t>23. Razvojni načrt</w:t>
      </w:r>
    </w:p>
    <w:p>
      <w:pPr>
        <w:pStyle w:val="ListNumber"/>
        <w:spacing w:after="20"/>
      </w:pPr>
      <w:r>
        <w:t>Vzpostavitev Replit projekta, repozitorija in okolij.</w:t>
      </w:r>
    </w:p>
    <w:p>
      <w:pPr>
        <w:pStyle w:val="ListNumber"/>
        <w:spacing w:after="20"/>
      </w:pPr>
      <w:r>
        <w:t>Podatkovni model tenantov, podjetij in uporabnikov.</w:t>
      </w:r>
    </w:p>
    <w:p>
      <w:pPr>
        <w:pStyle w:val="ListNumber"/>
        <w:spacing w:after="20"/>
      </w:pPr>
      <w:r>
        <w:t>Fiscal periods in osnovna pravila zaklepanja.</w:t>
      </w:r>
    </w:p>
    <w:p>
      <w:pPr>
        <w:pStyle w:val="ListNumber"/>
        <w:spacing w:after="20"/>
      </w:pPr>
      <w:r>
        <w:t>Kontni načrt in analitične dimenzije.</w:t>
      </w:r>
    </w:p>
    <w:p>
      <w:pPr>
        <w:pStyle w:val="ListNumber"/>
        <w:spacing w:after="20"/>
      </w:pPr>
      <w:r>
        <w:t>Dvostavno knjižbeno jedro z invariantnimi testi.</w:t>
      </w:r>
    </w:p>
    <w:p>
      <w:pPr>
        <w:pStyle w:val="ListNumber"/>
        <w:spacing w:after="20"/>
      </w:pPr>
      <w:r>
        <w:t>Partnerji in saldakonti.</w:t>
      </w:r>
    </w:p>
    <w:p>
      <w:pPr>
        <w:pStyle w:val="ListNumber"/>
        <w:spacing w:after="20"/>
      </w:pPr>
      <w:r>
        <w:t>Dokumentni modul.</w:t>
      </w:r>
    </w:p>
    <w:p>
      <w:pPr>
        <w:pStyle w:val="ListNumber"/>
        <w:spacing w:after="20"/>
      </w:pPr>
      <w:r>
        <w:t>Prejeti in izdani računi.</w:t>
      </w:r>
    </w:p>
    <w:p>
      <w:pPr>
        <w:pStyle w:val="ListNumber"/>
        <w:spacing w:after="20"/>
      </w:pPr>
      <w:r>
        <w:t>DDV rules engine.</w:t>
      </w:r>
    </w:p>
    <w:p>
      <w:pPr>
        <w:pStyle w:val="ListNumber"/>
        <w:spacing w:after="20"/>
      </w:pPr>
      <w:r>
        <w:t>Bančni izpiski in ujemanje.</w:t>
      </w:r>
    </w:p>
    <w:p>
      <w:pPr>
        <w:pStyle w:val="ListNumber"/>
        <w:spacing w:after="20"/>
      </w:pPr>
      <w:r>
        <w:t>Osnovna sredstva.</w:t>
      </w:r>
    </w:p>
    <w:p>
      <w:pPr>
        <w:pStyle w:val="ListNumber"/>
        <w:spacing w:after="20"/>
      </w:pPr>
      <w:r>
        <w:t>Poročila.</w:t>
      </w:r>
    </w:p>
    <w:p>
      <w:pPr>
        <w:pStyle w:val="ListNumber"/>
        <w:spacing w:after="20"/>
      </w:pPr>
      <w:r>
        <w:t>Revizijska sled in varnost.</w:t>
      </w:r>
    </w:p>
    <w:p>
      <w:pPr>
        <w:pStyle w:val="ListNumber"/>
        <w:spacing w:after="20"/>
      </w:pPr>
      <w:r>
        <w:t>OCR in AI predlogi.</w:t>
      </w:r>
    </w:p>
    <w:p>
      <w:pPr>
        <w:pStyle w:val="ListNumber"/>
        <w:spacing w:after="20"/>
      </w:pPr>
      <w:r>
        <w:t>AI kontrolor.</w:t>
      </w:r>
    </w:p>
    <w:p>
      <w:pPr>
        <w:pStyle w:val="ListNumber"/>
        <w:spacing w:after="20"/>
      </w:pPr>
      <w:r>
        <w:t>Integracije in produkcijska hardening faza.</w:t>
      </w:r>
    </w:p>
    <w:p>
      <w:pPr>
        <w:pStyle w:val="Heading1"/>
      </w:pPr>
      <w:r>
        <w:t>24. Testiranje</w:t>
      </w:r>
    </w:p>
    <w:p>
      <w:pPr>
        <w:pStyle w:val="ListBullet"/>
        <w:spacing w:after="20"/>
      </w:pPr>
      <w:r>
        <w:t>unit testi računovodskih pravil;</w:t>
      </w:r>
    </w:p>
    <w:p>
      <w:pPr>
        <w:pStyle w:val="ListBullet"/>
        <w:spacing w:after="20"/>
      </w:pPr>
      <w:r>
        <w:t>property-based testi: vsaka knjižba mora biti uravnotežena;</w:t>
      </w:r>
    </w:p>
    <w:p>
      <w:pPr>
        <w:pStyle w:val="ListBullet"/>
        <w:spacing w:after="20"/>
      </w:pPr>
      <w:r>
        <w:t>integration testi: dokument → knjižba → DDV → saldakont;</w:t>
      </w:r>
    </w:p>
    <w:p>
      <w:pPr>
        <w:pStyle w:val="ListBullet"/>
        <w:spacing w:after="20"/>
      </w:pPr>
      <w:r>
        <w:t>regression testi za davčne spremembe;</w:t>
      </w:r>
    </w:p>
    <w:p>
      <w:pPr>
        <w:pStyle w:val="ListBullet"/>
        <w:spacing w:after="20"/>
      </w:pPr>
      <w:r>
        <w:t>migration testi;</w:t>
      </w:r>
    </w:p>
    <w:p>
      <w:pPr>
        <w:pStyle w:val="ListBullet"/>
        <w:spacing w:after="20"/>
      </w:pPr>
      <w:r>
        <w:t>security testi;</w:t>
      </w:r>
    </w:p>
    <w:p>
      <w:pPr>
        <w:pStyle w:val="ListBullet"/>
        <w:spacing w:after="20"/>
      </w:pPr>
      <w:r>
        <w:t>load testi;</w:t>
      </w:r>
    </w:p>
    <w:p>
      <w:pPr>
        <w:pStyle w:val="ListBullet"/>
        <w:spacing w:after="20"/>
      </w:pPr>
      <w:r>
        <w:t>testi zaklepanja obdobij;</w:t>
      </w:r>
    </w:p>
    <w:p>
      <w:pPr>
        <w:pStyle w:val="ListBullet"/>
        <w:spacing w:after="20"/>
      </w:pPr>
      <w:r>
        <w:t>testi korektivnih knjižb;</w:t>
      </w:r>
    </w:p>
    <w:p>
      <w:pPr>
        <w:pStyle w:val="ListBullet"/>
        <w:spacing w:after="20"/>
      </w:pPr>
      <w:r>
        <w:t>testi AI predlogov brez dovoljenja za neposredno knjiženje.</w:t>
      </w:r>
    </w:p>
    <w:p>
      <w:pPr>
        <w:pStyle w:val="Heading1"/>
      </w:pPr>
      <w:r>
        <w:t>25. Priporočeni MVP</w:t>
      </w:r>
    </w:p>
    <w:p>
      <w:pPr>
        <w:pStyle w:val="ListBullet"/>
        <w:spacing w:after="20"/>
      </w:pPr>
      <w:r>
        <w:t>več podjetij;</w:t>
      </w:r>
    </w:p>
    <w:p>
      <w:pPr>
        <w:pStyle w:val="ListBullet"/>
        <w:spacing w:after="20"/>
      </w:pPr>
      <w:r>
        <w:t>uporabniki in pravice;</w:t>
      </w:r>
    </w:p>
    <w:p>
      <w:pPr>
        <w:pStyle w:val="ListBullet"/>
        <w:spacing w:after="20"/>
      </w:pPr>
      <w:r>
        <w:t>kontni načrt;</w:t>
      </w:r>
    </w:p>
    <w:p>
      <w:pPr>
        <w:pStyle w:val="ListBullet"/>
        <w:spacing w:after="20"/>
      </w:pPr>
      <w:r>
        <w:t>partnerji;</w:t>
      </w:r>
    </w:p>
    <w:p>
      <w:pPr>
        <w:pStyle w:val="ListBullet"/>
        <w:spacing w:after="20"/>
      </w:pPr>
      <w:r>
        <w:t>prejeti računi;</w:t>
      </w:r>
    </w:p>
    <w:p>
      <w:pPr>
        <w:pStyle w:val="ListBullet"/>
        <w:spacing w:after="20"/>
      </w:pPr>
      <w:r>
        <w:t>osnovno dvostavno knjiženje;</w:t>
      </w:r>
    </w:p>
    <w:p>
      <w:pPr>
        <w:pStyle w:val="ListBullet"/>
        <w:spacing w:after="20"/>
      </w:pPr>
      <w:r>
        <w:t>saldakonti;</w:t>
      </w:r>
    </w:p>
    <w:p>
      <w:pPr>
        <w:pStyle w:val="ListBullet"/>
        <w:spacing w:after="20"/>
      </w:pPr>
      <w:r>
        <w:t>osnovni DDV;</w:t>
      </w:r>
    </w:p>
    <w:p>
      <w:pPr>
        <w:pStyle w:val="ListBullet"/>
        <w:spacing w:after="20"/>
      </w:pPr>
      <w:r>
        <w:t>bančni uvoz;</w:t>
      </w:r>
    </w:p>
    <w:p>
      <w:pPr>
        <w:pStyle w:val="ListBullet"/>
        <w:spacing w:after="20"/>
      </w:pPr>
      <w:r>
        <w:t>osnovna poročila;</w:t>
      </w:r>
    </w:p>
    <w:p>
      <w:pPr>
        <w:pStyle w:val="ListBullet"/>
        <w:spacing w:after="20"/>
      </w:pPr>
      <w:r>
        <w:t>revizijska sled;</w:t>
      </w:r>
    </w:p>
    <w:p>
      <w:pPr>
        <w:pStyle w:val="ListBullet"/>
        <w:spacing w:after="20"/>
      </w:pPr>
      <w:r>
        <w:t>AI predlog knjižbe.</w:t>
      </w:r>
    </w:p>
    <w:p>
      <w:pPr>
        <w:pStyle w:val="Heading1"/>
      </w:pPr>
      <w:r>
        <w:t>26. Ključne strateške odločitve</w:t>
      </w:r>
    </w:p>
    <w:p>
      <w:pPr>
        <w:pStyle w:val="ListBullet"/>
        <w:spacing w:after="20"/>
      </w:pPr>
      <w:r>
        <w:t>Ne graditi AI-ja neposredno v računovodsko jedro.</w:t>
      </w:r>
    </w:p>
    <w:p>
      <w:pPr>
        <w:pStyle w:val="ListBullet"/>
        <w:spacing w:after="20"/>
      </w:pPr>
      <w:r>
        <w:t>Ne uporabljati LLM kot kalkulatorja za deterministična pravila.</w:t>
      </w:r>
    </w:p>
    <w:p>
      <w:pPr>
        <w:pStyle w:val="ListBullet"/>
        <w:spacing w:after="20"/>
      </w:pPr>
      <w:r>
        <w:t>Ne zakodirati davčnih pravil brez različic in datumov veljavnosti.</w:t>
      </w:r>
    </w:p>
    <w:p>
      <w:pPr>
        <w:pStyle w:val="ListBullet"/>
        <w:spacing w:after="20"/>
      </w:pPr>
      <w:r>
        <w:t>Ne uporabljati številke konta kot edine analitike.</w:t>
      </w:r>
    </w:p>
    <w:p>
      <w:pPr>
        <w:pStyle w:val="ListBullet"/>
        <w:spacing w:after="20"/>
      </w:pPr>
      <w:r>
        <w:t>Ne dovoliti brisanja knjižb iz glavne knjige.</w:t>
      </w:r>
    </w:p>
    <w:p>
      <w:pPr>
        <w:pStyle w:val="ListBullet"/>
        <w:spacing w:after="20"/>
      </w:pPr>
      <w:r>
        <w:t>Ne mešati računovodskih podatkov različnih tenantov.</w:t>
      </w:r>
    </w:p>
    <w:p>
      <w:pPr>
        <w:pStyle w:val="ListBullet"/>
        <w:spacing w:after="20"/>
      </w:pPr>
      <w:r>
        <w:t>Najprej zgraditi močno jedro, nato avtomatizacijo.</w:t>
      </w:r>
    </w:p>
    <w:p>
      <w:pPr>
        <w:pStyle w:val="ListBullet"/>
        <w:spacing w:after="20"/>
      </w:pPr>
      <w:r>
        <w:t>Vsaka avtomatizacija mora imeti možnost razlage in revizije.</w:t>
      </w:r>
    </w:p>
    <w:p>
      <w:pPr>
        <w:pStyle w:val="Heading1"/>
      </w:pPr>
      <w:r>
        <w:t>27. Končni koncept</w:t>
      </w:r>
    </w:p>
    <w:p>
      <w:r>
        <w:t>Končni sistem naj bo AI-native računovodska platforma za slovenski trg z računovodsko zanesljivostjo klasičnega ERP sistema. Največja konkurenčna prednost ni v tem, da AI sam »knjiži«, ampak v tem, da sistem razume dokumente, zgodovino podjetja, kontni načrt, saldakonte, DDV in računovodska pravila ter računovodji ponudi preverljiv in sledljiv predlog.</w:t>
      </w:r>
    </w:p>
    <w:p>
      <w:r>
        <w:t>Priporočena arhitektura je: deterministično računovodsko jedro + različicno upravljana pravila + modularni dokumentni sistem + AI kopilot + revizijska sled.</w:t>
      </w:r>
    </w:p>
    <w:p>
      <w:pPr>
        <w:pStyle w:val="Heading1"/>
      </w:pPr>
      <w:r>
        <w:t>28. Viri in opomba o skladnosti</w:t>
      </w:r>
    </w:p>
    <w:p>
      <w:r>
        <w:t>Ta dokument je razvojna in arhitekturna specifikacija, ne pravno mnenje. Pred produkcijsko uporabo mora biti implementacija preverjena glede na aktualno zakonodajo, uradne specifikacije in strokovno računovodsko interpretacijo.</w:t>
      </w:r>
    </w:p>
    <w:p>
      <w:pPr>
        <w:pStyle w:val="ListBullet"/>
        <w:spacing w:after="20"/>
      </w:pPr>
      <w:r>
        <w:t>Ministrstvo za gospodarstvo, turizem in šport: Slovenski računovodski standardi 2024 in spremljajoče informacije.</w:t>
      </w:r>
    </w:p>
    <w:p>
      <w:pPr>
        <w:pStyle w:val="ListBullet"/>
        <w:spacing w:after="20"/>
      </w:pPr>
      <w:r>
        <w:t>Finančna uprava Republike Slovenije: področje DDV, evidence DDV, eDavki in tehnične specifikacije.</w:t>
      </w:r>
    </w:p>
    <w:p>
      <w:pPr>
        <w:pStyle w:val="ListBullet"/>
        <w:spacing w:after="20"/>
      </w:pPr>
      <w:r>
        <w:t>FURS: aktualne objave in navodila za elektronsko predlaganje evidenc DDV.</w:t>
      </w:r>
    </w:p>
    <w:p>
      <w:pPr>
        <w:pStyle w:val="ListBullet"/>
        <w:spacing w:after="20"/>
      </w:pPr>
      <w:r>
        <w:t>AJPES in drugi uradni viri za poročanje in poslovne registre, kjer je relevantno.</w:t>
      </w:r>
    </w:p>
    <w:p>
      <w:r>
        <w:t>Pri nadaljnjem razvoju je treba vzpostaviti formalni proces upravljanja regulatornih sprememb: spremljanje sprememb, analiza vpliva, posodobitev pravil, testiranje in dokumentiranje.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AI-native slovenski računovodski sistem – razvojna specifikacija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