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2"/>
          <w:szCs w:val="52"/>
        </w:rPr>
        <w:t xml:space="preserve">NAČRT RAZVOJA MODERNEGA ERP SISTEMA</w:t>
      </w:r>
    </w:p>
    <w:p>
      <w:pPr>
        <w:spacing w:after="300"/>
        <w:jc w:val="center"/>
      </w:pPr>
      <w:r>
        <w:rPr>
          <w:rFonts w:ascii="Calibri" w:cs="Calibri" w:eastAsia="Calibri" w:hAnsi="Calibri"/>
          <w:color w:val="2E74B5"/>
          <w:sz w:val="30"/>
          <w:szCs w:val="30"/>
        </w:rPr>
        <w:t xml:space="preserve">skladnega s slovensko zakonodajo in računovodskimi standardi</w:t>
      </w:r>
    </w:p>
    <w:p>
      <w:pPr>
        <w:spacing w:after="200"/>
        <w:jc w:val="center"/>
      </w:pPr>
      <w:r>
        <w:rPr>
          <w:rFonts w:ascii="Calibri" w:cs="Calibri" w:eastAsia="Calibri" w:hAnsi="Calibri"/>
          <w:i/>
          <w:iCs/>
          <w:sz w:val="24"/>
          <w:szCs w:val="24"/>
        </w:rPr>
        <w:t xml:space="preserve">Projektni dokument – specifikacija in izvedbeni načrt</w:t>
      </w:r>
    </w:p>
    <w:p>
      <w:pPr>
        <w:spacing w:before="3000"/>
        <w:jc w:val="center"/>
      </w:pPr>
      <w:r>
        <w:rPr>
          <w:rFonts w:ascii="Calibri" w:cs="Calibri" w:eastAsia="Calibri" w:hAnsi="Calibri"/>
          <w:color w:val="595959"/>
          <w:sz w:val="22"/>
          <w:szCs w:val="22"/>
        </w:rPr>
        <w:t xml:space="preserve">Julij 2026 · Različica 1.0 · Osnutek za razpravo</w:t>
      </w:r>
    </w:p>
    <w:p>
      <w:r>
        <w:br w:type="page"/>
      </w:r>
    </w:p>
    <w:p>
      <w:pPr>
        <w:pStyle w:val="Heading1"/>
        <w:spacing w:after="200" w:before="360"/>
      </w:pPr>
      <w:r>
        <w:rPr>
          <w:rFonts w:ascii="Calibri" w:cs="Calibri" w:eastAsia="Calibri" w:hAnsi="Calibri"/>
          <w:b/>
          <w:bCs/>
          <w:color w:val="1F3864"/>
          <w:sz w:val="32"/>
          <w:szCs w:val="32"/>
        </w:rPr>
        <w:t xml:space="preserve">Kazalo vsebine</w:t>
      </w:r>
    </w:p>
    <w:sdt>
      <w:sdtPr>
        <w:alias w:val="Kazalo"/>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F3864"/>
          <w:sz w:val="32"/>
          <w:szCs w:val="32"/>
        </w:rPr>
        <w:t xml:space="preserve">1  Povzetek</w:t>
      </w:r>
    </w:p>
    <w:p>
      <w:pPr>
        <w:spacing w:after="160" w:line="276"/>
        <w:jc w:val="both"/>
      </w:pPr>
      <w:r>
        <w:rPr>
          <w:rFonts w:ascii="Calibri" w:cs="Calibri" w:eastAsia="Calibri" w:hAnsi="Calibri"/>
          <w:sz w:val="22"/>
          <w:szCs w:val="22"/>
        </w:rPr>
        <w:t xml:space="preserve">Dokument opredeljuje načrt razvoja modernega, oblačnega ERP sistema, namenjenega slovenskim malim in srednjim podjetjem ter računovodskim servisom. Sistem je zasnovan kot večnajemniška (multi-tenant) storitev SaaS z modularno arhitekturo, ki v jedru pokriva glavno knjigo po Slovenskih računovodskih standardih (SRS 2024), saldakonte, fakturiranje z e-računi, obračun DDV, bančno poslovanje, osnovna sredstva, zaloge in plače, v nadaljnjih fazah pa nabavno-prodajni proces, proizvodnjo in poslovno analitiko.</w:t>
      </w:r>
    </w:p>
    <w:p>
      <w:pPr>
        <w:spacing w:after="160" w:line="276"/>
        <w:jc w:val="both"/>
      </w:pPr>
      <w:r>
        <w:rPr>
          <w:rFonts w:ascii="Calibri" w:cs="Calibri" w:eastAsia="Calibri" w:hAnsi="Calibri"/>
          <w:sz w:val="22"/>
          <w:szCs w:val="22"/>
        </w:rPr>
        <w:t xml:space="preserve">Strateško izhodišče projekta je zakonodajni prelom, ki ga prinaša Zakon o izmenjavi elektronskih računov in drugih elektronskih dokumentov (ZIERDED): od 1. januarja 2028 bo izmenjava strukturiranih e-računov (e-SLOG 2.0 oziroma sintakse, skladne z EN 16931) obvezna za vse poslovne subjekte v medsebojnem poslovanju. Papirni in PDF računi med podjetji ne bodo več zadoščali. ERP, ki je zasnovan okrog e-računov, avtomatiziranega knjiženja in neposrednih povezav z državnimi sistemi (eDavki, FURS, AJPES, UJP), bo imel v obdobju 2027–2029 izjemno tržno priložnost, saj bo velik del podjetij prisiljen posodobiti ali zamenjati obstoječe rešitve.</w:t>
      </w:r>
    </w:p>
    <w:p>
      <w:pPr>
        <w:spacing w:after="160" w:line="276"/>
        <w:jc w:val="both"/>
      </w:pPr>
      <w:r>
        <w:rPr>
          <w:rFonts w:ascii="Calibri" w:cs="Calibri" w:eastAsia="Calibri" w:hAnsi="Calibri"/>
          <w:sz w:val="22"/>
          <w:szCs w:val="22"/>
        </w:rPr>
        <w:t xml:space="preserve">Načrt predvideva 24-mesečni razvoj v treh fazah z ekipo 6–10 ljudi, pilotno uvedbo pri izbranih računovodskih servisih po devetih mesecih in polno komercialno lansiranje v drugem letu. Ključni dejavniki uspeha so: (1) dosledna in vzdrževana zakonodajna skladnost, (2) avtomatizacija rutinskih računovodskih opravil s pomočjo umetne inteligence, (3) odprta arhitektura API-jev in (4) učinkovita orodja za migracijo podatkov iz obstoječih sistemov.</w:t>
      </w:r>
    </w:p>
    <w:p>
      <w:pPr>
        <w:pStyle w:val="Heading1"/>
        <w:spacing w:after="200" w:before="360"/>
      </w:pPr>
      <w:r>
        <w:rPr>
          <w:rFonts w:ascii="Calibri" w:cs="Calibri" w:eastAsia="Calibri" w:hAnsi="Calibri"/>
          <w:b/>
          <w:bCs/>
          <w:color w:val="1F3864"/>
          <w:sz w:val="32"/>
          <w:szCs w:val="32"/>
        </w:rPr>
        <w:t xml:space="preserve">2  Zakonodajni in regulativni okvir</w:t>
      </w:r>
    </w:p>
    <w:p>
      <w:pPr>
        <w:spacing w:after="160" w:line="276"/>
        <w:jc w:val="both"/>
      </w:pPr>
      <w:r>
        <w:rPr>
          <w:rFonts w:ascii="Calibri" w:cs="Calibri" w:eastAsia="Calibri" w:hAnsi="Calibri"/>
          <w:sz w:val="22"/>
          <w:szCs w:val="22"/>
        </w:rPr>
        <w:t xml:space="preserve">Slovenska zakonodaja neposredno določa velik del funkcionalnih zahtev sistema. Spodnja tabela povzema ključne predpise in njihov vpliv na zasnovo. Pomembno načelo: vsa pravila, ki izhajajo iz predpisov (davčne stopnje, prispevne stopnje, olajšave, sheme obrazcev), morajo biti v sistemu implementirana kot časovno veljavna konfiguracija (veljavnost od–do), ne kot trdo kodirana logika, saj se spreminjajo večkrat letno.</w:t>
      </w:r>
    </w:p>
    <w:p>
      <w:pPr>
        <w:spacing w:after="16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300"/>
        <w:gridCol w:w="3860"/>
      </w:tblGrid>
      <w:tr>
        <w:trPr>
          <w:tblHeader/>
        </w:trPr>
        <w:tc>
          <w:tcPr>
            <w:tcW w:type="dxa" w:w="2200"/>
            <w:shd w:fill="1F3864" w:val="clear"/>
            <w:tcMar>
              <w:top w:type="dxa" w:w="80"/>
              <w:left w:type="dxa" w:w="100"/>
              <w:bottom w:type="dxa" w:w="80"/>
              <w:right w:type="dxa" w:w="100"/>
            </w:tcMar>
          </w:tcPr>
          <w:p>
            <w:pPr>
              <w:spacing w:after="40" w:before="40" w:line="240"/>
            </w:pPr>
            <w:r>
              <w:rPr>
                <w:rFonts w:ascii="Calibri" w:cs="Calibri" w:eastAsia="Calibri" w:hAnsi="Calibri"/>
                <w:b/>
                <w:bCs/>
                <w:color w:val="FFFFFF"/>
                <w:sz w:val="20"/>
                <w:szCs w:val="20"/>
              </w:rPr>
              <w:t xml:space="preserve">Predpis</w:t>
            </w:r>
          </w:p>
        </w:tc>
        <w:tc>
          <w:tcPr>
            <w:tcW w:type="dxa" w:w="3300"/>
            <w:shd w:fill="1F3864" w:val="clear"/>
            <w:tcMar>
              <w:top w:type="dxa" w:w="80"/>
              <w:left w:type="dxa" w:w="100"/>
              <w:bottom w:type="dxa" w:w="80"/>
              <w:right w:type="dxa" w:w="100"/>
            </w:tcMar>
          </w:tcPr>
          <w:p>
            <w:pPr>
              <w:spacing w:after="40" w:before="40" w:line="240"/>
            </w:pPr>
            <w:r>
              <w:rPr>
                <w:rFonts w:ascii="Calibri" w:cs="Calibri" w:eastAsia="Calibri" w:hAnsi="Calibri"/>
                <w:b/>
                <w:bCs/>
                <w:color w:val="FFFFFF"/>
                <w:sz w:val="20"/>
                <w:szCs w:val="20"/>
              </w:rPr>
              <w:t xml:space="preserve">Ključne zahteve</w:t>
            </w:r>
          </w:p>
        </w:tc>
        <w:tc>
          <w:tcPr>
            <w:tcW w:type="dxa" w:w="3860"/>
            <w:shd w:fill="1F3864" w:val="clear"/>
            <w:tcMar>
              <w:top w:type="dxa" w:w="80"/>
              <w:left w:type="dxa" w:w="100"/>
              <w:bottom w:type="dxa" w:w="80"/>
              <w:right w:type="dxa" w:w="100"/>
            </w:tcMar>
          </w:tcPr>
          <w:p>
            <w:pPr>
              <w:spacing w:after="40" w:before="40" w:line="240"/>
            </w:pPr>
            <w:r>
              <w:rPr>
                <w:rFonts w:ascii="Calibri" w:cs="Calibri" w:eastAsia="Calibri" w:hAnsi="Calibri"/>
                <w:b/>
                <w:bCs/>
                <w:color w:val="FFFFFF"/>
                <w:sz w:val="20"/>
                <w:szCs w:val="20"/>
              </w:rPr>
              <w:t xml:space="preserve">Vpliv na zasnovo ERP</w:t>
            </w:r>
          </w:p>
        </w:tc>
      </w:tr>
      <w:tr>
        <w:tc>
          <w:tcPr>
            <w:tcW w:type="dxa" w:w="22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SRS 2024 in enotni kontni okvir</w:t>
            </w:r>
          </w:p>
        </w:tc>
        <w:tc>
          <w:tcPr>
            <w:tcW w:type="dxa" w:w="33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Pravila vrednotenja, pripoznavanja in razkritij; kontni okvir z razredi 0–9</w:t>
            </w:r>
          </w:p>
        </w:tc>
        <w:tc>
          <w:tcPr>
            <w:tcW w:type="dxa" w:w="38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Nastavljiv kontni načrt s priporočenimi konti; sheme bilance stanja in izkaza poslovnega izida; podpora SRS in mednarodni praksi vrednotenja zalog in OS</w:t>
            </w:r>
          </w:p>
        </w:tc>
      </w:tr>
      <w:tr>
        <w:tc>
          <w:tcPr>
            <w:tcW w:type="dxa" w:w="22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ZGD-1</w:t>
            </w:r>
          </w:p>
        </w:tc>
        <w:tc>
          <w:tcPr>
            <w:tcW w:type="dxa" w:w="33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Letna poročila, javna objava, hramba knjigovodskih listin (praviloma 10 let), trajna hramba določenih listin</w:t>
            </w:r>
          </w:p>
        </w:tc>
        <w:tc>
          <w:tcPr>
            <w:tcW w:type="dxa" w:w="38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Generiranje letnih poročil v XML za AJPES; elektronski arhiv z nespremenljivostjo in politikami hrambe</w:t>
            </w:r>
          </w:p>
        </w:tc>
      </w:tr>
      <w:tr>
        <w:tc>
          <w:tcPr>
            <w:tcW w:type="dxa" w:w="22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ZDDV-1 s pravilnikom</w:t>
            </w:r>
          </w:p>
        </w:tc>
        <w:tc>
          <w:tcPr>
            <w:tcW w:type="dxa" w:w="33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Stopnje DDV 22 %, 9,5 % in 5 %; knjigi izdanih in prejetih računov; obrazec DDV-O; rekapitulacijsko poročilo (RP-O); obrnjena davčna obveznost po 76.a členu; ureditev OSS</w:t>
            </w:r>
          </w:p>
        </w:tc>
        <w:tc>
          <w:tcPr>
            <w:tcW w:type="dxa" w:w="38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Davčne šifre na vsaki postavki knjižbe; avtomatski izračun in kontrola DDV-O; elektronska oddaja v eDavke; podpora samoobdavčitvi pri uvozu in pridobitvah iz EU</w:t>
            </w:r>
          </w:p>
        </w:tc>
      </w:tr>
      <w:tr>
        <w:tc>
          <w:tcPr>
            <w:tcW w:type="dxa" w:w="22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ZDavPR (davčno potrjevanje računov)</w:t>
            </w:r>
          </w:p>
        </w:tc>
        <w:tc>
          <w:tcPr>
            <w:tcW w:type="dxa" w:w="33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Fiskalizacija gotovinskih računov: EOR, ZOI, namensko digitalno potrdilo, interni akt o poslovnih prostorih</w:t>
            </w:r>
          </w:p>
        </w:tc>
        <w:tc>
          <w:tcPr>
            <w:tcW w:type="dxa" w:w="38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Modul POS/blagajna s certificirano povezavo na FURS; obravnava izpadov povezave (naknadna potrditev v 48 urah); nespremenljivost izdanih računov</w:t>
            </w:r>
          </w:p>
        </w:tc>
      </w:tr>
      <w:tr>
        <w:tc>
          <w:tcPr>
            <w:tcW w:type="dxa" w:w="22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ZIERDED (od 1. 1. 2028)</w:t>
            </w:r>
          </w:p>
        </w:tc>
        <w:tc>
          <w:tcPr>
            <w:tcW w:type="dxa" w:w="33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Obvezna izmenjava e-računov B2B v strukturirani obliki (e-SLOG 2.0, EN 16931); PDF ni e-račun; izmenjava prek ponudnikov e-poti</w:t>
            </w:r>
          </w:p>
        </w:tc>
        <w:tc>
          <w:tcPr>
            <w:tcW w:type="dxa" w:w="38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E-račun kot primarni format izdaje in prejema; vgrajena povezava na ponudnike e-poti in omrežje Peppol; avtomatski uvoz prejetih e-računov v likvidacijo</w:t>
            </w:r>
          </w:p>
        </w:tc>
      </w:tr>
      <w:tr>
        <w:tc>
          <w:tcPr>
            <w:tcW w:type="dxa" w:w="22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ZDavP-2 + Pravilnik o zahtevah za računalniške programe</w:t>
            </w:r>
          </w:p>
        </w:tc>
        <w:tc>
          <w:tcPr>
            <w:tcW w:type="dxa" w:w="33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Revizijska sled, prepoved naknadnega spreminjanja izdanih računov, izvoz podatkov v predpisani obliki za davčni nadzor</w:t>
            </w:r>
          </w:p>
        </w:tc>
        <w:tc>
          <w:tcPr>
            <w:tcW w:type="dxa" w:w="38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Nespremenljive knjižbe (storno namesto brisanja), popolna revizijska sled na ravni zapisa, standardiziran izvoz podatkov</w:t>
            </w:r>
          </w:p>
        </w:tc>
      </w:tr>
      <w:tr>
        <w:tc>
          <w:tcPr>
            <w:tcW w:type="dxa" w:w="22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Plačna zakonodaja (ZDoh-2, ZPIZ-2, ZZVZZ, ZDR-1)</w:t>
            </w:r>
          </w:p>
        </w:tc>
        <w:tc>
          <w:tcPr>
            <w:tcW w:type="dxa" w:w="33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Obračun dohodnine, prispevkov, olajšav; REK-O poročanje; minimalna plača; povračila stroškov po Uredbi; evidence delovnega časa</w:t>
            </w:r>
          </w:p>
        </w:tc>
        <w:tc>
          <w:tcPr>
            <w:tcW w:type="dxa" w:w="38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Parametriziran obračun plač z veljavnostjo parametrov; generiranje in oddaja REK-O prek eDavkov; obračun bolniških refundacij (eBOL, eNDM)</w:t>
            </w:r>
          </w:p>
        </w:tc>
      </w:tr>
      <w:tr>
        <w:tc>
          <w:tcPr>
            <w:tcW w:type="dxa" w:w="22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ZVOP-2 / GDPR</w:t>
            </w:r>
          </w:p>
        </w:tc>
        <w:tc>
          <w:tcPr>
            <w:tcW w:type="dxa" w:w="33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Zakonitost obdelave, pravice posameznikov, evidence obdelav, varnost</w:t>
            </w:r>
          </w:p>
        </w:tc>
        <w:tc>
          <w:tcPr>
            <w:tcW w:type="dxa" w:w="38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Šifriranje, psevdonimizacija, upravljanje dostopov, dnevnik dostopov do osebnih podatkov, orodja za izvoz in anonimizacijo</w:t>
            </w:r>
          </w:p>
        </w:tc>
      </w:tr>
      <w:tr>
        <w:tc>
          <w:tcPr>
            <w:tcW w:type="dxa" w:w="22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eIDAS in ZEPEP-1</w:t>
            </w:r>
          </w:p>
        </w:tc>
        <w:tc>
          <w:tcPr>
            <w:tcW w:type="dxa" w:w="33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Elektronski podpisi in žigi, časovni žigi</w:t>
            </w:r>
          </w:p>
        </w:tc>
        <w:tc>
          <w:tcPr>
            <w:tcW w:type="dxa" w:w="38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Podpisovanje dokumentov, kvalificirani podpisi pri e-arhiviranju</w:t>
            </w:r>
          </w:p>
        </w:tc>
      </w:tr>
      <w:tr>
        <w:tc>
          <w:tcPr>
            <w:tcW w:type="dxa" w:w="22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Intrastat, poročanje Banki Slovenije</w:t>
            </w:r>
          </w:p>
        </w:tc>
        <w:tc>
          <w:tcPr>
            <w:tcW w:type="dxa" w:w="33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Statistična poročila o blagovni menjavi z EU; poročila o terjatvah in obveznostih do tujine</w:t>
            </w:r>
          </w:p>
        </w:tc>
        <w:tc>
          <w:tcPr>
            <w:tcW w:type="dxa" w:w="38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Samodejna priprava poročil iz prometnih podatkov za zavezance nad pragovi</w:t>
            </w:r>
          </w:p>
        </w:tc>
      </w:tr>
    </w:tbl>
    <w:p>
      <w:pPr>
        <w:spacing w:after="160"/>
      </w:pPr>
    </w:p>
    <w:p>
      <w:pPr>
        <w:spacing w:after="160" w:line="276"/>
        <w:jc w:val="both"/>
      </w:pPr>
      <w:r>
        <w:rPr>
          <w:rFonts w:ascii="Calibri" w:cs="Calibri" w:eastAsia="Calibri" w:hAnsi="Calibri"/>
          <w:b/>
          <w:bCs/>
          <w:sz w:val="22"/>
          <w:szCs w:val="22"/>
        </w:rPr>
        <w:t xml:space="preserve">Priporočilo: </w:t>
      </w:r>
      <w:r>
        <w:rPr>
          <w:rFonts w:ascii="Calibri" w:cs="Calibri" w:eastAsia="Calibri" w:hAnsi="Calibri"/>
          <w:sz w:val="22"/>
          <w:szCs w:val="22"/>
        </w:rPr>
        <w:t xml:space="preserve">že v fazi analize angažirajte davčnega svetovalca in pooblaščenega revizorja, ki bosta potrdila skladnost specifikacij, ter vzpostavite stalen proces spremljanja zakonodajnih sprememb (Uradni list, FURS, AJPES, ZRS) s ciljno dobo uvedbe spremembe v produkcijo pod 30 dni.</w:t>
      </w:r>
    </w:p>
    <w:p>
      <w:r>
        <w:br w:type="page"/>
      </w:r>
    </w:p>
    <w:p>
      <w:pPr>
        <w:pStyle w:val="Heading1"/>
        <w:spacing w:after="200" w:before="360"/>
      </w:pPr>
      <w:r>
        <w:rPr>
          <w:rFonts w:ascii="Calibri" w:cs="Calibri" w:eastAsia="Calibri" w:hAnsi="Calibri"/>
          <w:b/>
          <w:bCs/>
          <w:color w:val="1F3864"/>
          <w:sz w:val="32"/>
          <w:szCs w:val="32"/>
        </w:rPr>
        <w:t xml:space="preserve">3  Arhitektura sistema</w:t>
      </w:r>
    </w:p>
    <w:p>
      <w:pPr>
        <w:pStyle w:val="Heading2"/>
        <w:spacing w:after="160" w:before="280"/>
      </w:pPr>
      <w:r>
        <w:rPr>
          <w:rFonts w:ascii="Calibri" w:cs="Calibri" w:eastAsia="Calibri" w:hAnsi="Calibri"/>
          <w:b/>
          <w:bCs/>
          <w:color w:val="2E74B5"/>
          <w:sz w:val="26"/>
          <w:szCs w:val="26"/>
        </w:rPr>
        <w:t xml:space="preserve">3.1  Arhitekturni pristop</w:t>
      </w:r>
    </w:p>
    <w:p>
      <w:pPr>
        <w:spacing w:after="160" w:line="276"/>
        <w:jc w:val="both"/>
      </w:pPr>
      <w:r>
        <w:rPr>
          <w:rFonts w:ascii="Calibri" w:cs="Calibri" w:eastAsia="Calibri" w:hAnsi="Calibri"/>
          <w:sz w:val="22"/>
          <w:szCs w:val="22"/>
        </w:rPr>
        <w:t xml:space="preserve">Priporočena je zasnova modularnega monolita z jasno ločenimi domenskimi moduli (bounded contexts), ki komunicirajo prek definiranih vmesnikov in domenskih dogodkov. Ta pristop omogoča bistveno hitrejši razvoj in enostavnejše obratovanje kot mikrostoritve, hkrati pa ohranja možnost kasnejše razčlenitve posameznih modulov (npr. obračun plač ali fiskalizacija) v samostojne storitve, ko to upravičita obseg in obremenitev.</w:t>
      </w:r>
    </w:p>
    <w:p>
      <w:pPr>
        <w:spacing w:after="160" w:line="276"/>
        <w:jc w:val="both"/>
      </w:pPr>
      <w:r>
        <w:rPr>
          <w:rFonts w:ascii="Calibri" w:cs="Calibri" w:eastAsia="Calibri" w:hAnsi="Calibri"/>
          <w:sz w:val="22"/>
          <w:szCs w:val="22"/>
        </w:rPr>
        <w:t xml:space="preserve">Knjigovodsko jedro naj temelji na dogodkovni zasnovi: vsaka poslovna listina in knjižba je nespremenljiv dogodek, popravki pa se izvajajo izključno s storno knjižbami. S tem sta revizijska sled in skladnost s Pravilnikom o zahtevah za računalniške programe vgrajeni v samo arhitekturo, ne dodani naknadno.</w:t>
      </w:r>
    </w:p>
    <w:p>
      <w:pPr>
        <w:pStyle w:val="Heading2"/>
        <w:spacing w:after="160" w:before="280"/>
      </w:pPr>
      <w:r>
        <w:rPr>
          <w:rFonts w:ascii="Calibri" w:cs="Calibri" w:eastAsia="Calibri" w:hAnsi="Calibri"/>
          <w:b/>
          <w:bCs/>
          <w:color w:val="2E74B5"/>
          <w:sz w:val="26"/>
          <w:szCs w:val="26"/>
        </w:rPr>
        <w:t xml:space="preserve">3.2  Tehnološki sklad</w:t>
      </w:r>
    </w:p>
    <w:p>
      <w:pPr>
        <w:spacing w:after="16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3600"/>
        <w:gridCol w:w="3960"/>
      </w:tblGrid>
      <w:tr>
        <w:trPr>
          <w:tblHeader/>
        </w:trPr>
        <w:tc>
          <w:tcPr>
            <w:tcW w:type="dxa" w:w="1800"/>
            <w:shd w:fill="1F3864" w:val="clear"/>
            <w:tcMar>
              <w:top w:type="dxa" w:w="80"/>
              <w:left w:type="dxa" w:w="100"/>
              <w:bottom w:type="dxa" w:w="80"/>
              <w:right w:type="dxa" w:w="100"/>
            </w:tcMar>
          </w:tcPr>
          <w:p>
            <w:pPr>
              <w:spacing w:after="40" w:before="40" w:line="240"/>
            </w:pPr>
            <w:r>
              <w:rPr>
                <w:rFonts w:ascii="Calibri" w:cs="Calibri" w:eastAsia="Calibri" w:hAnsi="Calibri"/>
                <w:b/>
                <w:bCs/>
                <w:color w:val="FFFFFF"/>
                <w:sz w:val="20"/>
                <w:szCs w:val="20"/>
              </w:rPr>
              <w:t xml:space="preserve">Plast</w:t>
            </w:r>
          </w:p>
        </w:tc>
        <w:tc>
          <w:tcPr>
            <w:tcW w:type="dxa" w:w="3600"/>
            <w:shd w:fill="1F3864" w:val="clear"/>
            <w:tcMar>
              <w:top w:type="dxa" w:w="80"/>
              <w:left w:type="dxa" w:w="100"/>
              <w:bottom w:type="dxa" w:w="80"/>
              <w:right w:type="dxa" w:w="100"/>
            </w:tcMar>
          </w:tcPr>
          <w:p>
            <w:pPr>
              <w:spacing w:after="40" w:before="40" w:line="240"/>
            </w:pPr>
            <w:r>
              <w:rPr>
                <w:rFonts w:ascii="Calibri" w:cs="Calibri" w:eastAsia="Calibri" w:hAnsi="Calibri"/>
                <w:b/>
                <w:bCs/>
                <w:color w:val="FFFFFF"/>
                <w:sz w:val="20"/>
                <w:szCs w:val="20"/>
              </w:rPr>
              <w:t xml:space="preserve">Priporočena tehnologija</w:t>
            </w:r>
          </w:p>
        </w:tc>
        <w:tc>
          <w:tcPr>
            <w:tcW w:type="dxa" w:w="3960"/>
            <w:shd w:fill="1F3864" w:val="clear"/>
            <w:tcMar>
              <w:top w:type="dxa" w:w="80"/>
              <w:left w:type="dxa" w:w="100"/>
              <w:bottom w:type="dxa" w:w="80"/>
              <w:right w:type="dxa" w:w="100"/>
            </w:tcMar>
          </w:tcPr>
          <w:p>
            <w:pPr>
              <w:spacing w:after="40" w:before="40" w:line="240"/>
            </w:pPr>
            <w:r>
              <w:rPr>
                <w:rFonts w:ascii="Calibri" w:cs="Calibri" w:eastAsia="Calibri" w:hAnsi="Calibri"/>
                <w:b/>
                <w:bCs/>
                <w:color w:val="FFFFFF"/>
                <w:sz w:val="20"/>
                <w:szCs w:val="20"/>
              </w:rPr>
              <w:t xml:space="preserve">Utemeljitev</w:t>
            </w:r>
          </w:p>
        </w:tc>
      </w:tr>
      <w:tr>
        <w:tc>
          <w:tcPr>
            <w:tcW w:type="dxa" w:w="18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Zaledje (backend)</w:t>
            </w:r>
          </w:p>
        </w:tc>
        <w:tc>
          <w:tcPr>
            <w:tcW w:type="dxa" w:w="36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.NET 8+ (C#) ali JVM (Kotlin/Java, Spring Boot)</w:t>
            </w:r>
          </w:p>
        </w:tc>
        <w:tc>
          <w:tcPr>
            <w:tcW w:type="dxa" w:w="39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Zrela ekosistema za poslovne aplikacije, odlična podpora za natančno decimalno aritmetiko, dolgoročna vzdržljivost, dostopen kader v Sloveniji</w:t>
            </w:r>
          </w:p>
        </w:tc>
      </w:tr>
      <w:tr>
        <w:tc>
          <w:tcPr>
            <w:tcW w:type="dxa" w:w="18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Podatkovna baza</w:t>
            </w:r>
          </w:p>
        </w:tc>
        <w:tc>
          <w:tcPr>
            <w:tcW w:type="dxa" w:w="36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PostgreSQL</w:t>
            </w:r>
          </w:p>
        </w:tc>
        <w:tc>
          <w:tcPr>
            <w:tcW w:type="dxa" w:w="39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Zanesljivost, transakcijska konsistentnost, particioniranje po najemnikih in letih, JSONB za razširljive atribute</w:t>
            </w:r>
          </w:p>
        </w:tc>
      </w:tr>
      <w:tr>
        <w:tc>
          <w:tcPr>
            <w:tcW w:type="dxa" w:w="18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Analitična plast</w:t>
            </w:r>
          </w:p>
        </w:tc>
        <w:tc>
          <w:tcPr>
            <w:tcW w:type="dxa" w:w="36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Ločen bralni model / kolumnarna baza (npr. ClickHouse) ali materializirani pogledi</w:t>
            </w:r>
          </w:p>
        </w:tc>
        <w:tc>
          <w:tcPr>
            <w:tcW w:type="dxa" w:w="39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Poročanje in BI brez vpliva na transakcijsko zmogljivost</w:t>
            </w:r>
          </w:p>
        </w:tc>
      </w:tr>
      <w:tr>
        <w:tc>
          <w:tcPr>
            <w:tcW w:type="dxa" w:w="18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Čelni del (frontend)</w:t>
            </w:r>
          </w:p>
        </w:tc>
        <w:tc>
          <w:tcPr>
            <w:tcW w:type="dxa" w:w="36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React ali Vue (TypeScript), komponentna knjižnica z zasnovo za tablice in mobilne naprave</w:t>
            </w:r>
          </w:p>
        </w:tc>
        <w:tc>
          <w:tcPr>
            <w:tcW w:type="dxa" w:w="39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Hiter razvoj, odzivne maske za masovni vnos, dostopnost (WCAG)</w:t>
            </w:r>
          </w:p>
        </w:tc>
      </w:tr>
      <w:tr>
        <w:tc>
          <w:tcPr>
            <w:tcW w:type="dxa" w:w="18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API</w:t>
            </w:r>
          </w:p>
        </w:tc>
        <w:tc>
          <w:tcPr>
            <w:tcW w:type="dxa" w:w="36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REST + spletne kavlje (webhooks); javno dokumentiran API (OpenAPI)</w:t>
            </w:r>
          </w:p>
        </w:tc>
        <w:tc>
          <w:tcPr>
            <w:tcW w:type="dxa" w:w="39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Odprtost za integracije partnerjev, spletnih trgovin in odjemalcev</w:t>
            </w:r>
          </w:p>
        </w:tc>
      </w:tr>
      <w:tr>
        <w:tc>
          <w:tcPr>
            <w:tcW w:type="dxa" w:w="18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Sporočilna vrsta</w:t>
            </w:r>
          </w:p>
        </w:tc>
        <w:tc>
          <w:tcPr>
            <w:tcW w:type="dxa" w:w="36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RabbitMQ ali Kafka</w:t>
            </w:r>
          </w:p>
        </w:tc>
        <w:tc>
          <w:tcPr>
            <w:tcW w:type="dxa" w:w="39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Asinhrona obdelava e-računov, fiskalizacije, bančnih izpiskov, obvestil</w:t>
            </w:r>
          </w:p>
        </w:tc>
      </w:tr>
      <w:tr>
        <w:tc>
          <w:tcPr>
            <w:tcW w:type="dxa" w:w="18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Infrastruktura</w:t>
            </w:r>
          </w:p>
        </w:tc>
        <w:tc>
          <w:tcPr>
            <w:tcW w:type="dxa" w:w="36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Kubernetes v EU podatkovnem centru ali upravljan oblak z rezidenčnostjo podatkov v EU; IaC (Terraform); CI/CD</w:t>
            </w:r>
          </w:p>
        </w:tc>
        <w:tc>
          <w:tcPr>
            <w:tcW w:type="dxa" w:w="39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Skladnost z GDPR/ZVOP-2, ponovljivost okolij, hitre izdaje</w:t>
            </w:r>
          </w:p>
        </w:tc>
      </w:tr>
      <w:tr>
        <w:tc>
          <w:tcPr>
            <w:tcW w:type="dxa" w:w="18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Opazljivost</w:t>
            </w:r>
          </w:p>
        </w:tc>
        <w:tc>
          <w:tcPr>
            <w:tcW w:type="dxa" w:w="36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Centraliziran nadzor dnevnikov, metrik in sledenja (npr. OpenTelemetry)</w:t>
            </w:r>
          </w:p>
        </w:tc>
        <w:tc>
          <w:tcPr>
            <w:tcW w:type="dxa" w:w="39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SLA nadzor, hitra diagnostika, dokazljivost delovanja</w:t>
            </w:r>
          </w:p>
        </w:tc>
      </w:tr>
    </w:tbl>
    <w:p>
      <w:pPr>
        <w:pStyle w:val="Heading2"/>
        <w:spacing w:after="160" w:before="280"/>
      </w:pPr>
      <w:r>
        <w:rPr>
          <w:rFonts w:ascii="Calibri" w:cs="Calibri" w:eastAsia="Calibri" w:hAnsi="Calibri"/>
          <w:b/>
          <w:bCs/>
          <w:color w:val="2E74B5"/>
          <w:sz w:val="26"/>
          <w:szCs w:val="26"/>
        </w:rPr>
        <w:t xml:space="preserve">3.3  Večnajemništvo in model za računovodske servise</w:t>
      </w:r>
    </w:p>
    <w:p>
      <w:pPr>
        <w:spacing w:after="160" w:line="276"/>
        <w:jc w:val="both"/>
      </w:pPr>
      <w:r>
        <w:rPr>
          <w:rFonts w:ascii="Calibri" w:cs="Calibri" w:eastAsia="Calibri" w:hAnsi="Calibri"/>
          <w:sz w:val="22"/>
          <w:szCs w:val="22"/>
        </w:rPr>
        <w:t xml:space="preserve">Sistem je večnajemniški: en najemnik (tenant) predstavlja naročnika, znotraj njega pa je lahko poljubno število podjetij (pravnih oseb) z ločenimi poslovnimi leti, kontnimi načrti in nastavitvami. Za računovodske servise je predviden nadzorni portal z delom v več podjetjih hkrati, masovnimi opravili (npr. obračun DDV za vse stranke), delegiranjem pravic in ločenim zaračunavanjem. Podatkovna izolacija se zagotavlja na ravni sheme ali vrstic z obveznim najemniškim ključem in avtomatskim filtriranjem na nivoju podatkovnega dostopa.</w:t>
      </w:r>
    </w:p>
    <w:p>
      <w:pPr>
        <w:pStyle w:val="Heading2"/>
        <w:spacing w:after="160" w:before="280"/>
      </w:pPr>
      <w:r>
        <w:rPr>
          <w:rFonts w:ascii="Calibri" w:cs="Calibri" w:eastAsia="Calibri" w:hAnsi="Calibri"/>
          <w:b/>
          <w:bCs/>
          <w:color w:val="2E74B5"/>
          <w:sz w:val="26"/>
          <w:szCs w:val="26"/>
        </w:rPr>
        <w:t xml:space="preserve">3.4  Nespremenljivost, revizijska sled in arhiviranje</w:t>
      </w:r>
    </w:p>
    <w:p>
      <w:pPr>
        <w:spacing w:after="160" w:line="276"/>
        <w:jc w:val="both"/>
      </w:pPr>
      <w:r>
        <w:rPr>
          <w:rFonts w:ascii="Calibri" w:cs="Calibri" w:eastAsia="Calibri" w:hAnsi="Calibri"/>
          <w:sz w:val="22"/>
          <w:szCs w:val="22"/>
        </w:rPr>
        <w:t xml:space="preserve">Vsaka sprememba poslovnega zapisa se beleži z uporabnikom, časom, izvorom in prejšnjo vrednostjo. Izdani računi in potrjene temeljnice so nespremenljivi; dovoljeni so le stornacija in dobropis. Elektronski arhiv listin (prejeti in izdani računi, temeljnice, pogodbe) podpira politike hrambe po ZGD-1 in ZDavP-2, časovno žigosanje ter izvoz v obliki, primerni za davčni nadzor. Smiselna je uskladitev arhiva z zahtevami ZVDAGA za akreditirano e-hrambo oziroma integracija z akreditiranim ponudnikom.</w:t>
      </w:r>
    </w:p>
    <w:p>
      <w:pPr>
        <w:pStyle w:val="Heading2"/>
        <w:spacing w:after="160" w:before="280"/>
      </w:pPr>
      <w:r>
        <w:rPr>
          <w:rFonts w:ascii="Calibri" w:cs="Calibri" w:eastAsia="Calibri" w:hAnsi="Calibri"/>
          <w:b/>
          <w:bCs/>
          <w:color w:val="2E74B5"/>
          <w:sz w:val="26"/>
          <w:szCs w:val="26"/>
        </w:rPr>
        <w:t xml:space="preserve">3.5  Konfigurabilnost pravil</w:t>
      </w:r>
    </w:p>
    <w:p>
      <w:pPr>
        <w:spacing w:after="160" w:line="276"/>
        <w:jc w:val="both"/>
      </w:pPr>
      <w:r>
        <w:rPr>
          <w:rFonts w:ascii="Calibri" w:cs="Calibri" w:eastAsia="Calibri" w:hAnsi="Calibri"/>
          <w:sz w:val="22"/>
          <w:szCs w:val="22"/>
        </w:rPr>
        <w:t xml:space="preserve">Davčne stopnje, prispevki, olajšave, lestvica dohodnine, minimalna plača, obrazci in sheme poročil so shranjeni kot verzionirane konfiguracije z veljavnostjo od–do. Obračuni vedno uporabijo parametre, veljavne na datum poslovnega dogodka, kar omogoča pravilne poračune za nazaj in preglednost sprememb.</w:t>
      </w:r>
    </w:p>
    <w:p>
      <w:pPr>
        <w:pStyle w:val="Heading1"/>
        <w:spacing w:after="200" w:before="360"/>
      </w:pPr>
      <w:r>
        <w:rPr>
          <w:rFonts w:ascii="Calibri" w:cs="Calibri" w:eastAsia="Calibri" w:hAnsi="Calibri"/>
          <w:b/>
          <w:bCs/>
          <w:color w:val="1F3864"/>
          <w:sz w:val="32"/>
          <w:szCs w:val="32"/>
        </w:rPr>
        <w:t xml:space="preserve">4  Podatkovni model knjigovodskega jedra</w:t>
      </w:r>
    </w:p>
    <w:p>
      <w:pPr>
        <w:spacing w:after="160" w:line="276"/>
        <w:jc w:val="both"/>
      </w:pPr>
      <w:r>
        <w:rPr>
          <w:rFonts w:ascii="Calibri" w:cs="Calibri" w:eastAsia="Calibri" w:hAnsi="Calibri"/>
          <w:sz w:val="22"/>
          <w:szCs w:val="22"/>
        </w:rPr>
        <w:t xml:space="preserve">Jedro podatkovnega modela sestavljajo naslednje ključne entitete. Model je poenostavljen prikaz; podrobni ER-diagrami se izdelajo v fazi tehnične specifikacije.</w:t>
      </w:r>
    </w:p>
    <w:p>
      <w:pPr>
        <w:spacing w:after="16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tblHeader/>
        </w:trPr>
        <w:tc>
          <w:tcPr>
            <w:tcW w:type="dxa" w:w="2400"/>
            <w:shd w:fill="1F3864" w:val="clear"/>
            <w:tcMar>
              <w:top w:type="dxa" w:w="80"/>
              <w:left w:type="dxa" w:w="100"/>
              <w:bottom w:type="dxa" w:w="80"/>
              <w:right w:type="dxa" w:w="100"/>
            </w:tcMar>
          </w:tcPr>
          <w:p>
            <w:pPr>
              <w:spacing w:after="40" w:before="40" w:line="240"/>
            </w:pPr>
            <w:r>
              <w:rPr>
                <w:rFonts w:ascii="Calibri" w:cs="Calibri" w:eastAsia="Calibri" w:hAnsi="Calibri"/>
                <w:b/>
                <w:bCs/>
                <w:color w:val="FFFFFF"/>
                <w:sz w:val="20"/>
                <w:szCs w:val="20"/>
              </w:rPr>
              <w:t xml:space="preserve">Entiteta</w:t>
            </w:r>
          </w:p>
        </w:tc>
        <w:tc>
          <w:tcPr>
            <w:tcW w:type="dxa" w:w="6960"/>
            <w:shd w:fill="1F3864" w:val="clear"/>
            <w:tcMar>
              <w:top w:type="dxa" w:w="80"/>
              <w:left w:type="dxa" w:w="100"/>
              <w:bottom w:type="dxa" w:w="80"/>
              <w:right w:type="dxa" w:w="100"/>
            </w:tcMar>
          </w:tcPr>
          <w:p>
            <w:pPr>
              <w:spacing w:after="40" w:before="40" w:line="240"/>
            </w:pPr>
            <w:r>
              <w:rPr>
                <w:rFonts w:ascii="Calibri" w:cs="Calibri" w:eastAsia="Calibri" w:hAnsi="Calibri"/>
                <w:b/>
                <w:bCs/>
                <w:color w:val="FFFFFF"/>
                <w:sz w:val="20"/>
                <w:szCs w:val="20"/>
              </w:rPr>
              <w:t xml:space="preserve">Namen in ključni atributi</w:t>
            </w:r>
          </w:p>
        </w:tc>
      </w:tr>
      <w:tr>
        <w:tc>
          <w:tcPr>
            <w:tcW w:type="dxa" w:w="24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Tenant / Company</w:t>
            </w:r>
          </w:p>
        </w:tc>
        <w:tc>
          <w:tcPr>
            <w:tcW w:type="dxa" w:w="69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Najemnik in podjetje: naziv, davčna in matična številka, zavezanost za DDV, poslovna leta, nastavitve</w:t>
            </w:r>
          </w:p>
        </w:tc>
      </w:tr>
      <w:tr>
        <w:tc>
          <w:tcPr>
            <w:tcW w:type="dxa" w:w="24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Account (konto)</w:t>
            </w:r>
          </w:p>
        </w:tc>
        <w:tc>
          <w:tcPr>
            <w:tcW w:type="dxa" w:w="69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Kontni načrt po SRS: šifra (razred–skupina–konto–analitika), naziv, tip (aktiva/pasiva/stroški/prihodki), pravila (saldakontni, devizni, stroškovno mesto obvezno)</w:t>
            </w:r>
          </w:p>
        </w:tc>
      </w:tr>
      <w:tr>
        <w:tc>
          <w:tcPr>
            <w:tcW w:type="dxa" w:w="24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JournalEntry / JournalLine</w:t>
            </w:r>
          </w:p>
        </w:tc>
        <w:tc>
          <w:tcPr>
            <w:tcW w:type="dxa" w:w="69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Temeljnica in knjižbe: datum listine, datum knjiženja, obdobje, konto, breme/dobro, znesek, valuta, davčna šifra, stroškovno mesto/nosilec, partner, sklic na listino; status (osnutek → potrjena → stornirana)</w:t>
            </w:r>
          </w:p>
        </w:tc>
      </w:tr>
      <w:tr>
        <w:tc>
          <w:tcPr>
            <w:tcW w:type="dxa" w:w="24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Partner</w:t>
            </w:r>
          </w:p>
        </w:tc>
        <w:tc>
          <w:tcPr>
            <w:tcW w:type="dxa" w:w="69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Kupci in dobavitelji: identifikatorji (davčna št., matična št., GLN), naslovi, TRR-ji, plačilni pogoji, e-naslov za e-račune, bonitetni podatki</w:t>
            </w:r>
          </w:p>
        </w:tc>
      </w:tr>
      <w:tr>
        <w:tc>
          <w:tcPr>
            <w:tcW w:type="dxa" w:w="24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Invoice (izdani/prejeti)</w:t>
            </w:r>
          </w:p>
        </w:tc>
        <w:tc>
          <w:tcPr>
            <w:tcW w:type="dxa" w:w="69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Glava in postavke računa, davčna rekapitulacija po stopnjah, povezava na e-SLOG XML, status fiskalizacije (EOR, ZOI), status izmenjave in likvidacije</w:t>
            </w:r>
          </w:p>
        </w:tc>
      </w:tr>
      <w:tr>
        <w:tc>
          <w:tcPr>
            <w:tcW w:type="dxa" w:w="24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VatRecord</w:t>
            </w:r>
          </w:p>
        </w:tc>
        <w:tc>
          <w:tcPr>
            <w:tcW w:type="dxa" w:w="69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Zapis za DDV evidence: obdobje, tip (izdani/prejeti/uvoz/pridobitev), osnove in zneski po stopnjah, odbitni delež, vezava na DDV-O polja</w:t>
            </w:r>
          </w:p>
        </w:tc>
      </w:tr>
      <w:tr>
        <w:tc>
          <w:tcPr>
            <w:tcW w:type="dxa" w:w="24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OpenItem (odprta postavka)</w:t>
            </w:r>
          </w:p>
        </w:tc>
        <w:tc>
          <w:tcPr>
            <w:tcW w:type="dxa" w:w="69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Saldakontna postavka: partner, listina, valuta zapadlosti, znesek, delna zapiranja, povezave na plačila in kompenzacije</w:t>
            </w:r>
          </w:p>
        </w:tc>
      </w:tr>
      <w:tr>
        <w:tc>
          <w:tcPr>
            <w:tcW w:type="dxa" w:w="24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BankStatement / Payment</w:t>
            </w:r>
          </w:p>
        </w:tc>
        <w:tc>
          <w:tcPr>
            <w:tcW w:type="dxa" w:w="69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Bančni izpisek (camt.053) s postavkami, plačilni nalogi (pain.001), pravila avtomatskega zapiranja</w:t>
            </w:r>
          </w:p>
        </w:tc>
      </w:tr>
      <w:tr>
        <w:tc>
          <w:tcPr>
            <w:tcW w:type="dxa" w:w="24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Asset (osnovno sredstvo)</w:t>
            </w:r>
          </w:p>
        </w:tc>
        <w:tc>
          <w:tcPr>
            <w:tcW w:type="dxa" w:w="69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Register OS: nabavna vrednost, amortizacijska skupina in stopnja (poslovna in davčna), lokacija, listine, dogodki (aktiviranje, okrepitev, oslabitev, odtujitev)</w:t>
            </w:r>
          </w:p>
        </w:tc>
      </w:tr>
      <w:tr>
        <w:tc>
          <w:tcPr>
            <w:tcW w:type="dxa" w:w="24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Item / StockMove</w:t>
            </w:r>
          </w:p>
        </w:tc>
        <w:tc>
          <w:tcPr>
            <w:tcW w:type="dxa" w:w="69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Artikel in zaloge: šifranti, enote mere, serije/loti, metode vrednotenja (FIFO, povprečne cene), skladiščni prometi</w:t>
            </w:r>
          </w:p>
        </w:tc>
      </w:tr>
      <w:tr>
        <w:tc>
          <w:tcPr>
            <w:tcW w:type="dxa" w:w="24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Employee / Payroll</w:t>
            </w:r>
          </w:p>
        </w:tc>
        <w:tc>
          <w:tcPr>
            <w:tcW w:type="dxa" w:w="69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Kadrovski podatki, pogodbe, plačni parametri, obračuni plač s postavkami, REK-O vsebine (ločen, strožje varovan modul)</w:t>
            </w:r>
          </w:p>
        </w:tc>
      </w:tr>
      <w:tr>
        <w:tc>
          <w:tcPr>
            <w:tcW w:type="dxa" w:w="24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AuditLog</w:t>
            </w:r>
          </w:p>
        </w:tc>
        <w:tc>
          <w:tcPr>
            <w:tcW w:type="dxa" w:w="69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Revizijska sled: kdo, kdaj, kaj, prejšnja in nova vrednost, izvor (uporabniški vmesnik, API, integracija)</w:t>
            </w:r>
          </w:p>
        </w:tc>
      </w:tr>
    </w:tbl>
    <w:p>
      <w:pPr>
        <w:spacing w:after="160"/>
      </w:pPr>
    </w:p>
    <w:p>
      <w:pPr>
        <w:spacing w:after="160" w:line="276"/>
        <w:jc w:val="both"/>
      </w:pPr>
      <w:r>
        <w:rPr>
          <w:rFonts w:ascii="Calibri" w:cs="Calibri" w:eastAsia="Calibri" w:hAnsi="Calibri"/>
          <w:sz w:val="22"/>
          <w:szCs w:val="22"/>
        </w:rPr>
        <w:t xml:space="preserve">Vsi denarni zneski se hranijo kot natančne decimalne vrednosti (nikoli plavajoča vejica) z valuto; večvalutno poslovanje uporablja tečajnico Banke Slovenije oziroma ECB s samodejnim dnevnim uvozom in izračunom tečajnih razlik.</w:t>
      </w:r>
    </w:p>
    <w:p>
      <w:r>
        <w:br w:type="page"/>
      </w:r>
    </w:p>
    <w:p>
      <w:pPr>
        <w:pStyle w:val="Heading1"/>
        <w:spacing w:after="200" w:before="360"/>
      </w:pPr>
      <w:r>
        <w:rPr>
          <w:rFonts w:ascii="Calibri" w:cs="Calibri" w:eastAsia="Calibri" w:hAnsi="Calibri"/>
          <w:b/>
          <w:bCs/>
          <w:color w:val="1F3864"/>
          <w:sz w:val="32"/>
          <w:szCs w:val="32"/>
        </w:rPr>
        <w:t xml:space="preserve">5  Funkcionalne specifikacije modulov</w:t>
      </w:r>
    </w:p>
    <w:p>
      <w:pPr>
        <w:pStyle w:val="Heading2"/>
        <w:spacing w:after="160" w:before="280"/>
      </w:pPr>
      <w:r>
        <w:rPr>
          <w:rFonts w:ascii="Calibri" w:cs="Calibri" w:eastAsia="Calibri" w:hAnsi="Calibri"/>
          <w:b/>
          <w:bCs/>
          <w:color w:val="2E74B5"/>
          <w:sz w:val="26"/>
          <w:szCs w:val="26"/>
        </w:rPr>
        <w:t xml:space="preserve">5.1  Glavna knjiga</w:t>
      </w:r>
    </w:p>
    <w:p>
      <w:pPr>
        <w:spacing w:after="160" w:line="276"/>
        <w:jc w:val="both"/>
      </w:pPr>
      <w:r>
        <w:rPr>
          <w:rFonts w:ascii="Calibri" w:cs="Calibri" w:eastAsia="Calibri" w:hAnsi="Calibri"/>
          <w:sz w:val="22"/>
          <w:szCs w:val="22"/>
        </w:rPr>
        <w:t xml:space="preserve">Glavna knjiga je temelj sistema. Vključuje: kontni načrt s predlogo po priporočenem enotnem kontnem načrtu in možnostjo prilagoditev po podjetjih; ročni in avtomatski vnos temeljnic s predlogami in razdelilniki; večdimenzijsko analitiko (stroškovna mesta, stroškovni nosilci, projekti, oddelki); kontrole ob knjiženju (uravnoteženost, odprto obdobje, obveznost analitik, saldakontnost); zapiranje obdobij in poslovnega leta z avtomatskim prenosom razredov 4 in 7 prek razreda 8 ter otvoritvenimi knjižbami; bruto bilanco, dnevnik, kartice kontov s poljubnimi filtri in izvozi; pripravo bilance stanja in izkaza poslovnega izida po shemah AJPES z ročnimi prilagoditvami in oddajo letnega poročila.</w:t>
      </w:r>
    </w:p>
    <w:p>
      <w:pPr>
        <w:pStyle w:val="Heading2"/>
        <w:spacing w:after="160" w:before="280"/>
      </w:pPr>
      <w:r>
        <w:rPr>
          <w:rFonts w:ascii="Calibri" w:cs="Calibri" w:eastAsia="Calibri" w:hAnsi="Calibri"/>
          <w:b/>
          <w:bCs/>
          <w:color w:val="2E74B5"/>
          <w:sz w:val="26"/>
          <w:szCs w:val="26"/>
        </w:rPr>
        <w:t xml:space="preserve">5.2  Saldakonti in izterjava</w:t>
      </w:r>
    </w:p>
    <w:p>
      <w:pPr>
        <w:spacing w:after="160" w:line="276"/>
        <w:jc w:val="both"/>
      </w:pPr>
      <w:r>
        <w:rPr>
          <w:rFonts w:ascii="Calibri" w:cs="Calibri" w:eastAsia="Calibri" w:hAnsi="Calibri"/>
          <w:sz w:val="22"/>
          <w:szCs w:val="22"/>
        </w:rPr>
        <w:t xml:space="preserve">Analitična evidenca terjatev in obveznosti po partnerjih: odprte postavke z valutami zapadlosti, delna in množična zapiranja, samodejno zapiranje ob uvozu bančnih izpiskov po sklicih in zneskih, IOP obrazci (izpis odprtih postavk) z e-pošiljanjem, večstopenjski opomini z nastavljivimi predlogami, obračun zamudnih obresti po zakonski ali pogodbeni stopnji, medsebojne, verižne in asignacijske kompenzacije (vključno z obvezno večstranski pobot prek AJPES), predlogi za e-izvršbo ter starostna struktura terjatev in obveznosti za poročanje in oslabitve.</w:t>
      </w:r>
    </w:p>
    <w:p>
      <w:pPr>
        <w:pStyle w:val="Heading2"/>
        <w:spacing w:after="160" w:before="280"/>
      </w:pPr>
      <w:r>
        <w:rPr>
          <w:rFonts w:ascii="Calibri" w:cs="Calibri" w:eastAsia="Calibri" w:hAnsi="Calibri"/>
          <w:b/>
          <w:bCs/>
          <w:color w:val="2E74B5"/>
          <w:sz w:val="26"/>
          <w:szCs w:val="26"/>
        </w:rPr>
        <w:t xml:space="preserve">5.3  Fakturiranje in e-računi</w:t>
      </w:r>
    </w:p>
    <w:p>
      <w:pPr>
        <w:spacing w:after="160" w:line="276"/>
        <w:jc w:val="both"/>
      </w:pPr>
      <w:r>
        <w:rPr>
          <w:rFonts w:ascii="Calibri" w:cs="Calibri" w:eastAsia="Calibri" w:hAnsi="Calibri"/>
          <w:sz w:val="22"/>
          <w:szCs w:val="22"/>
        </w:rPr>
        <w:t xml:space="preserve">Izdaja računov, predračunov, avansnih računov, dobropisov in bremepisov z vsemi obveznimi sestavinami po ZDDV-1 in ZGD-1. Vsak izdani račun se ob potrditvi zapiše nespremenljivo, generira se e-SLOG 2.0 XML z vizualizacijo PDF. Izmenjava poteka prek integriranih ponudnikov e-poti in omrežja Peppol; za proračunske uporabnike prek UJPnet. Prejeti e-računi se avtomatsko uvozijo, validirajo, opremijo s predlogom kontiranja in pošljejo v nastavljiv potrjevalni (likvidacijski) tok z delegiranjem in namestništvi. Sistem podpira ponavljajoče se račune (naročnine), množično fakturiranje, tuje valute in jezikovne različice listin. Do konca leta 2027 mora biti modul polno pripravljen na obveznosti po ZIERDED.</w:t>
      </w:r>
    </w:p>
    <w:p>
      <w:pPr>
        <w:pStyle w:val="Heading2"/>
        <w:spacing w:after="160" w:before="280"/>
      </w:pPr>
      <w:r>
        <w:rPr>
          <w:rFonts w:ascii="Calibri" w:cs="Calibri" w:eastAsia="Calibri" w:hAnsi="Calibri"/>
          <w:b/>
          <w:bCs/>
          <w:color w:val="2E74B5"/>
          <w:sz w:val="26"/>
          <w:szCs w:val="26"/>
        </w:rPr>
        <w:t xml:space="preserve">5.4  Davek na dodano vrednost</w:t>
      </w:r>
    </w:p>
    <w:p>
      <w:pPr>
        <w:spacing w:after="160" w:line="276"/>
        <w:jc w:val="both"/>
      </w:pPr>
      <w:r>
        <w:rPr>
          <w:rFonts w:ascii="Calibri" w:cs="Calibri" w:eastAsia="Calibri" w:hAnsi="Calibri"/>
          <w:sz w:val="22"/>
          <w:szCs w:val="22"/>
        </w:rPr>
        <w:t xml:space="preserve">Davčne šifre, vezane na polja obrazca DDV-O, se pripisujejo samodejno iz šifrantov artiklov, partnerjev in kontov. Modul vodi knjigi izdanih in prejetih računov, obračuna DDV-O z vsemi kontrolami (navzkrižna kontrola z glavno knjigo), rekapitulacijsko poročilo RP-O za dobave v EU, poročilo o dobavah po 76.a členu, samoobdavčitev pri pridobitvah in uvozu (postopek 42), odbitni delež ter posebne ureditve (OSS za e-trgovino, obrnjena obveznost v gradbeništvu). Vsi obračuni se elektronsko oddajo v eDavke; sistem hrani oddane dokumente in potrdila.</w:t>
      </w:r>
    </w:p>
    <w:p>
      <w:pPr>
        <w:pStyle w:val="Heading2"/>
        <w:spacing w:after="160" w:before="280"/>
      </w:pPr>
      <w:r>
        <w:rPr>
          <w:rFonts w:ascii="Calibri" w:cs="Calibri" w:eastAsia="Calibri" w:hAnsi="Calibri"/>
          <w:b/>
          <w:bCs/>
          <w:color w:val="2E74B5"/>
          <w:sz w:val="26"/>
          <w:szCs w:val="26"/>
        </w:rPr>
        <w:t xml:space="preserve">5.5  Banka in plačilni promet</w:t>
      </w:r>
    </w:p>
    <w:p>
      <w:pPr>
        <w:spacing w:after="160" w:line="276"/>
        <w:jc w:val="both"/>
      </w:pPr>
      <w:r>
        <w:rPr>
          <w:rFonts w:ascii="Calibri" w:cs="Calibri" w:eastAsia="Calibri" w:hAnsi="Calibri"/>
          <w:sz w:val="22"/>
          <w:szCs w:val="22"/>
        </w:rPr>
        <w:t xml:space="preserve">Uvoz izpiskov v formatu ISO 20022 (camt.053) in prek neposrednih bančnih povezav (Halcom, API-ji bank), pravila samodejnega prepoznavanja in zapiranja postavk (sklic SI/RF, IBAN, znesek, partner), priprava SEPA plačilnih nalogov (pain.001) iz likvidiranih prejetih računov, plačilne datoteke za plače s ščitenjem podatkov, upravljanje trajnikov (SDD) za naročniške modele ter denarni tok in projekcija likvidnosti iz zapadlosti odprtih postavk in ponavljajočih se obveznosti.</w:t>
      </w:r>
    </w:p>
    <w:p>
      <w:pPr>
        <w:pStyle w:val="Heading2"/>
        <w:spacing w:after="160" w:before="280"/>
      </w:pPr>
      <w:r>
        <w:rPr>
          <w:rFonts w:ascii="Calibri" w:cs="Calibri" w:eastAsia="Calibri" w:hAnsi="Calibri"/>
          <w:b/>
          <w:bCs/>
          <w:color w:val="2E74B5"/>
          <w:sz w:val="26"/>
          <w:szCs w:val="26"/>
        </w:rPr>
        <w:t xml:space="preserve">5.6  Osnovna sredstva</w:t>
      </w:r>
    </w:p>
    <w:p>
      <w:pPr>
        <w:spacing w:after="160" w:line="276"/>
        <w:jc w:val="both"/>
      </w:pPr>
      <w:r>
        <w:rPr>
          <w:rFonts w:ascii="Calibri" w:cs="Calibri" w:eastAsia="Calibri" w:hAnsi="Calibri"/>
          <w:sz w:val="22"/>
          <w:szCs w:val="22"/>
        </w:rPr>
        <w:t xml:space="preserve">Register osnovnih sredstev in neopredmetenih sredstev z ločenim obračunom poslovne amortizacije po SRS in davčno priznane amortizacije po ZDDPO-2 (najvišje letne stopnje), amortizacijski načrti, aktiviranje iz prejetih računov ali investicij v teku, okrepitve, oslabitve, prenosi med lokacijami in nahajališči, odtujitve in izločitve z avtomatskimi knjižbami, letni popis s podporo črtnim kodam/QR ter drobni inventar.</w:t>
      </w:r>
    </w:p>
    <w:p>
      <w:pPr>
        <w:pStyle w:val="Heading2"/>
        <w:spacing w:after="160" w:before="280"/>
      </w:pPr>
      <w:r>
        <w:rPr>
          <w:rFonts w:ascii="Calibri" w:cs="Calibri" w:eastAsia="Calibri" w:hAnsi="Calibri"/>
          <w:b/>
          <w:bCs/>
          <w:color w:val="2E74B5"/>
          <w:sz w:val="26"/>
          <w:szCs w:val="26"/>
        </w:rPr>
        <w:t xml:space="preserve">5.7  Zaloge in materialno poslovanje</w:t>
      </w:r>
    </w:p>
    <w:p>
      <w:pPr>
        <w:spacing w:after="160" w:line="276"/>
        <w:jc w:val="both"/>
      </w:pPr>
      <w:r>
        <w:rPr>
          <w:rFonts w:ascii="Calibri" w:cs="Calibri" w:eastAsia="Calibri" w:hAnsi="Calibri"/>
          <w:sz w:val="22"/>
          <w:szCs w:val="22"/>
        </w:rPr>
        <w:t xml:space="preserve">Šifranti artiklov z enotami mere, pretvorniki, serijami in roki uporabe; skladišča in lokacije; prevzemi, izdaje, medskladiščni prenosi, inventure z usklajevanjem; vrednotenje zalog po metodi FIFO ali povprečnih cen (skladno s SRS); povezava vrednosti zalog z glavno knjigo (razreda 3 in 6); obračun nabavne vrednosti z odvisnimi stroški; normativi in razknjiževanje pri proizvodnji oziroma prodaji.</w:t>
      </w:r>
    </w:p>
    <w:p>
      <w:pPr>
        <w:pStyle w:val="Heading2"/>
        <w:spacing w:after="160" w:before="280"/>
      </w:pPr>
      <w:r>
        <w:rPr>
          <w:rFonts w:ascii="Calibri" w:cs="Calibri" w:eastAsia="Calibri" w:hAnsi="Calibri"/>
          <w:b/>
          <w:bCs/>
          <w:color w:val="2E74B5"/>
          <w:sz w:val="26"/>
          <w:szCs w:val="26"/>
        </w:rPr>
        <w:t xml:space="preserve">5.8  Plače in kadrovska evidenca</w:t>
      </w:r>
    </w:p>
    <w:p>
      <w:pPr>
        <w:spacing w:after="160" w:line="276"/>
        <w:jc w:val="both"/>
      </w:pPr>
      <w:r>
        <w:rPr>
          <w:rFonts w:ascii="Calibri" w:cs="Calibri" w:eastAsia="Calibri" w:hAnsi="Calibri"/>
          <w:sz w:val="22"/>
          <w:szCs w:val="22"/>
        </w:rPr>
        <w:t xml:space="preserve">Najzahtevnejši modul zaradi pogostih zakonodajnih sprememb. Obsega: kadrovsko evidenco s pogodbami, aneksi in dokumenti; evidenco delovnega časa (skladno z ZEPDSV-A) z registracijo prisotnosti ali uvozom; parametriziran obračun plač (bruto–neto, dohodninska lestvica, splošna in dodatne olajšave, prispevki delojemalca in delodajalca, bonitete, jubilejne nagrade, odpravnine, regres); nadomestila in refundacije (eBOL prevzem bolniških listov, zahtevki eNDM do ZZZS); povračila stroškov po Uredbi (prehrana, prevoz, službene poti s potnimi nalogi); obračune za druge oblike dela (podjemne in avtorske pogodbe, najemnine, dividende); generiranje in elektronsko oddajo REK-O obrazcev prek eDavkov; plačilne liste z varno e-dostavo; M4/ISPAP oziroma veljavna pokojninska poročanja ter obračun premij prostovoljnega dodatnega pokojninskega zavarovanja. Zaradi tveganja je smiselno razmisliti tudi o prehodni integraciji z uveljavljeno plačno rešitvijo, dokler lastni modul ne doseže zrelosti.</w:t>
      </w:r>
    </w:p>
    <w:p>
      <w:pPr>
        <w:pStyle w:val="Heading2"/>
        <w:spacing w:after="160" w:before="280"/>
      </w:pPr>
      <w:r>
        <w:rPr>
          <w:rFonts w:ascii="Calibri" w:cs="Calibri" w:eastAsia="Calibri" w:hAnsi="Calibri"/>
          <w:b/>
          <w:bCs/>
          <w:color w:val="2E74B5"/>
          <w:sz w:val="26"/>
          <w:szCs w:val="26"/>
        </w:rPr>
        <w:t xml:space="preserve">5.9  Maloprodaja in fiskalizacija (POS)</w:t>
      </w:r>
    </w:p>
    <w:p>
      <w:pPr>
        <w:spacing w:after="160" w:line="276"/>
        <w:jc w:val="both"/>
      </w:pPr>
      <w:r>
        <w:rPr>
          <w:rFonts w:ascii="Calibri" w:cs="Calibri" w:eastAsia="Calibri" w:hAnsi="Calibri"/>
          <w:sz w:val="22"/>
          <w:szCs w:val="22"/>
        </w:rPr>
        <w:t xml:space="preserve">Blagajniško poslovanje za gotovinske zavezance: izdaja računov z EOR in ZOI po ZDavPR, namensko digitalno potrdilo FURS, vezana knjiga računov ob izpadih z naknadno potrditvijo v 48 urah, interni akt o poslovnih prostorih, dnevni zaključki, povezava z zalogami in glavno knjigo, podpora plačilnim terminalom in darilnim bonom. Modul je relevanten za segmente trgovine, gostinstva in storitev; če ti segmenti niso ciljni, se lahko uvrsti v kasnejšo fazo.</w:t>
      </w:r>
    </w:p>
    <w:p>
      <w:pPr>
        <w:pStyle w:val="Heading2"/>
        <w:spacing w:after="160" w:before="280"/>
      </w:pPr>
      <w:r>
        <w:rPr>
          <w:rFonts w:ascii="Calibri" w:cs="Calibri" w:eastAsia="Calibri" w:hAnsi="Calibri"/>
          <w:b/>
          <w:bCs/>
          <w:color w:val="2E74B5"/>
          <w:sz w:val="26"/>
          <w:szCs w:val="26"/>
        </w:rPr>
        <w:t xml:space="preserve">5.10  Nabava in prodaja</w:t>
      </w:r>
    </w:p>
    <w:p>
      <w:pPr>
        <w:spacing w:after="160" w:line="276"/>
        <w:jc w:val="both"/>
      </w:pPr>
      <w:r>
        <w:rPr>
          <w:rFonts w:ascii="Calibri" w:cs="Calibri" w:eastAsia="Calibri" w:hAnsi="Calibri"/>
          <w:sz w:val="22"/>
          <w:szCs w:val="22"/>
        </w:rPr>
        <w:t xml:space="preserve">Celoten dokumentni tok: povpraševanja, ponudbe, naročila kupcev in dobaviteljem, dobavnice in prevzemnice z avtomatskim prehodom v račune, cenike in rabatne politike po partnerjih in količinah, nadzor nabavnih cen ob prevzemu, delne dobave in povratnice ter povezavo s CRM funkcionalnostmi (priložnosti, aktivnosti, segmentacija).</w:t>
      </w:r>
    </w:p>
    <w:p>
      <w:pPr>
        <w:pStyle w:val="Heading2"/>
        <w:spacing w:after="160" w:before="280"/>
      </w:pPr>
      <w:r>
        <w:rPr>
          <w:rFonts w:ascii="Calibri" w:cs="Calibri" w:eastAsia="Calibri" w:hAnsi="Calibri"/>
          <w:b/>
          <w:bCs/>
          <w:color w:val="2E74B5"/>
          <w:sz w:val="26"/>
          <w:szCs w:val="26"/>
        </w:rPr>
        <w:t xml:space="preserve">5.11  Proizvodnja (opcijsko, faza 3)</w:t>
      </w:r>
    </w:p>
    <w:p>
      <w:pPr>
        <w:spacing w:after="160" w:line="276"/>
        <w:jc w:val="both"/>
      </w:pPr>
      <w:r>
        <w:rPr>
          <w:rFonts w:ascii="Calibri" w:cs="Calibri" w:eastAsia="Calibri" w:hAnsi="Calibri"/>
          <w:sz w:val="22"/>
          <w:szCs w:val="22"/>
        </w:rPr>
        <w:t xml:space="preserve">Kosovnice in tehnološki postopki, delovni nalogi z razknjiževanjem materiala po normativih, spremljanje dela in strojnih ur, kalkulacije proizvodne cene (material, delo, splošni stroški), nedokončana proizvodnja in prenos v zaloge proizvodov, enostavno planiranje potreb po materialu (MRP).</w:t>
      </w:r>
    </w:p>
    <w:p>
      <w:pPr>
        <w:pStyle w:val="Heading2"/>
        <w:spacing w:after="160" w:before="280"/>
      </w:pPr>
      <w:r>
        <w:rPr>
          <w:rFonts w:ascii="Calibri" w:cs="Calibri" w:eastAsia="Calibri" w:hAnsi="Calibri"/>
          <w:b/>
          <w:bCs/>
          <w:color w:val="2E74B5"/>
          <w:sz w:val="26"/>
          <w:szCs w:val="26"/>
        </w:rPr>
        <w:t xml:space="preserve">5.12  Poročanje, analitika in davek od dohodkov</w:t>
      </w:r>
    </w:p>
    <w:p>
      <w:pPr>
        <w:spacing w:after="160" w:line="276"/>
        <w:jc w:val="both"/>
      </w:pPr>
      <w:r>
        <w:rPr>
          <w:rFonts w:ascii="Calibri" w:cs="Calibri" w:eastAsia="Calibri" w:hAnsi="Calibri"/>
          <w:sz w:val="22"/>
          <w:szCs w:val="22"/>
        </w:rPr>
        <w:t xml:space="preserve">Vgrajena poročila (bruto bilanca, kartice, saldakonti, DDV, plače, zaloge, OS) z izvozi v Excel in PDF; nadzorne plošče s ključnimi kazalniki (prihodki, stroški, denarni tok, zapadle terjatve); priprava podatkov za obračun davka od dohodkov pravnih oseb (DDPO) in davčni obračun zasebnikov (DohDej) s prilagoditvami davčno nepriznanih odhodkov; konsolidacijski izkazi za skupine; izvoz podatkov za revizorje in davčni nadzor v standardizirani obliki.</w:t>
      </w:r>
    </w:p>
    <w:p>
      <w:pPr>
        <w:pStyle w:val="Heading2"/>
        <w:spacing w:after="160" w:before="280"/>
      </w:pPr>
      <w:r>
        <w:rPr>
          <w:rFonts w:ascii="Calibri" w:cs="Calibri" w:eastAsia="Calibri" w:hAnsi="Calibri"/>
          <w:b/>
          <w:bCs/>
          <w:color w:val="2E74B5"/>
          <w:sz w:val="26"/>
          <w:szCs w:val="26"/>
        </w:rPr>
        <w:t xml:space="preserve">5.13  Funkcionalnosti umetne inteligence</w:t>
      </w:r>
    </w:p>
    <w:p>
      <w:pPr>
        <w:spacing w:after="160" w:line="276"/>
        <w:jc w:val="both"/>
      </w:pPr>
      <w:r>
        <w:rPr>
          <w:rFonts w:ascii="Calibri" w:cs="Calibri" w:eastAsia="Calibri" w:hAnsi="Calibri"/>
          <w:sz w:val="22"/>
          <w:szCs w:val="22"/>
        </w:rPr>
        <w:t xml:space="preserve">Diferenciacijske funkcije: samodejno prepoznavanje in kontiranje prejetih računov (kombinacija strukturiranih e-računov in OCR za preostale listine) s predlogi kontov, stroškovnih mest in DDV šifer na podlagi zgodovine; zaznavanje anomalij in dvojnikov; pametno zapiranje bančnih postavk; napoved denarnega toka; pogovorni asistent za poizvedbe v naravnem jeziku (npr. »pokaži neplačane račune kupca X nad 1.000 EUR«) z obveznim spoštovanjem pravic dostopa; predlogi knjižb ob zaključku obdobja (razmejitve, rezervacije). Vse AI predloge zahtevajo človeško potrditev; sistem beleži stopnjo sprejetosti predlogov za nenehno izboljševanje.</w:t>
      </w:r>
    </w:p>
    <w:p>
      <w:r>
        <w:br w:type="page"/>
      </w:r>
    </w:p>
    <w:p>
      <w:pPr>
        <w:pStyle w:val="Heading1"/>
        <w:spacing w:after="200" w:before="360"/>
      </w:pPr>
      <w:r>
        <w:rPr>
          <w:rFonts w:ascii="Calibri" w:cs="Calibri" w:eastAsia="Calibri" w:hAnsi="Calibri"/>
          <w:b/>
          <w:bCs/>
          <w:color w:val="1F3864"/>
          <w:sz w:val="32"/>
          <w:szCs w:val="32"/>
        </w:rPr>
        <w:t xml:space="preserve">6  Integracije z zunanjimi sistemi</w:t>
      </w:r>
    </w:p>
    <w:p>
      <w:pPr>
        <w:spacing w:after="16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900"/>
        <w:gridCol w:w="4060"/>
      </w:tblGrid>
      <w:tr>
        <w:trPr>
          <w:tblHeader/>
        </w:trPr>
        <w:tc>
          <w:tcPr>
            <w:tcW w:type="dxa" w:w="2400"/>
            <w:shd w:fill="1F3864" w:val="clear"/>
            <w:tcMar>
              <w:top w:type="dxa" w:w="80"/>
              <w:left w:type="dxa" w:w="100"/>
              <w:bottom w:type="dxa" w:w="80"/>
              <w:right w:type="dxa" w:w="100"/>
            </w:tcMar>
          </w:tcPr>
          <w:p>
            <w:pPr>
              <w:spacing w:after="40" w:before="40" w:line="240"/>
            </w:pPr>
            <w:r>
              <w:rPr>
                <w:rFonts w:ascii="Calibri" w:cs="Calibri" w:eastAsia="Calibri" w:hAnsi="Calibri"/>
                <w:b/>
                <w:bCs/>
                <w:color w:val="FFFFFF"/>
                <w:sz w:val="20"/>
                <w:szCs w:val="20"/>
              </w:rPr>
              <w:t xml:space="preserve">Sistem</w:t>
            </w:r>
          </w:p>
        </w:tc>
        <w:tc>
          <w:tcPr>
            <w:tcW w:type="dxa" w:w="2900"/>
            <w:shd w:fill="1F3864" w:val="clear"/>
            <w:tcMar>
              <w:top w:type="dxa" w:w="80"/>
              <w:left w:type="dxa" w:w="100"/>
              <w:bottom w:type="dxa" w:w="80"/>
              <w:right w:type="dxa" w:w="100"/>
            </w:tcMar>
          </w:tcPr>
          <w:p>
            <w:pPr>
              <w:spacing w:after="40" w:before="40" w:line="240"/>
            </w:pPr>
            <w:r>
              <w:rPr>
                <w:rFonts w:ascii="Calibri" w:cs="Calibri" w:eastAsia="Calibri" w:hAnsi="Calibri"/>
                <w:b/>
                <w:bCs/>
                <w:color w:val="FFFFFF"/>
                <w:sz w:val="20"/>
                <w:szCs w:val="20"/>
              </w:rPr>
              <w:t xml:space="preserve">Protokol / format</w:t>
            </w:r>
          </w:p>
        </w:tc>
        <w:tc>
          <w:tcPr>
            <w:tcW w:type="dxa" w:w="4060"/>
            <w:shd w:fill="1F3864" w:val="clear"/>
            <w:tcMar>
              <w:top w:type="dxa" w:w="80"/>
              <w:left w:type="dxa" w:w="100"/>
              <w:bottom w:type="dxa" w:w="80"/>
              <w:right w:type="dxa" w:w="100"/>
            </w:tcMar>
          </w:tcPr>
          <w:p>
            <w:pPr>
              <w:spacing w:after="40" w:before="40" w:line="240"/>
            </w:pPr>
            <w:r>
              <w:rPr>
                <w:rFonts w:ascii="Calibri" w:cs="Calibri" w:eastAsia="Calibri" w:hAnsi="Calibri"/>
                <w:b/>
                <w:bCs/>
                <w:color w:val="FFFFFF"/>
                <w:sz w:val="20"/>
                <w:szCs w:val="20"/>
              </w:rPr>
              <w:t xml:space="preserve">Namen</w:t>
            </w:r>
          </w:p>
        </w:tc>
      </w:tr>
      <w:tr>
        <w:tc>
          <w:tcPr>
            <w:tcW w:type="dxa" w:w="24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eDavki (FURS)</w:t>
            </w:r>
          </w:p>
        </w:tc>
        <w:tc>
          <w:tcPr>
            <w:tcW w:type="dxa" w:w="29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Spletne storitve, XML sheme obrazcev</w:t>
            </w:r>
          </w:p>
        </w:tc>
        <w:tc>
          <w:tcPr>
            <w:tcW w:type="dxa" w:w="40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Oddaja DDV-O, RP-O, REK-O, DDPO, DohDej in drugih obračunov s potrdili o oddaji</w:t>
            </w:r>
          </w:p>
        </w:tc>
      </w:tr>
      <w:tr>
        <w:tc>
          <w:tcPr>
            <w:tcW w:type="dxa" w:w="24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FURS fiskalizacija</w:t>
            </w:r>
          </w:p>
        </w:tc>
        <w:tc>
          <w:tcPr>
            <w:tcW w:type="dxa" w:w="29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SOAP/TLS, namensko digitalno potrdilo</w:t>
            </w:r>
          </w:p>
        </w:tc>
        <w:tc>
          <w:tcPr>
            <w:tcW w:type="dxa" w:w="40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Potrjevanje gotovinskih računov (EOR), prijava poslovnih prostorov</w:t>
            </w:r>
          </w:p>
        </w:tc>
      </w:tr>
      <w:tr>
        <w:tc>
          <w:tcPr>
            <w:tcW w:type="dxa" w:w="24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Ponudniki e-poti / Peppol</w:t>
            </w:r>
          </w:p>
        </w:tc>
        <w:tc>
          <w:tcPr>
            <w:tcW w:type="dxa" w:w="29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e-SLOG 2.0, UBL (EN 16931), AS4</w:t>
            </w:r>
          </w:p>
        </w:tc>
        <w:tc>
          <w:tcPr>
            <w:tcW w:type="dxa" w:w="40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Izmenjava e-računov B2B in B2G; usmerjanje po identifikatorjih prejemnikov</w:t>
            </w:r>
          </w:p>
        </w:tc>
      </w:tr>
      <w:tr>
        <w:tc>
          <w:tcPr>
            <w:tcW w:type="dxa" w:w="24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UJPnet</w:t>
            </w:r>
          </w:p>
        </w:tc>
        <w:tc>
          <w:tcPr>
            <w:tcW w:type="dxa" w:w="29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e-SLOG, spletne storitve</w:t>
            </w:r>
          </w:p>
        </w:tc>
        <w:tc>
          <w:tcPr>
            <w:tcW w:type="dxa" w:w="40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E-računi proračunskim uporabnikom (B2G)</w:t>
            </w:r>
          </w:p>
        </w:tc>
      </w:tr>
      <w:tr>
        <w:tc>
          <w:tcPr>
            <w:tcW w:type="dxa" w:w="24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AJPES</w:t>
            </w:r>
          </w:p>
        </w:tc>
        <w:tc>
          <w:tcPr>
            <w:tcW w:type="dxa" w:w="29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XML letna poročila, spletne storitve, ePobot</w:t>
            </w:r>
          </w:p>
        </w:tc>
        <w:tc>
          <w:tcPr>
            <w:tcW w:type="dxa" w:w="40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Oddaja letnih poročil, podatki iz Poslovnega registra (samodejno polnjenje partnerjev), večstranski pobot, bonitete</w:t>
            </w:r>
          </w:p>
        </w:tc>
      </w:tr>
      <w:tr>
        <w:tc>
          <w:tcPr>
            <w:tcW w:type="dxa" w:w="24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Banke</w:t>
            </w:r>
          </w:p>
        </w:tc>
        <w:tc>
          <w:tcPr>
            <w:tcW w:type="dxa" w:w="29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ISO 20022 (pain.001, camt.053), Halcom, bančni API-ji</w:t>
            </w:r>
          </w:p>
        </w:tc>
        <w:tc>
          <w:tcPr>
            <w:tcW w:type="dxa" w:w="40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Plačilni nalogi, uvoz izpiskov, stanje računov</w:t>
            </w:r>
          </w:p>
        </w:tc>
      </w:tr>
      <w:tr>
        <w:tc>
          <w:tcPr>
            <w:tcW w:type="dxa" w:w="24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ZZZS</w:t>
            </w:r>
          </w:p>
        </w:tc>
        <w:tc>
          <w:tcPr>
            <w:tcW w:type="dxa" w:w="29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eBOL, eNDM prek SPOT</w:t>
            </w:r>
          </w:p>
        </w:tc>
        <w:tc>
          <w:tcPr>
            <w:tcW w:type="dxa" w:w="40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Elektronski bolniški listi, zahtevki za refundacije nadomestil</w:t>
            </w:r>
          </w:p>
        </w:tc>
      </w:tr>
      <w:tr>
        <w:tc>
          <w:tcPr>
            <w:tcW w:type="dxa" w:w="24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Banka Slovenije / ECB</w:t>
            </w:r>
          </w:p>
        </w:tc>
        <w:tc>
          <w:tcPr>
            <w:tcW w:type="dxa" w:w="29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Tečajnice (XML)</w:t>
            </w:r>
          </w:p>
        </w:tc>
        <w:tc>
          <w:tcPr>
            <w:tcW w:type="dxa" w:w="40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Dnevni uvoz deviznih tečajev</w:t>
            </w:r>
          </w:p>
        </w:tc>
      </w:tr>
      <w:tr>
        <w:tc>
          <w:tcPr>
            <w:tcW w:type="dxa" w:w="24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VIES (EU)</w:t>
            </w:r>
          </w:p>
        </w:tc>
        <w:tc>
          <w:tcPr>
            <w:tcW w:type="dxa" w:w="29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SOAP</w:t>
            </w:r>
          </w:p>
        </w:tc>
        <w:tc>
          <w:tcPr>
            <w:tcW w:type="dxa" w:w="40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Preverjanje veljavnosti ID za DDV kupcev v EU</w:t>
            </w:r>
          </w:p>
        </w:tc>
      </w:tr>
      <w:tr>
        <w:tc>
          <w:tcPr>
            <w:tcW w:type="dxa" w:w="24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Spletne trgovine in blagajne</w:t>
            </w:r>
          </w:p>
        </w:tc>
        <w:tc>
          <w:tcPr>
            <w:tcW w:type="dxa" w:w="29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Javni API, spletne kavlje</w:t>
            </w:r>
          </w:p>
        </w:tc>
        <w:tc>
          <w:tcPr>
            <w:tcW w:type="dxa" w:w="40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Uvoz naročil in računov (Shopify, WooCommerce, lastne rešitve)</w:t>
            </w:r>
          </w:p>
        </w:tc>
      </w:tr>
      <w:tr>
        <w:tc>
          <w:tcPr>
            <w:tcW w:type="dxa" w:w="24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Dokumentni sistemi in e-hramba</w:t>
            </w:r>
          </w:p>
        </w:tc>
        <w:tc>
          <w:tcPr>
            <w:tcW w:type="dxa" w:w="29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API, ZVDAGA skladni ponudniki</w:t>
            </w:r>
          </w:p>
        </w:tc>
        <w:tc>
          <w:tcPr>
            <w:tcW w:type="dxa" w:w="40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Dolgoročna akreditirana hramba listin</w:t>
            </w:r>
          </w:p>
        </w:tc>
      </w:tr>
    </w:tbl>
    <w:p>
      <w:pPr>
        <w:pStyle w:val="Heading1"/>
        <w:spacing w:after="200" w:before="360"/>
      </w:pPr>
      <w:r>
        <w:rPr>
          <w:rFonts w:ascii="Calibri" w:cs="Calibri" w:eastAsia="Calibri" w:hAnsi="Calibri"/>
          <w:b/>
          <w:bCs/>
          <w:color w:val="1F3864"/>
          <w:sz w:val="32"/>
          <w:szCs w:val="32"/>
        </w:rPr>
        <w:t xml:space="preserve">7  Faze razvoja in časovnica</w:t>
      </w:r>
    </w:p>
    <w:p>
      <w:pPr>
        <w:spacing w:after="160" w:line="276"/>
        <w:jc w:val="both"/>
      </w:pPr>
      <w:r>
        <w:rPr>
          <w:rFonts w:ascii="Calibri" w:cs="Calibri" w:eastAsia="Calibri" w:hAnsi="Calibri"/>
          <w:sz w:val="22"/>
          <w:szCs w:val="22"/>
        </w:rPr>
        <w:t xml:space="preserve">Predvideno trajanje razvoja do polne funkcionalnosti je 24 mesecev, s prvimi prihodki po približno 12 mesecih. Časovnica upošteva ključni zunanji rok: polna pripravljenost na obvezne B2B e-račune najkasneje v zadnjem četrtletju 2027, torej pred uveljavitvijo ZIERDED 1. 1. 2028.</w:t>
      </w:r>
    </w:p>
    <w:p>
      <w:pPr>
        <w:spacing w:after="16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1400"/>
        <w:gridCol w:w="4560"/>
        <w:gridCol w:w="1900"/>
      </w:tblGrid>
      <w:tr>
        <w:trPr>
          <w:tblHeader/>
        </w:trPr>
        <w:tc>
          <w:tcPr>
            <w:tcW w:type="dxa" w:w="1500"/>
            <w:shd w:fill="1F3864" w:val="clear"/>
            <w:tcMar>
              <w:top w:type="dxa" w:w="80"/>
              <w:left w:type="dxa" w:w="100"/>
              <w:bottom w:type="dxa" w:w="80"/>
              <w:right w:type="dxa" w:w="100"/>
            </w:tcMar>
          </w:tcPr>
          <w:p>
            <w:pPr>
              <w:spacing w:after="40" w:before="40" w:line="240"/>
            </w:pPr>
            <w:r>
              <w:rPr>
                <w:rFonts w:ascii="Calibri" w:cs="Calibri" w:eastAsia="Calibri" w:hAnsi="Calibri"/>
                <w:b/>
                <w:bCs/>
                <w:color w:val="FFFFFF"/>
                <w:sz w:val="20"/>
                <w:szCs w:val="20"/>
              </w:rPr>
              <w:t xml:space="preserve">Faza</w:t>
            </w:r>
          </w:p>
        </w:tc>
        <w:tc>
          <w:tcPr>
            <w:tcW w:type="dxa" w:w="1400"/>
            <w:shd w:fill="1F3864" w:val="clear"/>
            <w:tcMar>
              <w:top w:type="dxa" w:w="80"/>
              <w:left w:type="dxa" w:w="100"/>
              <w:bottom w:type="dxa" w:w="80"/>
              <w:right w:type="dxa" w:w="100"/>
            </w:tcMar>
          </w:tcPr>
          <w:p>
            <w:pPr>
              <w:spacing w:after="40" w:before="40" w:line="240"/>
            </w:pPr>
            <w:r>
              <w:rPr>
                <w:rFonts w:ascii="Calibri" w:cs="Calibri" w:eastAsia="Calibri" w:hAnsi="Calibri"/>
                <w:b/>
                <w:bCs/>
                <w:color w:val="FFFFFF"/>
                <w:sz w:val="20"/>
                <w:szCs w:val="20"/>
              </w:rPr>
              <w:t xml:space="preserve">Obdobje</w:t>
            </w:r>
          </w:p>
        </w:tc>
        <w:tc>
          <w:tcPr>
            <w:tcW w:type="dxa" w:w="4560"/>
            <w:shd w:fill="1F3864" w:val="clear"/>
            <w:tcMar>
              <w:top w:type="dxa" w:w="80"/>
              <w:left w:type="dxa" w:w="100"/>
              <w:bottom w:type="dxa" w:w="80"/>
              <w:right w:type="dxa" w:w="100"/>
            </w:tcMar>
          </w:tcPr>
          <w:p>
            <w:pPr>
              <w:spacing w:after="40" w:before="40" w:line="240"/>
            </w:pPr>
            <w:r>
              <w:rPr>
                <w:rFonts w:ascii="Calibri" w:cs="Calibri" w:eastAsia="Calibri" w:hAnsi="Calibri"/>
                <w:b/>
                <w:bCs/>
                <w:color w:val="FFFFFF"/>
                <w:sz w:val="20"/>
                <w:szCs w:val="20"/>
              </w:rPr>
              <w:t xml:space="preserve">Vsebina</w:t>
            </w:r>
          </w:p>
        </w:tc>
        <w:tc>
          <w:tcPr>
            <w:tcW w:type="dxa" w:w="1900"/>
            <w:shd w:fill="1F3864" w:val="clear"/>
            <w:tcMar>
              <w:top w:type="dxa" w:w="80"/>
              <w:left w:type="dxa" w:w="100"/>
              <w:bottom w:type="dxa" w:w="80"/>
              <w:right w:type="dxa" w:w="100"/>
            </w:tcMar>
          </w:tcPr>
          <w:p>
            <w:pPr>
              <w:spacing w:after="40" w:before="40" w:line="240"/>
            </w:pPr>
            <w:r>
              <w:rPr>
                <w:rFonts w:ascii="Calibri" w:cs="Calibri" w:eastAsia="Calibri" w:hAnsi="Calibri"/>
                <w:b/>
                <w:bCs/>
                <w:color w:val="FFFFFF"/>
                <w:sz w:val="20"/>
                <w:szCs w:val="20"/>
              </w:rPr>
              <w:t xml:space="preserve">Mejnik</w:t>
            </w:r>
          </w:p>
        </w:tc>
      </w:tr>
      <w:tr>
        <w:tc>
          <w:tcPr>
            <w:tcW w:type="dxa" w:w="15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0 – Priprava</w:t>
            </w:r>
          </w:p>
        </w:tc>
        <w:tc>
          <w:tcPr>
            <w:tcW w:type="dxa" w:w="14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Meseci 1–3</w:t>
            </w:r>
          </w:p>
        </w:tc>
        <w:tc>
          <w:tcPr>
            <w:tcW w:type="dxa" w:w="45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Poslovna in pravna analiza, potrditev specifikacij z davčnim svetovalcem, arhitekturni načrt, postavitev infrastrukture in CI/CD, prototip glavne knjige, dizajn sistem uporabniškega vmesnika</w:t>
            </w:r>
          </w:p>
        </w:tc>
        <w:tc>
          <w:tcPr>
            <w:tcW w:type="dxa" w:w="19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Potrjena specifikacija in delujoč prototip knjiženja</w:t>
            </w:r>
          </w:p>
        </w:tc>
      </w:tr>
      <w:tr>
        <w:tc>
          <w:tcPr>
            <w:tcW w:type="dxa" w:w="15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1 – MVP jedro</w:t>
            </w:r>
          </w:p>
        </w:tc>
        <w:tc>
          <w:tcPr>
            <w:tcW w:type="dxa" w:w="14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Meseci 4–9</w:t>
            </w:r>
          </w:p>
        </w:tc>
        <w:tc>
          <w:tcPr>
            <w:tcW w:type="dxa" w:w="45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Glavna knjiga, saldakonti, šifranti, fakturiranje z e-SLOG in fiskalizacijo, prejeti računi z likvidacijo, DDV evidence in DDV-O z oddajo v eDavke, banka (uvoz izpiskov, plačilni nalogi), osnovna poročila, uvozniki podatkov</w:t>
            </w:r>
          </w:p>
        </w:tc>
        <w:tc>
          <w:tcPr>
            <w:tcW w:type="dxa" w:w="19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Pilotna uvedba pri 3–5 računovodskih servisih; prvi obračun DDV oddan iz sistema</w:t>
            </w:r>
          </w:p>
        </w:tc>
      </w:tr>
      <w:tr>
        <w:tc>
          <w:tcPr>
            <w:tcW w:type="dxa" w:w="15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2 – Razširitev</w:t>
            </w:r>
          </w:p>
        </w:tc>
        <w:tc>
          <w:tcPr>
            <w:tcW w:type="dxa" w:w="14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Meseci 10–15</w:t>
            </w:r>
          </w:p>
        </w:tc>
        <w:tc>
          <w:tcPr>
            <w:tcW w:type="dxa" w:w="45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Osnovna sredstva, zaloge, plače z REK-O, potni nalogi, opomini in kompenzacije, ePobot, letno poročilo AJPES, portal za računovodske servise, javni API</w:t>
            </w:r>
          </w:p>
        </w:tc>
        <w:tc>
          <w:tcPr>
            <w:tcW w:type="dxa" w:w="19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Komercialno lansiranje; prvi obračun plač in letno poročilo iz sistema</w:t>
            </w:r>
          </w:p>
        </w:tc>
      </w:tr>
      <w:tr>
        <w:tc>
          <w:tcPr>
            <w:tcW w:type="dxa" w:w="15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3 – Diferenciacija</w:t>
            </w:r>
          </w:p>
        </w:tc>
        <w:tc>
          <w:tcPr>
            <w:tcW w:type="dxa" w:w="14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Meseci 16–24</w:t>
            </w:r>
          </w:p>
        </w:tc>
        <w:tc>
          <w:tcPr>
            <w:tcW w:type="dxa" w:w="45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Nabava in prodaja, POS maloprodaja, AI kontiranje in asistent, napredna analitika in BI, DDPO priprava, proizvodnja (po potrebi trga), mobilna aplikacija za potrjevanje in preglede</w:t>
            </w:r>
          </w:p>
        </w:tc>
        <w:tc>
          <w:tcPr>
            <w:tcW w:type="dxa" w:w="19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Popolna pripravljenost na ZIERDED; 100+ aktivnih podjetij v produkciji</w:t>
            </w:r>
          </w:p>
        </w:tc>
      </w:tr>
    </w:tbl>
    <w:p>
      <w:pPr>
        <w:spacing w:after="160"/>
      </w:pPr>
    </w:p>
    <w:p>
      <w:pPr>
        <w:spacing w:after="160" w:line="276"/>
        <w:jc w:val="both"/>
      </w:pPr>
      <w:r>
        <w:rPr>
          <w:rFonts w:ascii="Calibri" w:cs="Calibri" w:eastAsia="Calibri" w:hAnsi="Calibri"/>
          <w:sz w:val="22"/>
          <w:szCs w:val="22"/>
        </w:rPr>
        <w:t xml:space="preserve">Skozi vse faze tečeta dva stalna tokova: zakonodajno vzdrževanje (spremembe stopenj, obrazcev, shem) in varnostno utrjevanje (penetracijski testi pred lansiranjem, nato letno).</w:t>
      </w:r>
    </w:p>
    <w:p>
      <w:pPr>
        <w:pStyle w:val="Heading1"/>
        <w:spacing w:after="200" w:before="360"/>
      </w:pPr>
      <w:r>
        <w:rPr>
          <w:rFonts w:ascii="Calibri" w:cs="Calibri" w:eastAsia="Calibri" w:hAnsi="Calibri"/>
          <w:b/>
          <w:bCs/>
          <w:color w:val="1F3864"/>
          <w:sz w:val="32"/>
          <w:szCs w:val="32"/>
        </w:rPr>
        <w:t xml:space="preserve">8  Ekipa in ocena stroškov</w:t>
      </w:r>
    </w:p>
    <w:p>
      <w:pPr>
        <w:spacing w:after="160" w:line="276"/>
        <w:jc w:val="both"/>
      </w:pPr>
      <w:r>
        <w:rPr>
          <w:rFonts w:ascii="Calibri" w:cs="Calibri" w:eastAsia="Calibri" w:hAnsi="Calibri"/>
          <w:sz w:val="22"/>
          <w:szCs w:val="22"/>
        </w:rPr>
        <w:t xml:space="preserve">Priporočena zasedba jedrne ekipe v prvih dveh letih:</w:t>
      </w:r>
    </w:p>
    <w:p>
      <w:pPr>
        <w:spacing w:after="16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1200"/>
        <w:gridCol w:w="5160"/>
      </w:tblGrid>
      <w:tr>
        <w:trPr>
          <w:tblHeader/>
        </w:trPr>
        <w:tc>
          <w:tcPr>
            <w:tcW w:type="dxa" w:w="3000"/>
            <w:shd w:fill="1F3864" w:val="clear"/>
            <w:tcMar>
              <w:top w:type="dxa" w:w="80"/>
              <w:left w:type="dxa" w:w="100"/>
              <w:bottom w:type="dxa" w:w="80"/>
              <w:right w:type="dxa" w:w="100"/>
            </w:tcMar>
          </w:tcPr>
          <w:p>
            <w:pPr>
              <w:spacing w:after="40" w:before="40" w:line="240"/>
            </w:pPr>
            <w:r>
              <w:rPr>
                <w:rFonts w:ascii="Calibri" w:cs="Calibri" w:eastAsia="Calibri" w:hAnsi="Calibri"/>
                <w:b/>
                <w:bCs/>
                <w:color w:val="FFFFFF"/>
                <w:sz w:val="20"/>
                <w:szCs w:val="20"/>
              </w:rPr>
              <w:t xml:space="preserve">Vloga</w:t>
            </w:r>
          </w:p>
        </w:tc>
        <w:tc>
          <w:tcPr>
            <w:tcW w:type="dxa" w:w="1200"/>
            <w:shd w:fill="1F3864" w:val="clear"/>
            <w:tcMar>
              <w:top w:type="dxa" w:w="80"/>
              <w:left w:type="dxa" w:w="100"/>
              <w:bottom w:type="dxa" w:w="80"/>
              <w:right w:type="dxa" w:w="100"/>
            </w:tcMar>
          </w:tcPr>
          <w:p>
            <w:pPr>
              <w:spacing w:after="40" w:before="40" w:line="240"/>
            </w:pPr>
            <w:r>
              <w:rPr>
                <w:rFonts w:ascii="Calibri" w:cs="Calibri" w:eastAsia="Calibri" w:hAnsi="Calibri"/>
                <w:b/>
                <w:bCs/>
                <w:color w:val="FFFFFF"/>
                <w:sz w:val="20"/>
                <w:szCs w:val="20"/>
              </w:rPr>
              <w:t xml:space="preserve">Št.</w:t>
            </w:r>
          </w:p>
        </w:tc>
        <w:tc>
          <w:tcPr>
            <w:tcW w:type="dxa" w:w="5160"/>
            <w:shd w:fill="1F3864" w:val="clear"/>
            <w:tcMar>
              <w:top w:type="dxa" w:w="80"/>
              <w:left w:type="dxa" w:w="100"/>
              <w:bottom w:type="dxa" w:w="80"/>
              <w:right w:type="dxa" w:w="100"/>
            </w:tcMar>
          </w:tcPr>
          <w:p>
            <w:pPr>
              <w:spacing w:after="40" w:before="40" w:line="240"/>
            </w:pPr>
            <w:r>
              <w:rPr>
                <w:rFonts w:ascii="Calibri" w:cs="Calibri" w:eastAsia="Calibri" w:hAnsi="Calibri"/>
                <w:b/>
                <w:bCs/>
                <w:color w:val="FFFFFF"/>
                <w:sz w:val="20"/>
                <w:szCs w:val="20"/>
              </w:rPr>
              <w:t xml:space="preserve">Poudarki</w:t>
            </w:r>
          </w:p>
        </w:tc>
      </w:tr>
      <w:tr>
        <w:tc>
          <w:tcPr>
            <w:tcW w:type="dxa" w:w="30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Produktni vodja</w:t>
            </w:r>
          </w:p>
        </w:tc>
        <w:tc>
          <w:tcPr>
            <w:tcW w:type="dxa" w:w="12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1</w:t>
            </w:r>
          </w:p>
        </w:tc>
        <w:tc>
          <w:tcPr>
            <w:tcW w:type="dxa" w:w="51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Prioritizacija, stik s pilotnimi strankami, poznavanje računovodskih procesov</w:t>
            </w:r>
          </w:p>
        </w:tc>
      </w:tr>
      <w:tr>
        <w:tc>
          <w:tcPr>
            <w:tcW w:type="dxa" w:w="30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Arhitekt / tehnični vodja</w:t>
            </w:r>
          </w:p>
        </w:tc>
        <w:tc>
          <w:tcPr>
            <w:tcW w:type="dxa" w:w="12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1</w:t>
            </w:r>
          </w:p>
        </w:tc>
        <w:tc>
          <w:tcPr>
            <w:tcW w:type="dxa" w:w="51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Zasnova jedra, standardi kakovosti, varnost</w:t>
            </w:r>
          </w:p>
        </w:tc>
      </w:tr>
      <w:tr>
        <w:tc>
          <w:tcPr>
            <w:tcW w:type="dxa" w:w="30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Razvijalci zaledja</w:t>
            </w:r>
          </w:p>
        </w:tc>
        <w:tc>
          <w:tcPr>
            <w:tcW w:type="dxa" w:w="12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3–4</w:t>
            </w:r>
          </w:p>
        </w:tc>
        <w:tc>
          <w:tcPr>
            <w:tcW w:type="dxa" w:w="51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Knjigovodsko jedro, integracije, obračuni</w:t>
            </w:r>
          </w:p>
        </w:tc>
      </w:tr>
      <w:tr>
        <w:tc>
          <w:tcPr>
            <w:tcW w:type="dxa" w:w="30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Razvijalci čelnega dela</w:t>
            </w:r>
          </w:p>
        </w:tc>
        <w:tc>
          <w:tcPr>
            <w:tcW w:type="dxa" w:w="12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2</w:t>
            </w:r>
          </w:p>
        </w:tc>
        <w:tc>
          <w:tcPr>
            <w:tcW w:type="dxa" w:w="51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Maske za masovni vnos, portal, mobilni del</w:t>
            </w:r>
          </w:p>
        </w:tc>
      </w:tr>
      <w:tr>
        <w:tc>
          <w:tcPr>
            <w:tcW w:type="dxa" w:w="30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QA inženir</w:t>
            </w:r>
          </w:p>
        </w:tc>
        <w:tc>
          <w:tcPr>
            <w:tcW w:type="dxa" w:w="12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1</w:t>
            </w:r>
          </w:p>
        </w:tc>
        <w:tc>
          <w:tcPr>
            <w:tcW w:type="dxa" w:w="51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Avtomatizirani testi obračunov z referenčnimi primeri (plače, DDV, amortizacija)</w:t>
            </w:r>
          </w:p>
        </w:tc>
      </w:tr>
      <w:tr>
        <w:tc>
          <w:tcPr>
            <w:tcW w:type="dxa" w:w="30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DevOps / varnost</w:t>
            </w:r>
          </w:p>
        </w:tc>
        <w:tc>
          <w:tcPr>
            <w:tcW w:type="dxa" w:w="12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1 (lahko deljeno)</w:t>
            </w:r>
          </w:p>
        </w:tc>
        <w:tc>
          <w:tcPr>
            <w:tcW w:type="dxa" w:w="51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Infrastruktura, nadzor, skladnost</w:t>
            </w:r>
          </w:p>
        </w:tc>
      </w:tr>
      <w:tr>
        <w:tc>
          <w:tcPr>
            <w:tcW w:type="dxa" w:w="30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Davčno-računovodski strokovnjak</w:t>
            </w:r>
          </w:p>
        </w:tc>
        <w:tc>
          <w:tcPr>
            <w:tcW w:type="dxa" w:w="12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1 (lahko pogodbeno)</w:t>
            </w:r>
          </w:p>
        </w:tc>
        <w:tc>
          <w:tcPr>
            <w:tcW w:type="dxa" w:w="51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Specifikacije, testni primeri, spremljanje zakonodaje, podpora strankam</w:t>
            </w:r>
          </w:p>
        </w:tc>
      </w:tr>
    </w:tbl>
    <w:p>
      <w:pPr>
        <w:spacing w:after="160"/>
      </w:pPr>
    </w:p>
    <w:p>
      <w:pPr>
        <w:spacing w:after="160" w:line="276"/>
        <w:jc w:val="both"/>
      </w:pPr>
      <w:r>
        <w:rPr>
          <w:rFonts w:ascii="Calibri" w:cs="Calibri" w:eastAsia="Calibri" w:hAnsi="Calibri"/>
          <w:b/>
          <w:bCs/>
          <w:sz w:val="22"/>
          <w:szCs w:val="22"/>
        </w:rPr>
        <w:t xml:space="preserve">Okvirna ocena stroškov: </w:t>
      </w:r>
      <w:r>
        <w:rPr>
          <w:rFonts w:ascii="Calibri" w:cs="Calibri" w:eastAsia="Calibri" w:hAnsi="Calibri"/>
          <w:sz w:val="22"/>
          <w:szCs w:val="22"/>
        </w:rPr>
        <w:t xml:space="preserve">ob povprečnem polnem strošku 60.000–85.000 EUR na člana ekipe letno znaša strošek razvoja v 24 mesecih približno 1,2–1,7 milijona EUR, čemur je treba prišteti infrastrukturo in licence (30.000–60.000 EUR letno), zunanje storitve (pravno in davčno svetovanje, penetracijski testi, certifikacije: 50.000–100.000 EUR) ter trženje ob lansiranju. Skupna investicija do točke preloma realno znaša 1,5–2,2 milijona EUR. Ocena je okvirna in jo je treba potrditi s podrobnim planiranjem.</w:t>
      </w:r>
    </w:p>
    <w:p>
      <w:pPr>
        <w:spacing w:after="160" w:line="276"/>
        <w:jc w:val="both"/>
      </w:pPr>
      <w:r>
        <w:rPr>
          <w:rFonts w:ascii="Calibri" w:cs="Calibri" w:eastAsia="Calibri" w:hAnsi="Calibri"/>
          <w:sz w:val="22"/>
          <w:szCs w:val="22"/>
        </w:rPr>
        <w:t xml:space="preserve">Prihodkovni model: mesečna naročnina po podjetju in modulih (okvirno 30–150 EUR/podjetje/mesec glede na obseg), posebni ceniki za računovodske servise (količinski popusti), dodatne storitve (migracija, uvajanje, API paketi). Točka preloma je ob teh predpostavkah dosegljiva pri približno 1.500–2.500 aktivnih podjetjih.</w:t>
      </w:r>
    </w:p>
    <w:p>
      <w:r>
        <w:br w:type="page"/>
      </w:r>
    </w:p>
    <w:p>
      <w:pPr>
        <w:pStyle w:val="Heading1"/>
        <w:spacing w:after="200" w:before="360"/>
      </w:pPr>
      <w:r>
        <w:rPr>
          <w:rFonts w:ascii="Calibri" w:cs="Calibri" w:eastAsia="Calibri" w:hAnsi="Calibri"/>
          <w:b/>
          <w:bCs/>
          <w:color w:val="1F3864"/>
          <w:sz w:val="32"/>
          <w:szCs w:val="32"/>
        </w:rPr>
        <w:t xml:space="preserve">9  Tveganja in ukrepi</w:t>
      </w:r>
    </w:p>
    <w:p>
      <w:pPr>
        <w:spacing w:after="16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1300"/>
        <w:gridCol w:w="1200"/>
        <w:gridCol w:w="4360"/>
      </w:tblGrid>
      <w:tr>
        <w:trPr>
          <w:tblHeader/>
        </w:trPr>
        <w:tc>
          <w:tcPr>
            <w:tcW w:type="dxa" w:w="2500"/>
            <w:shd w:fill="1F3864" w:val="clear"/>
            <w:tcMar>
              <w:top w:type="dxa" w:w="80"/>
              <w:left w:type="dxa" w:w="100"/>
              <w:bottom w:type="dxa" w:w="80"/>
              <w:right w:type="dxa" w:w="100"/>
            </w:tcMar>
          </w:tcPr>
          <w:p>
            <w:pPr>
              <w:spacing w:after="40" w:before="40" w:line="240"/>
            </w:pPr>
            <w:r>
              <w:rPr>
                <w:rFonts w:ascii="Calibri" w:cs="Calibri" w:eastAsia="Calibri" w:hAnsi="Calibri"/>
                <w:b/>
                <w:bCs/>
                <w:color w:val="FFFFFF"/>
                <w:sz w:val="20"/>
                <w:szCs w:val="20"/>
              </w:rPr>
              <w:t xml:space="preserve">Tveganje</w:t>
            </w:r>
          </w:p>
        </w:tc>
        <w:tc>
          <w:tcPr>
            <w:tcW w:type="dxa" w:w="1300"/>
            <w:shd w:fill="1F3864" w:val="clear"/>
            <w:tcMar>
              <w:top w:type="dxa" w:w="80"/>
              <w:left w:type="dxa" w:w="100"/>
              <w:bottom w:type="dxa" w:w="80"/>
              <w:right w:type="dxa" w:w="100"/>
            </w:tcMar>
          </w:tcPr>
          <w:p>
            <w:pPr>
              <w:spacing w:after="40" w:before="40" w:line="240"/>
            </w:pPr>
            <w:r>
              <w:rPr>
                <w:rFonts w:ascii="Calibri" w:cs="Calibri" w:eastAsia="Calibri" w:hAnsi="Calibri"/>
                <w:b/>
                <w:bCs/>
                <w:color w:val="FFFFFF"/>
                <w:sz w:val="20"/>
                <w:szCs w:val="20"/>
              </w:rPr>
              <w:t xml:space="preserve">Verjetnost</w:t>
            </w:r>
          </w:p>
        </w:tc>
        <w:tc>
          <w:tcPr>
            <w:tcW w:type="dxa" w:w="1200"/>
            <w:shd w:fill="1F3864" w:val="clear"/>
            <w:tcMar>
              <w:top w:type="dxa" w:w="80"/>
              <w:left w:type="dxa" w:w="100"/>
              <w:bottom w:type="dxa" w:w="80"/>
              <w:right w:type="dxa" w:w="100"/>
            </w:tcMar>
          </w:tcPr>
          <w:p>
            <w:pPr>
              <w:spacing w:after="40" w:before="40" w:line="240"/>
            </w:pPr>
            <w:r>
              <w:rPr>
                <w:rFonts w:ascii="Calibri" w:cs="Calibri" w:eastAsia="Calibri" w:hAnsi="Calibri"/>
                <w:b/>
                <w:bCs/>
                <w:color w:val="FFFFFF"/>
                <w:sz w:val="20"/>
                <w:szCs w:val="20"/>
              </w:rPr>
              <w:t xml:space="preserve">Vpliv</w:t>
            </w:r>
          </w:p>
        </w:tc>
        <w:tc>
          <w:tcPr>
            <w:tcW w:type="dxa" w:w="4360"/>
            <w:shd w:fill="1F3864" w:val="clear"/>
            <w:tcMar>
              <w:top w:type="dxa" w:w="80"/>
              <w:left w:type="dxa" w:w="100"/>
              <w:bottom w:type="dxa" w:w="80"/>
              <w:right w:type="dxa" w:w="100"/>
            </w:tcMar>
          </w:tcPr>
          <w:p>
            <w:pPr>
              <w:spacing w:after="40" w:before="40" w:line="240"/>
            </w:pPr>
            <w:r>
              <w:rPr>
                <w:rFonts w:ascii="Calibri" w:cs="Calibri" w:eastAsia="Calibri" w:hAnsi="Calibri"/>
                <w:b/>
                <w:bCs/>
                <w:color w:val="FFFFFF"/>
                <w:sz w:val="20"/>
                <w:szCs w:val="20"/>
              </w:rPr>
              <w:t xml:space="preserve">Ukrepi za obvladovanje</w:t>
            </w:r>
          </w:p>
        </w:tc>
      </w:tr>
      <w:tr>
        <w:tc>
          <w:tcPr>
            <w:tcW w:type="dxa" w:w="25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Zaostajanje za zakonodajnimi spremembami</w:t>
            </w:r>
          </w:p>
        </w:tc>
        <w:tc>
          <w:tcPr>
            <w:tcW w:type="dxa" w:w="13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Visoka</w:t>
            </w:r>
          </w:p>
        </w:tc>
        <w:tc>
          <w:tcPr>
            <w:tcW w:type="dxa" w:w="12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Kritičen</w:t>
            </w:r>
          </w:p>
        </w:tc>
        <w:tc>
          <w:tcPr>
            <w:tcW w:type="dxa" w:w="43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Stalni davčni strokovnjak v ekipi; pravila kot verzionirana konfiguracija; proces spremljanja Uradnega lista s ciljem uvedbe &lt; 30 dni; avtomatizirani regresijski testi obračunov</w:t>
            </w:r>
          </w:p>
        </w:tc>
      </w:tr>
      <w:tr>
        <w:tc>
          <w:tcPr>
            <w:tcW w:type="dxa" w:w="25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Napake v obračunih (plače, DDV, amortizacija)</w:t>
            </w:r>
          </w:p>
        </w:tc>
        <w:tc>
          <w:tcPr>
            <w:tcW w:type="dxa" w:w="13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Srednja</w:t>
            </w:r>
          </w:p>
        </w:tc>
        <w:tc>
          <w:tcPr>
            <w:tcW w:type="dxa" w:w="12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Kritičen</w:t>
            </w:r>
          </w:p>
        </w:tc>
        <w:tc>
          <w:tcPr>
            <w:tcW w:type="dxa" w:w="43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Referenčni testni primeri, potrjeni s strani zunanjih računovodij in revizorja; vzporedni obračuni v pilotni fazi; zavarovanje poklicne odgovornosti</w:t>
            </w:r>
          </w:p>
        </w:tc>
      </w:tr>
      <w:tr>
        <w:tc>
          <w:tcPr>
            <w:tcW w:type="dxa" w:w="25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Podcenjena kompleksnost modula plač</w:t>
            </w:r>
          </w:p>
        </w:tc>
        <w:tc>
          <w:tcPr>
            <w:tcW w:type="dxa" w:w="13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Visoka</w:t>
            </w:r>
          </w:p>
        </w:tc>
        <w:tc>
          <w:tcPr>
            <w:tcW w:type="dxa" w:w="12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Velik</w:t>
            </w:r>
          </w:p>
        </w:tc>
        <w:tc>
          <w:tcPr>
            <w:tcW w:type="dxa" w:w="43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Ločena podekipa; možnost prehodne integracije z obstoječo plačno rešitvijo; postopno širjenje podprtih primerov (najprej standardne zaposlitve)</w:t>
            </w:r>
          </w:p>
        </w:tc>
      </w:tr>
      <w:tr>
        <w:tc>
          <w:tcPr>
            <w:tcW w:type="dxa" w:w="25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Težavna migracija strank iz obstoječih sistemov</w:t>
            </w:r>
          </w:p>
        </w:tc>
        <w:tc>
          <w:tcPr>
            <w:tcW w:type="dxa" w:w="13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Visoka</w:t>
            </w:r>
          </w:p>
        </w:tc>
        <w:tc>
          <w:tcPr>
            <w:tcW w:type="dxa" w:w="12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Velik</w:t>
            </w:r>
          </w:p>
        </w:tc>
        <w:tc>
          <w:tcPr>
            <w:tcW w:type="dxa" w:w="43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Zgodnji razvoj uvoznikov (otvoritvene stanje, odprte postavke, šifranti, OS register); standardiziran migracijski protokol; storitev vodene migracije</w:t>
            </w:r>
          </w:p>
        </w:tc>
      </w:tr>
      <w:tr>
        <w:tc>
          <w:tcPr>
            <w:tcW w:type="dxa" w:w="25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Zamuda pri integracijah z državnimi sistemi</w:t>
            </w:r>
          </w:p>
        </w:tc>
        <w:tc>
          <w:tcPr>
            <w:tcW w:type="dxa" w:w="13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Srednja</w:t>
            </w:r>
          </w:p>
        </w:tc>
        <w:tc>
          <w:tcPr>
            <w:tcW w:type="dxa" w:w="12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Velik</w:t>
            </w:r>
          </w:p>
        </w:tc>
        <w:tc>
          <w:tcPr>
            <w:tcW w:type="dxa" w:w="43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Zgodnja pridobitev testnih okolij (eDavki beta, FURS test); rezervni čas v planu; uporaba preverjenih posrednikov za e-poti</w:t>
            </w:r>
          </w:p>
        </w:tc>
      </w:tr>
      <w:tr>
        <w:tc>
          <w:tcPr>
            <w:tcW w:type="dxa" w:w="25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Varnostni incident ali izguba podatkov</w:t>
            </w:r>
          </w:p>
        </w:tc>
        <w:tc>
          <w:tcPr>
            <w:tcW w:type="dxa" w:w="13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Nizka</w:t>
            </w:r>
          </w:p>
        </w:tc>
        <w:tc>
          <w:tcPr>
            <w:tcW w:type="dxa" w:w="12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Kritičen</w:t>
            </w:r>
          </w:p>
        </w:tc>
        <w:tc>
          <w:tcPr>
            <w:tcW w:type="dxa" w:w="43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Šifriranje, ločevanje najemnikov, redne varnostne kopije z vajami obnovitve, penetracijski testi, ISO 27001 certifikacija, načrt odziva na incidente</w:t>
            </w:r>
          </w:p>
        </w:tc>
      </w:tr>
      <w:tr>
        <w:tc>
          <w:tcPr>
            <w:tcW w:type="dxa" w:w="2500"/>
            <w:shd w:fill="FFFFFF"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Konkurenca uveljavljenih ponudnikov</w:t>
            </w:r>
          </w:p>
        </w:tc>
        <w:tc>
          <w:tcPr>
            <w:tcW w:type="dxa" w:w="13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Visoka</w:t>
            </w:r>
          </w:p>
        </w:tc>
        <w:tc>
          <w:tcPr>
            <w:tcW w:type="dxa" w:w="120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Srednji</w:t>
            </w:r>
          </w:p>
        </w:tc>
        <w:tc>
          <w:tcPr>
            <w:tcW w:type="dxa" w:w="4360"/>
            <w:shd w:fill="FFFFFF"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Diferenciacija z AI avtomatizacijo, sodobnim UX in odprtim API-jem; ciljanje na segment, ki ga prehod na obvezne e-račune sili v menjavo; partnerstva z računovodskimi servisi</w:t>
            </w:r>
          </w:p>
        </w:tc>
      </w:tr>
      <w:tr>
        <w:tc>
          <w:tcPr>
            <w:tcW w:type="dxa" w:w="2500"/>
            <w:shd w:fill="F2F2F2" w:val="clear"/>
            <w:tcMar>
              <w:top w:type="dxa" w:w="60"/>
              <w:left w:type="dxa" w:w="100"/>
              <w:bottom w:type="dxa" w:w="60"/>
              <w:right w:type="dxa" w:w="100"/>
            </w:tcMar>
          </w:tcPr>
          <w:p>
            <w:pPr>
              <w:spacing w:after="40" w:before="40" w:line="240"/>
            </w:pPr>
            <w:r>
              <w:rPr>
                <w:rFonts w:ascii="Calibri" w:cs="Calibri" w:eastAsia="Calibri" w:hAnsi="Calibri"/>
                <w:b/>
                <w:bCs/>
                <w:sz w:val="20"/>
                <w:szCs w:val="20"/>
              </w:rPr>
              <w:t xml:space="preserve">Odvisnost od ključnih kadrov</w:t>
            </w:r>
          </w:p>
        </w:tc>
        <w:tc>
          <w:tcPr>
            <w:tcW w:type="dxa" w:w="13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Srednja</w:t>
            </w:r>
          </w:p>
        </w:tc>
        <w:tc>
          <w:tcPr>
            <w:tcW w:type="dxa" w:w="120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Srednji</w:t>
            </w:r>
          </w:p>
        </w:tc>
        <w:tc>
          <w:tcPr>
            <w:tcW w:type="dxa" w:w="4360"/>
            <w:shd w:fill="F2F2F2" w:val="clear"/>
            <w:tcMar>
              <w:top w:type="dxa" w:w="60"/>
              <w:left w:type="dxa" w:w="100"/>
              <w:bottom w:type="dxa" w:w="60"/>
              <w:right w:type="dxa" w:w="100"/>
            </w:tcMar>
          </w:tcPr>
          <w:p>
            <w:pPr>
              <w:spacing w:after="40" w:before="40" w:line="240"/>
            </w:pPr>
            <w:r>
              <w:rPr>
                <w:rFonts w:ascii="Calibri" w:cs="Calibri" w:eastAsia="Calibri" w:hAnsi="Calibri"/>
                <w:b w:val="false"/>
                <w:bCs w:val="false"/>
                <w:sz w:val="20"/>
                <w:szCs w:val="20"/>
              </w:rPr>
              <w:t xml:space="preserve">Dokumentacija, pregledi kode, prekrivanje znanj, opcijsko lastniško nagrajevanje</w:t>
            </w:r>
          </w:p>
        </w:tc>
      </w:tr>
    </w:tbl>
    <w:p>
      <w:pPr>
        <w:pStyle w:val="Heading1"/>
        <w:spacing w:after="200" w:before="360"/>
      </w:pPr>
      <w:r>
        <w:rPr>
          <w:rFonts w:ascii="Calibri" w:cs="Calibri" w:eastAsia="Calibri" w:hAnsi="Calibri"/>
          <w:b/>
          <w:bCs/>
          <w:color w:val="1F3864"/>
          <w:sz w:val="32"/>
          <w:szCs w:val="32"/>
        </w:rPr>
        <w:t xml:space="preserve">10  Varnost, zasebnost in skladnost delovanja</w:t>
      </w:r>
    </w:p>
    <w:p>
      <w:pPr>
        <w:spacing w:after="160" w:line="276"/>
        <w:jc w:val="both"/>
      </w:pPr>
      <w:r>
        <w:rPr>
          <w:rFonts w:ascii="Calibri" w:cs="Calibri" w:eastAsia="Calibri" w:hAnsi="Calibri"/>
          <w:sz w:val="22"/>
          <w:szCs w:val="22"/>
        </w:rPr>
        <w:t xml:space="preserve">Sistem obdeluje najobčutljivejše poslovne in osebne podatke (finance, plače, zdravstvene odsotnosti), zato varnost ni funkcionalnost, temveč pogoj obstoja. Zahteve: večfaktorska avtentikacija in enotna prijava (SSO); granularen model vlog in pravic do ravni podjetja, modula in dokumenta s posebnim režimom za plačne podatke; šifriranje podatkov med prenosom in v mirovanju; dnevnik vseh dostopov do osebnih podatkov; ločeno produkcijsko okolje brez razvijalskega dostopa do podatkov strank; redne varnostne kopije z geografsko redundanco in periodičnimi vajami obnovitve (cilja RPO 15 minut, RTO 4 ure); pogodbe o obdelavi podatkov (DPA) s strankami in podizvajalci; ocena učinkov na varstvo podatkov (DPIA) pred lansiranjem.</w:t>
      </w:r>
    </w:p>
    <w:p>
      <w:pPr>
        <w:spacing w:after="160" w:line="276"/>
        <w:jc w:val="both"/>
      </w:pPr>
      <w:r>
        <w:rPr>
          <w:rFonts w:ascii="Calibri" w:cs="Calibri" w:eastAsia="Calibri" w:hAnsi="Calibri"/>
          <w:sz w:val="22"/>
          <w:szCs w:val="22"/>
        </w:rPr>
        <w:t xml:space="preserve">Priporočene certifikacije in preveritve: ISO/IEC 27001 v drugem letu (pomembna prodajna referenca pri večjih strankah in javnem sektorju), letni neodvisni penetracijski testi, revizija skladnosti programa z zahtevami ZDavP-2 s strani davčnega strokovnjaka ter uskladitev e-hrambe z ZVDAGA (lastna akreditacija ali partnerstvo z akreditiranim ponudnikom).</w:t>
      </w:r>
    </w:p>
    <w:p>
      <w:pPr>
        <w:pStyle w:val="Heading1"/>
        <w:spacing w:after="200" w:before="360"/>
      </w:pPr>
      <w:r>
        <w:rPr>
          <w:rFonts w:ascii="Calibri" w:cs="Calibri" w:eastAsia="Calibri" w:hAnsi="Calibri"/>
          <w:b/>
          <w:bCs/>
          <w:color w:val="1F3864"/>
          <w:sz w:val="32"/>
          <w:szCs w:val="32"/>
        </w:rPr>
        <w:t xml:space="preserve">11  Migracija podatkov in vstop na trg</w:t>
      </w:r>
    </w:p>
    <w:p>
      <w:pPr>
        <w:spacing w:after="160" w:line="276"/>
        <w:jc w:val="both"/>
      </w:pPr>
      <w:r>
        <w:rPr>
          <w:rFonts w:ascii="Calibri" w:cs="Calibri" w:eastAsia="Calibri" w:hAnsi="Calibri"/>
          <w:sz w:val="22"/>
          <w:szCs w:val="22"/>
        </w:rPr>
        <w:t xml:space="preserve">Menjava ERP sistema je za podjetja največja ovira, zato so migracijska orodja strateška naložba. Standardni migracijski paket obsega: uvoz šifrantov (partnerji, artikli, konti) iz Excel/CSV predlog; uvoz otvoritvenih stanj glavne knjige in odprtih saldakontnih postavk; prenos registra osnovnih sredstev z nabavno vrednostjo in popravkom; prenos kadrovskih podatkov za obračun plač; specializirane povezovalne skripte za najbolj razširjene sisteme na slovenskem trgu (Pantheon, SAOP/iCenter, Vasco, Opal, Birokrat, minimax) ter kontrolne izpise za uskladitev pred zagonom. Priporočen je vzorec prehoda ob začetku poslovnega leta ali DDV obdobja z vzporednim delovanjem en obračunski cikel.</w:t>
      </w:r>
    </w:p>
    <w:p>
      <w:pPr>
        <w:spacing w:after="160" w:line="276"/>
        <w:jc w:val="both"/>
      </w:pPr>
      <w:r>
        <w:rPr>
          <w:rFonts w:ascii="Calibri" w:cs="Calibri" w:eastAsia="Calibri" w:hAnsi="Calibri"/>
          <w:sz w:val="22"/>
          <w:szCs w:val="22"/>
        </w:rPr>
        <w:t xml:space="preserve">Vstop na trg naj gradi na računovodskih servisih kot multiplikatorjih: en servis prinese deset do sto podjetij. Program zajema zgodnje partnerske pogoje za pilotne servise, certificirano izobraževanje, provizijski model ter skupno trženje ob prehodu na obvezne e-račune. Časovno okno 2027 je izjemno: takrat bodo vsa podjetja prisiljena preveriti pripravljenost svojih rešitev na ZIERDED, kar je najboljši možni trenutek za pridobivanje strank z moderno, e-računom domačo rešitvijo.</w:t>
      </w:r>
    </w:p>
    <w:p>
      <w:pPr>
        <w:spacing w:after="160"/>
      </w:pPr>
    </w:p>
    <w:p>
      <w:pPr>
        <w:spacing w:after="160" w:line="276"/>
        <w:jc w:val="both"/>
      </w:pPr>
      <w:r>
        <w:rPr>
          <w:rFonts w:ascii="Calibri" w:cs="Calibri" w:eastAsia="Calibri" w:hAnsi="Calibri"/>
          <w:b/>
          <w:bCs/>
          <w:sz w:val="22"/>
          <w:szCs w:val="22"/>
        </w:rPr>
        <w:t xml:space="preserve">Naslednji koraki: </w:t>
      </w:r>
      <w:r>
        <w:rPr>
          <w:rFonts w:ascii="Calibri" w:cs="Calibri" w:eastAsia="Calibri" w:hAnsi="Calibri"/>
          <w:sz w:val="22"/>
          <w:szCs w:val="22"/>
        </w:rPr>
        <w:t xml:space="preserve">(1) potrditev ciljnih segmentov in obsega MVP, (2) angažiranje davčnega svetovalca za pregled specifikacij, (3) izdelava podrobne tehnične specifikacije jedra in podatkovnega modela, (4) pridobitev dostopa do testnih okolij FURS in eDavki, (5) sestava jedrne ekipe in začetek faze 0.</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Stran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Calibri" w:cs="Calibri" w:eastAsia="Calibri" w:hAnsi="Calibri"/>
        <w:color w:val="808080"/>
        <w:sz w:val="16"/>
        <w:szCs w:val="16"/>
      </w:rPr>
      <w:t xml:space="preserve">Načrt razvoja ERP sistema · zaupno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rPr>
  </w:style>
  <w:style w:type="paragraph" w:styleId="Heading2">
    <w:name w:val="Heading 2"/>
    <w:basedOn w:val="Normal"/>
    <w:next w:val="Normal"/>
    <w:qFormat/>
    <w:rPr>
      <w:rFonts w:ascii="Calibri" w:cs="Calibri" w:eastAsia="Calibri" w:hAnsi="Calibri"/>
      <w:b/>
      <w:bCs/>
      <w:color w:val="2E74B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2026-07-19T04:24:24.089Z</dcterms:created>
  <dcterms:modified xsi:type="dcterms:W3CDTF">2026-07-19T04:24:24.106Z</dcterms:modified>
</cp:coreProperties>
</file>

<file path=docProps/custom.xml><?xml version="1.0" encoding="utf-8"?>
<Properties xmlns="http://schemas.openxmlformats.org/officeDocument/2006/custom-properties" xmlns:vt="http://schemas.openxmlformats.org/officeDocument/2006/docPropsVTypes"/>
</file>